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b/>
          <w:bCs/>
          <w:sz w:val="44"/>
          <w:szCs w:val="44"/>
        </w:rPr>
        <w:t>东安县卫生健康局“三张清单”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Theme="majorEastAsia" w:hAnsiTheme="majorEastAsia" w:eastAsiaTheme="majorEastAsia" w:cstheme="majorEastAsia"/>
          <w:b/>
          <w:bCs/>
          <w:i w:val="0"/>
          <w:caps w:val="0"/>
          <w:color w:val="000000"/>
          <w:spacing w:val="0"/>
          <w:sz w:val="32"/>
          <w:szCs w:val="32"/>
        </w:rPr>
      </w:pPr>
      <w:r>
        <w:rPr>
          <w:rFonts w:hint="eastAsia" w:asciiTheme="majorEastAsia" w:hAnsiTheme="majorEastAsia" w:eastAsiaTheme="majorEastAsia" w:cstheme="majorEastAsia"/>
          <w:b/>
          <w:bCs/>
          <w:i w:val="0"/>
          <w:caps w:val="0"/>
          <w:color w:val="000000"/>
          <w:spacing w:val="0"/>
          <w:kern w:val="0"/>
          <w:sz w:val="32"/>
          <w:szCs w:val="32"/>
          <w:shd w:val="clear" w:fill="FFFFFF"/>
          <w:lang w:val="en-US" w:eastAsia="zh-CN" w:bidi="ar"/>
        </w:rPr>
        <w:t>不予处罚清单</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sz w:val="30"/>
          <w:szCs w:val="30"/>
        </w:rPr>
      </w:pPr>
      <w:r>
        <w:rPr>
          <w:rFonts w:hint="default" w:ascii="方正楷体简体" w:hAnsi="方正楷体简体" w:eastAsia="方正楷体简体" w:cs="方正楷体简体"/>
          <w:b/>
          <w:i w:val="0"/>
          <w:caps w:val="0"/>
          <w:color w:val="000000"/>
          <w:spacing w:val="0"/>
          <w:kern w:val="0"/>
          <w:sz w:val="28"/>
          <w:szCs w:val="28"/>
          <w:shd w:val="clear" w:fill="FFFFFF"/>
          <w:lang w:val="en-US" w:eastAsia="zh-CN" w:bidi="ar"/>
        </w:rPr>
        <w:t>实施主体：（公章）</w:t>
      </w:r>
    </w:p>
    <w:tbl>
      <w:tblPr>
        <w:tblW w:w="14830" w:type="dxa"/>
        <w:jc w:val="center"/>
        <w:tblInd w:w="-32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791"/>
        <w:gridCol w:w="6710"/>
        <w:gridCol w:w="3669"/>
        <w:gridCol w:w="2940"/>
        <w:gridCol w:w="7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jc w:val="center"/>
        </w:trPr>
        <w:tc>
          <w:tcPr>
            <w:tcW w:w="79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default" w:ascii="方正黑体简体" w:hAnsi="方正黑体简体" w:eastAsia="方正黑体简体" w:cs="方正黑体简体"/>
                <w:color w:val="000000"/>
                <w:kern w:val="0"/>
                <w:sz w:val="24"/>
                <w:szCs w:val="24"/>
                <w:lang w:val="en-US" w:eastAsia="zh-CN" w:bidi="ar"/>
              </w:rPr>
              <w:t>序号</w:t>
            </w:r>
          </w:p>
        </w:tc>
        <w:tc>
          <w:tcPr>
            <w:tcW w:w="671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default" w:ascii="方正黑体简体" w:hAnsi="方正黑体简体" w:eastAsia="方正黑体简体" w:cs="方正黑体简体"/>
                <w:color w:val="000000"/>
                <w:kern w:val="0"/>
                <w:sz w:val="24"/>
                <w:szCs w:val="24"/>
                <w:lang w:val="en-US" w:eastAsia="zh-CN" w:bidi="ar"/>
              </w:rPr>
              <w:t>处罚事项</w:t>
            </w:r>
          </w:p>
        </w:tc>
        <w:tc>
          <w:tcPr>
            <w:tcW w:w="366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default" w:ascii="方正黑体简体" w:hAnsi="方正黑体简体" w:eastAsia="方正黑体简体" w:cs="方正黑体简体"/>
                <w:color w:val="000000"/>
                <w:kern w:val="0"/>
                <w:sz w:val="24"/>
                <w:szCs w:val="24"/>
                <w:lang w:val="en-US" w:eastAsia="zh-CN" w:bidi="ar"/>
              </w:rPr>
              <w:t>不予处罚的情形</w:t>
            </w:r>
          </w:p>
        </w:tc>
        <w:tc>
          <w:tcPr>
            <w:tcW w:w="29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default" w:ascii="方正黑体简体" w:hAnsi="方正黑体简体" w:eastAsia="方正黑体简体" w:cs="方正黑体简体"/>
                <w:color w:val="000000"/>
                <w:kern w:val="0"/>
                <w:sz w:val="24"/>
                <w:szCs w:val="24"/>
                <w:lang w:val="en-US" w:eastAsia="zh-CN" w:bidi="ar"/>
              </w:rPr>
              <w:t>不予处罚的依据</w:t>
            </w:r>
          </w:p>
        </w:tc>
        <w:tc>
          <w:tcPr>
            <w:tcW w:w="7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default" w:ascii="方正黑体简体" w:hAnsi="方正黑体简体" w:eastAsia="方正黑体简体" w:cs="方正黑体简体"/>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38"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ascii="仿宋" w:hAnsi="仿宋" w:eastAsia="仿宋" w:cs="仿宋"/>
                <w:color w:val="000000"/>
                <w:kern w:val="0"/>
                <w:sz w:val="24"/>
                <w:szCs w:val="24"/>
                <w:lang w:val="en-US" w:eastAsia="zh-CN" w:bidi="ar"/>
              </w:rPr>
              <w:t>1</w:t>
            </w:r>
          </w:p>
        </w:tc>
        <w:tc>
          <w:tcPr>
            <w:tcW w:w="671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color w:val="000000"/>
                <w:kern w:val="0"/>
                <w:sz w:val="24"/>
                <w:szCs w:val="24"/>
                <w:lang w:val="en-US" w:eastAsia="zh-CN" w:bidi="ar"/>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处罚。</w:t>
            </w:r>
          </w:p>
        </w:tc>
        <w:tc>
          <w:tcPr>
            <w:tcW w:w="366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pPr>
            <w:r>
              <w:rPr>
                <w:rFonts w:ascii="Arial" w:hAnsi="Arial" w:cs="Arial" w:eastAsiaTheme="minorEastAsia"/>
                <w:color w:val="333333"/>
                <w:kern w:val="0"/>
                <w:sz w:val="24"/>
                <w:szCs w:val="24"/>
                <w:shd w:val="clear" w:fill="FFFFFF"/>
                <w:lang w:val="en-US" w:eastAsia="zh-CN" w:bidi="ar"/>
              </w:rPr>
              <w:t>及时改正，没有造成危害后果的</w:t>
            </w:r>
            <w:r>
              <w:rPr>
                <w:rFonts w:hint="eastAsia" w:ascii="宋体" w:hAnsi="宋体" w:eastAsia="宋体" w:cs="宋体"/>
                <w:color w:val="333333"/>
                <w:kern w:val="0"/>
                <w:sz w:val="24"/>
                <w:szCs w:val="24"/>
                <w:shd w:val="clear" w:fill="FFFFFF"/>
                <w:lang w:val="en-US" w:eastAsia="zh-CN" w:bidi="ar"/>
              </w:rPr>
              <w:t>；</w:t>
            </w:r>
            <w:r>
              <w:rPr>
                <w:rFonts w:hint="default" w:ascii="Arial" w:hAnsi="Arial" w:cs="Arial" w:eastAsiaTheme="minorEastAsia"/>
                <w:color w:val="333333"/>
                <w:kern w:val="0"/>
                <w:sz w:val="24"/>
                <w:szCs w:val="24"/>
                <w:shd w:val="clear" w:fill="FFFFFF"/>
                <w:lang w:val="en-US" w:eastAsia="zh-CN" w:bidi="ar"/>
              </w:rPr>
              <w:t>初次违法且危害后果轻微并及时改正</w:t>
            </w:r>
            <w:r>
              <w:rPr>
                <w:rFonts w:hint="eastAsia" w:ascii="宋体" w:hAnsi="宋体" w:eastAsia="宋体" w:cs="宋体"/>
                <w:color w:val="333333"/>
                <w:kern w:val="0"/>
                <w:sz w:val="24"/>
                <w:szCs w:val="24"/>
                <w:shd w:val="clear" w:fill="FFFFFF"/>
                <w:lang w:val="en-US" w:eastAsia="zh-CN" w:bidi="ar"/>
              </w:rPr>
              <w:t>的。</w:t>
            </w:r>
          </w:p>
        </w:tc>
        <w:tc>
          <w:tcPr>
            <w:tcW w:w="29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eastAsia" w:ascii="宋体" w:hAnsi="宋体" w:eastAsia="宋体" w:cs="宋体"/>
                <w:color w:val="000000"/>
                <w:kern w:val="0"/>
                <w:sz w:val="24"/>
                <w:szCs w:val="24"/>
                <w:lang w:val="en-US" w:eastAsia="zh-CN" w:bidi="ar"/>
              </w:rPr>
              <w:t>《公共场所卫生管理条例实施细则》第三十七条、《中华人民共和国行政处罚法》第三十三条、</w:t>
            </w:r>
            <w:r>
              <w:rPr>
                <w:rFonts w:hint="eastAsia" w:ascii="宋体" w:hAnsi="宋体" w:eastAsia="宋体" w:cs="宋体"/>
                <w:color w:val="000000"/>
                <w:kern w:val="0"/>
                <w:sz w:val="24"/>
                <w:szCs w:val="24"/>
                <w:lang w:val="en-US" w:eastAsia="zh-CN" w:bidi="ar"/>
              </w:rPr>
              <w:t>《湖南省卫生行政执法自由裁量权基准》</w:t>
            </w:r>
            <w:bookmarkStart w:id="0" w:name="_GoBack"/>
            <w:bookmarkEnd w:id="0"/>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pPr>
            <w:r>
              <w:rPr>
                <w:rFonts w:hint="default" w:ascii="Calibri" w:hAnsi="Calibri" w:eastAsia="方正仿宋简体" w:cs="Calibri"/>
                <w:b/>
                <w:color w:val="000000"/>
                <w:kern w:val="0"/>
                <w:sz w:val="24"/>
                <w:szCs w:val="24"/>
                <w:lang w:val="en-US" w:eastAsia="zh-CN" w:bidi="ar"/>
              </w:rPr>
              <w:t> </w:t>
            </w:r>
          </w:p>
        </w:tc>
      </w:tr>
    </w:tbl>
    <w:p>
      <w:pPr>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30"/>
          <w:szCs w:val="30"/>
        </w:rPr>
      </w:pPr>
      <w:r>
        <w:rPr>
          <w:rFonts w:hint="default" w:ascii="Calibri" w:hAnsi="Calibri" w:eastAsia="方正小标宋简体" w:cs="Calibri"/>
          <w:i w:val="0"/>
          <w:caps w:val="0"/>
          <w:color w:val="000000"/>
          <w:spacing w:val="0"/>
          <w:kern w:val="0"/>
          <w:sz w:val="40"/>
          <w:szCs w:val="40"/>
          <w:shd w:val="clear" w:fill="FFFFFF"/>
          <w:lang w:val="en-US" w:eastAsia="zh-CN" w:bidi="ar"/>
        </w:rPr>
        <w:t>减轻处罚清单 </w:t>
      </w:r>
    </w:p>
    <w:p>
      <w:pPr>
        <w:keepNext w:val="0"/>
        <w:keepLines w:val="0"/>
        <w:widowControl/>
        <w:suppressLineNumbers w:val="0"/>
        <w:shd w:val="clear" w:fill="FFFFFF"/>
        <w:spacing w:before="0" w:beforeAutospacing="0" w:after="0" w:afterAutospacing="0" w:line="600" w:lineRule="atLeast"/>
        <w:ind w:left="0" w:right="0" w:firstLine="0"/>
        <w:jc w:val="left"/>
        <w:rPr>
          <w:rFonts w:hint="eastAsia" w:ascii="宋体" w:hAnsi="宋体" w:eastAsia="宋体" w:cs="宋体"/>
          <w:i w:val="0"/>
          <w:caps w:val="0"/>
          <w:color w:val="000000"/>
          <w:spacing w:val="0"/>
          <w:sz w:val="30"/>
          <w:szCs w:val="30"/>
        </w:rPr>
      </w:pPr>
      <w:r>
        <w:rPr>
          <w:rFonts w:hint="default" w:ascii="方正楷体简体" w:hAnsi="方正楷体简体" w:eastAsia="方正楷体简体" w:cs="方正楷体简体"/>
          <w:b/>
          <w:i w:val="0"/>
          <w:caps w:val="0"/>
          <w:color w:val="000000"/>
          <w:spacing w:val="0"/>
          <w:kern w:val="0"/>
          <w:sz w:val="28"/>
          <w:szCs w:val="28"/>
          <w:shd w:val="clear" w:fill="FFFFFF"/>
          <w:lang w:val="en-US" w:eastAsia="zh-CN" w:bidi="ar"/>
        </w:rPr>
        <w:t>实施主体：（公章）</w:t>
      </w:r>
    </w:p>
    <w:tbl>
      <w:tblPr>
        <w:tblW w:w="14626" w:type="dxa"/>
        <w:jc w:val="center"/>
        <w:tblInd w:w="-226"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46"/>
        <w:gridCol w:w="3920"/>
        <w:gridCol w:w="4092"/>
        <w:gridCol w:w="4967"/>
        <w:gridCol w:w="70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97" w:hRule="atLeast"/>
          <w:jc w:val="center"/>
        </w:trPr>
        <w:tc>
          <w:tcPr>
            <w:tcW w:w="94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序号</w:t>
            </w:r>
          </w:p>
        </w:tc>
        <w:tc>
          <w:tcPr>
            <w:tcW w:w="39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处罚事项</w:t>
            </w:r>
          </w:p>
        </w:tc>
        <w:tc>
          <w:tcPr>
            <w:tcW w:w="409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减轻处罚的情形</w:t>
            </w:r>
          </w:p>
        </w:tc>
        <w:tc>
          <w:tcPr>
            <w:tcW w:w="49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减轻处罚的依据</w:t>
            </w:r>
          </w:p>
        </w:tc>
        <w:tc>
          <w:tcPr>
            <w:tcW w:w="7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801" w:hRule="atLeast"/>
          <w:jc w:val="center"/>
        </w:trPr>
        <w:tc>
          <w:tcPr>
            <w:tcW w:w="9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1</w:t>
            </w:r>
          </w:p>
        </w:tc>
        <w:tc>
          <w:tcPr>
            <w:tcW w:w="3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对未按照规定对公共场所的空气、微小气候、水质、采光、照明、噪声、顾客用品用具等进行卫生检测的</w:t>
            </w:r>
          </w:p>
        </w:tc>
        <w:tc>
          <w:tcPr>
            <w:tcW w:w="40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没有造成危害后果，并在60日内进行检测</w:t>
            </w:r>
          </w:p>
        </w:tc>
        <w:tc>
          <w:tcPr>
            <w:tcW w:w="49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《公共场所卫生管理条例实施细则》第三十六条第一项、《中华人民共和国行政处罚法》、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801" w:hRule="atLeast"/>
          <w:jc w:val="center"/>
        </w:trPr>
        <w:tc>
          <w:tcPr>
            <w:tcW w:w="9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2</w:t>
            </w:r>
          </w:p>
        </w:tc>
        <w:tc>
          <w:tcPr>
            <w:tcW w:w="3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未按照规定对顾客用品用具进行清洗、消毒、保洁，或者重复使用一次性用品用具的处罚</w:t>
            </w:r>
          </w:p>
        </w:tc>
        <w:tc>
          <w:tcPr>
            <w:tcW w:w="40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没有造成危害后果，并立即纠正</w:t>
            </w:r>
          </w:p>
        </w:tc>
        <w:tc>
          <w:tcPr>
            <w:tcW w:w="49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《公共场所卫生管理条例实施细则》第三十六条第二项、《中华人民共和国行政处罚法》、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801" w:hRule="atLeast"/>
          <w:jc w:val="center"/>
        </w:trPr>
        <w:tc>
          <w:tcPr>
            <w:tcW w:w="94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3</w:t>
            </w:r>
          </w:p>
        </w:tc>
        <w:tc>
          <w:tcPr>
            <w:tcW w:w="39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禁止吸烟场所未按规定设置禁烟标识或违反规定设置吸烟器具的</w:t>
            </w:r>
          </w:p>
        </w:tc>
        <w:tc>
          <w:tcPr>
            <w:tcW w:w="40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没有造成危害后果，并立即取消吸烟区（室）或吸烟器具</w:t>
            </w:r>
          </w:p>
        </w:tc>
        <w:tc>
          <w:tcPr>
            <w:tcW w:w="49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w:t>
            </w:r>
            <w:r>
              <w:rPr>
                <w:rFonts w:hint="eastAsia" w:ascii="宋体" w:hAnsi="宋体" w:eastAsia="宋体" w:cs="宋体"/>
                <w:color w:val="000000"/>
                <w:sz w:val="24"/>
                <w:szCs w:val="24"/>
                <w:lang w:val="en-US" w:eastAsia="zh-CN"/>
              </w:rPr>
              <w:t>条例实施细则</w:t>
            </w:r>
            <w:r>
              <w:rPr>
                <w:rFonts w:hint="eastAsia" w:ascii="宋体" w:hAnsi="宋体" w:eastAsia="宋体" w:cs="宋体"/>
                <w:color w:val="000000"/>
                <w:sz w:val="24"/>
                <w:szCs w:val="24"/>
              </w:rPr>
              <w:t>》第三十八条第一款、《中华人民共和国行政处罚法》、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bl>
    <w:p>
      <w:pPr>
        <w:keepNext w:val="0"/>
        <w:keepLines w:val="0"/>
        <w:widowControl/>
        <w:suppressLineNumbers w:val="0"/>
        <w:shd w:val="clear" w:fill="FFFFFF"/>
        <w:spacing w:before="0" w:beforeAutospacing="0" w:after="0" w:afterAutospacing="0"/>
        <w:ind w:left="0" w:right="0" w:firstLine="0"/>
        <w:jc w:val="center"/>
        <w:rPr>
          <w:rFonts w:hint="default" w:ascii="Calibri" w:hAnsi="Calibri" w:eastAsia="方正小标宋简体" w:cs="Calibri"/>
          <w:i w:val="0"/>
          <w:caps w:val="0"/>
          <w:color w:val="000000"/>
          <w:spacing w:val="0"/>
          <w:kern w:val="0"/>
          <w:sz w:val="40"/>
          <w:szCs w:val="40"/>
          <w:shd w:val="clear" w:fill="FFFFFF"/>
          <w:lang w:val="en-US" w:eastAsia="zh-CN" w:bidi="ar"/>
        </w:rPr>
      </w:pPr>
    </w:p>
    <w:p>
      <w:pPr>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30"/>
          <w:szCs w:val="30"/>
        </w:rPr>
      </w:pPr>
      <w:r>
        <w:rPr>
          <w:rFonts w:hint="default" w:ascii="Calibri" w:hAnsi="Calibri" w:eastAsia="方正小标宋简体" w:cs="Calibri"/>
          <w:i w:val="0"/>
          <w:caps w:val="0"/>
          <w:color w:val="000000"/>
          <w:spacing w:val="0"/>
          <w:kern w:val="0"/>
          <w:sz w:val="40"/>
          <w:szCs w:val="40"/>
          <w:shd w:val="clear" w:fill="FFFFFF"/>
          <w:lang w:val="en-US" w:eastAsia="zh-CN" w:bidi="ar"/>
        </w:rPr>
        <w:t>从轻处罚清单</w:t>
      </w:r>
    </w:p>
    <w:p>
      <w:pPr>
        <w:keepNext w:val="0"/>
        <w:keepLines w:val="0"/>
        <w:widowControl/>
        <w:suppressLineNumbers w:val="0"/>
        <w:shd w:val="clear" w:fill="FFFFFF"/>
        <w:spacing w:before="0" w:beforeAutospacing="0" w:after="0" w:afterAutospacing="0" w:line="600" w:lineRule="atLeast"/>
        <w:ind w:left="0" w:right="0" w:firstLine="0"/>
        <w:jc w:val="left"/>
        <w:rPr>
          <w:rFonts w:hint="eastAsia" w:ascii="宋体" w:hAnsi="宋体" w:eastAsia="宋体" w:cs="宋体"/>
          <w:i w:val="0"/>
          <w:caps w:val="0"/>
          <w:color w:val="000000"/>
          <w:spacing w:val="0"/>
          <w:sz w:val="30"/>
          <w:szCs w:val="30"/>
        </w:rPr>
      </w:pPr>
      <w:r>
        <w:rPr>
          <w:rFonts w:hint="default" w:ascii="方正楷体简体" w:hAnsi="方正楷体简体" w:eastAsia="方正楷体简体" w:cs="方正楷体简体"/>
          <w:b/>
          <w:i w:val="0"/>
          <w:caps w:val="0"/>
          <w:color w:val="000000"/>
          <w:spacing w:val="0"/>
          <w:kern w:val="0"/>
          <w:sz w:val="28"/>
          <w:szCs w:val="28"/>
          <w:shd w:val="clear" w:fill="FFFFFF"/>
          <w:lang w:val="en-US" w:eastAsia="zh-CN" w:bidi="ar"/>
        </w:rPr>
        <w:t>实施主体：（公章）</w:t>
      </w:r>
    </w:p>
    <w:tbl>
      <w:tblPr>
        <w:tblW w:w="14830" w:type="dxa"/>
        <w:jc w:val="center"/>
        <w:tblInd w:w="-32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791"/>
        <w:gridCol w:w="4799"/>
        <w:gridCol w:w="3429"/>
        <w:gridCol w:w="5091"/>
        <w:gridCol w:w="7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77" w:hRule="atLeast"/>
          <w:jc w:val="center"/>
        </w:trPr>
        <w:tc>
          <w:tcPr>
            <w:tcW w:w="79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序号</w:t>
            </w:r>
          </w:p>
        </w:tc>
        <w:tc>
          <w:tcPr>
            <w:tcW w:w="479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处罚事项</w:t>
            </w:r>
          </w:p>
        </w:tc>
        <w:tc>
          <w:tcPr>
            <w:tcW w:w="342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从轻处罚的情形</w:t>
            </w:r>
          </w:p>
        </w:tc>
        <w:tc>
          <w:tcPr>
            <w:tcW w:w="509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从轻处罚的依据</w:t>
            </w:r>
          </w:p>
        </w:tc>
        <w:tc>
          <w:tcPr>
            <w:tcW w:w="72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方正黑体简体" w:hAnsi="方正黑体简体" w:eastAsia="方正黑体简体" w:cs="方正黑体简体"/>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275"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1</w:t>
            </w:r>
          </w:p>
        </w:tc>
        <w:tc>
          <w:tcPr>
            <w:tcW w:w="47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 </w:t>
            </w:r>
          </w:p>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对公共场所经营者安排未获得有效健康合格证明的从业人员从事直接为顾客服务工作的处罚</w:t>
            </w:r>
          </w:p>
        </w:tc>
        <w:tc>
          <w:tcPr>
            <w:tcW w:w="34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及时整改，主动消除或减轻危害后果的</w:t>
            </w:r>
          </w:p>
        </w:tc>
        <w:tc>
          <w:tcPr>
            <w:tcW w:w="50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《公共场所卫生管理条例实施细则》第三十八条、《中华人民共和国行政处罚法》、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136"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2</w:t>
            </w:r>
          </w:p>
        </w:tc>
        <w:tc>
          <w:tcPr>
            <w:tcW w:w="47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对未依法取得公共场所卫生许可证擅自营业的处罚</w:t>
            </w:r>
          </w:p>
        </w:tc>
        <w:tc>
          <w:tcPr>
            <w:tcW w:w="34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擅自营业时间在三个月内，未产生严重后果，且及时整改</w:t>
            </w:r>
          </w:p>
        </w:tc>
        <w:tc>
          <w:tcPr>
            <w:tcW w:w="50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《公共场所卫生管理条例实施细则》第三十五条第一款、《中华人民共和国行政处罚法》、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842"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3</w:t>
            </w:r>
          </w:p>
        </w:tc>
        <w:tc>
          <w:tcPr>
            <w:tcW w:w="47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对集中空调通风系统卫生指标不符合国家卫生标准或规范的；集中空调通风系统未按规定设置卫生设施的；集中空调通风系统未按规定定期检查、清洗和维护的处罚</w:t>
            </w:r>
          </w:p>
        </w:tc>
        <w:tc>
          <w:tcPr>
            <w:tcW w:w="34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及时整改，主动消除或减轻危害后果的</w:t>
            </w:r>
          </w:p>
        </w:tc>
        <w:tc>
          <w:tcPr>
            <w:tcW w:w="50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w:t>
            </w:r>
            <w:r>
              <w:rPr>
                <w:rFonts w:hint="eastAsia" w:ascii="宋体" w:hAnsi="宋体" w:eastAsia="宋体" w:cs="宋体"/>
                <w:color w:val="000000"/>
                <w:sz w:val="24"/>
                <w:szCs w:val="24"/>
                <w:lang w:val="en-US" w:eastAsia="zh-CN"/>
              </w:rPr>
              <w:t>条例实施细则</w:t>
            </w:r>
            <w:r>
              <w:rPr>
                <w:rFonts w:hint="eastAsia" w:ascii="宋体" w:hAnsi="宋体" w:eastAsia="宋体" w:cs="宋体"/>
                <w:color w:val="000000"/>
                <w:sz w:val="24"/>
                <w:szCs w:val="24"/>
              </w:rPr>
              <w:t>》第三十六条、《中华人民共和国行政处罚法》、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626"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4</w:t>
            </w:r>
          </w:p>
        </w:tc>
        <w:tc>
          <w:tcPr>
            <w:tcW w:w="47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处罚</w:t>
            </w:r>
          </w:p>
        </w:tc>
        <w:tc>
          <w:tcPr>
            <w:tcW w:w="34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及时整改，主动消除或减轻危害后果的</w:t>
            </w:r>
          </w:p>
        </w:tc>
        <w:tc>
          <w:tcPr>
            <w:tcW w:w="50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w:t>
            </w:r>
            <w:r>
              <w:rPr>
                <w:rFonts w:hint="eastAsia" w:ascii="宋体" w:hAnsi="宋体" w:eastAsia="宋体" w:cs="宋体"/>
                <w:color w:val="000000"/>
                <w:sz w:val="24"/>
                <w:szCs w:val="24"/>
                <w:lang w:val="en-US" w:eastAsia="zh-CN"/>
              </w:rPr>
              <w:t>条例实施细则</w:t>
            </w:r>
            <w:r>
              <w:rPr>
                <w:rFonts w:hint="eastAsia" w:ascii="宋体" w:hAnsi="宋体" w:eastAsia="宋体" w:cs="宋体"/>
                <w:color w:val="000000"/>
                <w:sz w:val="24"/>
                <w:szCs w:val="24"/>
              </w:rPr>
              <w:t>》第三十五条、《中华人民共和国行政处罚法》、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84"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5</w:t>
            </w:r>
          </w:p>
        </w:tc>
        <w:tc>
          <w:tcPr>
            <w:tcW w:w="47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个人在禁止吸烟场所吸烟的处罚</w:t>
            </w:r>
          </w:p>
        </w:tc>
        <w:tc>
          <w:tcPr>
            <w:tcW w:w="34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未产生严重后果的，且立即整改</w:t>
            </w:r>
          </w:p>
        </w:tc>
        <w:tc>
          <w:tcPr>
            <w:tcW w:w="50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w:t>
            </w:r>
            <w:r>
              <w:rPr>
                <w:rFonts w:hint="eastAsia" w:ascii="宋体" w:hAnsi="宋体" w:eastAsia="宋体" w:cs="宋体"/>
                <w:color w:val="000000"/>
                <w:sz w:val="24"/>
                <w:szCs w:val="24"/>
                <w:lang w:val="en-US" w:eastAsia="zh-CN"/>
              </w:rPr>
              <w:t>实施细则</w:t>
            </w:r>
            <w:r>
              <w:rPr>
                <w:rFonts w:hint="eastAsia" w:ascii="宋体" w:hAnsi="宋体" w:eastAsia="宋体" w:cs="宋体"/>
                <w:color w:val="000000"/>
                <w:sz w:val="24"/>
                <w:szCs w:val="24"/>
              </w:rPr>
              <w:t>》第三十八条第二款、《中华人民共和国行政处罚法》、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28"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6</w:t>
            </w:r>
          </w:p>
        </w:tc>
        <w:tc>
          <w:tcPr>
            <w:tcW w:w="47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《四川省公共场所卫生管理办法》第三十四、三十五、三十六、三十八条规定的“可并处”情形</w:t>
            </w:r>
          </w:p>
        </w:tc>
        <w:tc>
          <w:tcPr>
            <w:tcW w:w="34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未产生严重后果的，且立即整改</w:t>
            </w:r>
          </w:p>
        </w:tc>
        <w:tc>
          <w:tcPr>
            <w:tcW w:w="50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《公共场所卫生管理</w:t>
            </w:r>
            <w:r>
              <w:rPr>
                <w:rFonts w:hint="eastAsia" w:ascii="宋体" w:hAnsi="宋体" w:eastAsia="宋体" w:cs="宋体"/>
                <w:color w:val="000000"/>
                <w:sz w:val="24"/>
                <w:szCs w:val="24"/>
                <w:lang w:val="en-US" w:eastAsia="zh-CN"/>
              </w:rPr>
              <w:t>实施细则</w:t>
            </w:r>
            <w:r>
              <w:rPr>
                <w:rFonts w:hint="eastAsia" w:ascii="宋体" w:hAnsi="宋体" w:eastAsia="宋体" w:cs="宋体"/>
                <w:color w:val="000000"/>
                <w:sz w:val="24"/>
                <w:szCs w:val="24"/>
              </w:rPr>
              <w:t>》</w:t>
            </w:r>
            <w:r>
              <w:rPr>
                <w:rFonts w:hint="eastAsia" w:ascii="宋体" w:hAnsi="宋体" w:eastAsia="宋体" w:cs="宋体"/>
                <w:color w:val="000000"/>
                <w:sz w:val="24"/>
                <w:szCs w:val="24"/>
              </w:rPr>
              <w:t>、《中华人民共和国行政处罚法》、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828" w:hRule="atLeast"/>
          <w:jc w:val="center"/>
        </w:trPr>
        <w:tc>
          <w:tcPr>
            <w:tcW w:w="7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jc w:val="center"/>
            </w:pPr>
            <w:r>
              <w:rPr>
                <w:rFonts w:hint="eastAsia" w:ascii="宋体" w:hAnsi="宋体" w:eastAsia="宋体" w:cs="宋体"/>
                <w:color w:val="000000"/>
                <w:sz w:val="24"/>
                <w:szCs w:val="24"/>
              </w:rPr>
              <w:t>7</w:t>
            </w:r>
          </w:p>
        </w:tc>
        <w:tc>
          <w:tcPr>
            <w:tcW w:w="479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《职业病防治法》七十一、七十四条规定的“可并处”情形</w:t>
            </w:r>
          </w:p>
        </w:tc>
        <w:tc>
          <w:tcPr>
            <w:tcW w:w="342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未产生严重后果的，且立即整改</w:t>
            </w:r>
          </w:p>
        </w:tc>
        <w:tc>
          <w:tcPr>
            <w:tcW w:w="50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100" w:beforeAutospacing="0" w:after="100" w:afterAutospacing="0" w:line="320" w:lineRule="atLeast"/>
              <w:ind w:left="0" w:right="0"/>
            </w:pPr>
            <w:r>
              <w:rPr>
                <w:rFonts w:hint="eastAsia" w:ascii="宋体" w:hAnsi="宋体" w:eastAsia="宋体" w:cs="宋体"/>
                <w:color w:val="000000"/>
                <w:sz w:val="24"/>
                <w:szCs w:val="24"/>
              </w:rPr>
              <w:t>《中华人民共和国职业病防治法》第七十一、七十四条、《中华人民共和国行政处罚法》、</w:t>
            </w:r>
            <w:r>
              <w:rPr>
                <w:rFonts w:hint="eastAsia" w:ascii="宋体" w:hAnsi="宋体" w:eastAsia="宋体" w:cs="宋体"/>
                <w:color w:val="000000"/>
                <w:kern w:val="0"/>
                <w:sz w:val="24"/>
                <w:szCs w:val="24"/>
                <w:lang w:val="en-US" w:eastAsia="zh-CN" w:bidi="ar"/>
              </w:rPr>
              <w:t>《湖南省卫生行政执法自由裁量权基准》</w:t>
            </w:r>
          </w:p>
        </w:tc>
        <w:tc>
          <w:tcPr>
            <w:tcW w:w="72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pPr>
            <w:r>
              <w:rPr>
                <w:rFonts w:hint="default" w:ascii="Calibri" w:hAnsi="Calibri" w:eastAsia="方正仿宋简体" w:cs="Calibri"/>
                <w:b/>
                <w:color w:val="000000"/>
                <w:kern w:val="0"/>
                <w:sz w:val="24"/>
                <w:szCs w:val="24"/>
                <w:lang w:val="en-US" w:eastAsia="zh-CN" w:bidi="ar"/>
              </w:rPr>
              <w:t> </w:t>
            </w:r>
          </w:p>
        </w:tc>
      </w:tr>
    </w:tbl>
    <w:p>
      <w:pPr>
        <w:jc w:val="both"/>
        <w:rPr>
          <w:rFonts w:hint="eastAsia" w:eastAsiaTheme="minorEastAsia"/>
          <w:b/>
          <w:bCs/>
          <w:sz w:val="44"/>
          <w:szCs w:val="44"/>
          <w:lang w:eastAsia="zh-CN"/>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0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2023-10-09T08:53:52Z</dcterms:created>
  <dc:creator>Administrator</dc:creator>
  <cp:lastModifiedBy>Administrator</cp:lastModifiedBy>
  <dcterms:modified xsi:type="dcterms:W3CDTF">2023-10-09T09:04:02Z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