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F3CE27">
      <w:pPr>
        <w:rPr>
          <w:rFonts w:hint="default" w:ascii="Times New Roman" w:hAnsi="Times New Roman" w:eastAsia="仿宋_GB2312" w:cs="Times New Roman"/>
          <w:color w:val="auto"/>
          <w:sz w:val="36"/>
          <w:szCs w:val="36"/>
          <w:u w:val="none"/>
          <w:lang w:val="en-US" w:eastAsia="zh-CN"/>
        </w:rPr>
      </w:pPr>
    </w:p>
    <w:p w14:paraId="2A8C4B22">
      <w:pPr>
        <w:pStyle w:val="55"/>
        <w:rPr>
          <w:rFonts w:hint="default" w:ascii="Times New Roman" w:hAnsi="Times New Roman" w:cs="Times New Roman"/>
          <w:color w:val="auto"/>
          <w:u w:val="none"/>
        </w:rPr>
      </w:pPr>
    </w:p>
    <w:p w14:paraId="480D0400">
      <w:pPr>
        <w:rPr>
          <w:rFonts w:hint="default" w:ascii="Times New Roman" w:hAnsi="Times New Roman" w:eastAsia="仿宋_GB2312" w:cs="Times New Roman"/>
          <w:color w:val="auto"/>
          <w:sz w:val="36"/>
          <w:szCs w:val="36"/>
          <w:u w:val="none"/>
        </w:rPr>
      </w:pPr>
    </w:p>
    <w:p w14:paraId="13CC93F1">
      <w:pPr>
        <w:rPr>
          <w:rFonts w:hint="default" w:ascii="Times New Roman" w:hAnsi="Times New Roman" w:eastAsia="仿宋_GB2312" w:cs="Times New Roman"/>
          <w:color w:val="auto"/>
          <w:sz w:val="36"/>
          <w:szCs w:val="36"/>
          <w:u w:val="none"/>
        </w:rPr>
      </w:pPr>
    </w:p>
    <w:p w14:paraId="1419600A">
      <w:pPr>
        <w:rPr>
          <w:rFonts w:hint="default" w:ascii="Times New Roman" w:hAnsi="Times New Roman" w:eastAsia="仿宋_GB2312" w:cs="Times New Roman"/>
          <w:color w:val="auto"/>
          <w:sz w:val="36"/>
          <w:szCs w:val="36"/>
          <w:u w:val="none"/>
        </w:rPr>
      </w:pPr>
    </w:p>
    <w:p w14:paraId="55C3E520">
      <w:pPr>
        <w:adjustRightInd w:val="0"/>
        <w:snapToGrid w:val="0"/>
        <w:jc w:val="center"/>
        <w:outlineLvl w:val="0"/>
        <w:rPr>
          <w:rFonts w:hint="default" w:ascii="Times New Roman" w:hAnsi="Times New Roman" w:eastAsia="方正小标宋_GBK" w:cs="Times New Roman"/>
          <w:bCs/>
          <w:color w:val="auto"/>
          <w:sz w:val="72"/>
          <w:szCs w:val="72"/>
          <w:u w:val="none"/>
        </w:rPr>
      </w:pPr>
      <w:bookmarkStart w:id="0" w:name="_Toc7532"/>
      <w:bookmarkStart w:id="1" w:name="_Toc14655"/>
      <w:r>
        <w:rPr>
          <w:rFonts w:hint="default" w:ascii="Times New Roman" w:hAnsi="Times New Roman" w:eastAsia="方正小标宋_GBK" w:cs="Times New Roman"/>
          <w:bCs/>
          <w:color w:val="auto"/>
          <w:sz w:val="72"/>
          <w:szCs w:val="72"/>
          <w:u w:val="none"/>
        </w:rPr>
        <w:t>建设项目环境影响报告表</w:t>
      </w:r>
      <w:bookmarkEnd w:id="0"/>
      <w:bookmarkEnd w:id="1"/>
    </w:p>
    <w:p w14:paraId="2E130C19">
      <w:pPr>
        <w:adjustRightInd w:val="0"/>
        <w:snapToGrid w:val="0"/>
        <w:spacing w:before="192" w:beforeLines="80"/>
        <w:jc w:val="center"/>
        <w:rPr>
          <w:rFonts w:hint="default" w:ascii="Times New Roman" w:hAnsi="Times New Roman" w:eastAsia="楷体_GB2312" w:cs="Times New Roman"/>
          <w:bCs/>
          <w:color w:val="auto"/>
          <w:sz w:val="48"/>
          <w:szCs w:val="48"/>
          <w:u w:val="none"/>
        </w:rPr>
      </w:pPr>
      <w:r>
        <w:rPr>
          <w:rFonts w:hint="default" w:ascii="Times New Roman" w:hAnsi="Times New Roman" w:eastAsia="楷体_GB2312" w:cs="Times New Roman"/>
          <w:bCs/>
          <w:color w:val="auto"/>
          <w:sz w:val="48"/>
          <w:szCs w:val="48"/>
          <w:u w:val="none"/>
        </w:rPr>
        <w:t>（污染影响类）</w:t>
      </w:r>
    </w:p>
    <w:p w14:paraId="2FEA1E1E">
      <w:pPr>
        <w:rPr>
          <w:rFonts w:hint="default" w:ascii="Times New Roman" w:hAnsi="Times New Roman" w:cs="Times New Roman"/>
          <w:color w:val="auto"/>
          <w:u w:val="none"/>
        </w:rPr>
      </w:pPr>
    </w:p>
    <w:p w14:paraId="3F235A35">
      <w:pPr>
        <w:jc w:val="center"/>
        <w:rPr>
          <w:rFonts w:hint="default" w:ascii="Times New Roman" w:hAnsi="Times New Roman" w:eastAsia="仿宋" w:cs="Times New Roman"/>
          <w:color w:val="auto"/>
          <w:sz w:val="52"/>
          <w:szCs w:val="52"/>
          <w:u w:val="none"/>
        </w:rPr>
      </w:pPr>
    </w:p>
    <w:p w14:paraId="1531AC9F">
      <w:pPr>
        <w:ind w:firstLine="1040"/>
        <w:rPr>
          <w:rFonts w:hint="default" w:ascii="Times New Roman" w:hAnsi="Times New Roman" w:eastAsia="仿宋" w:cs="Times New Roman"/>
          <w:color w:val="auto"/>
          <w:sz w:val="44"/>
          <w:szCs w:val="44"/>
          <w:u w:val="none"/>
        </w:rPr>
      </w:pPr>
    </w:p>
    <w:p w14:paraId="08388A09">
      <w:pPr>
        <w:ind w:firstLine="1040"/>
        <w:rPr>
          <w:rFonts w:hint="default" w:ascii="Times New Roman" w:hAnsi="Times New Roman" w:eastAsia="仿宋" w:cs="Times New Roman"/>
          <w:color w:val="auto"/>
          <w:sz w:val="44"/>
          <w:szCs w:val="44"/>
          <w:u w:val="none"/>
        </w:rPr>
      </w:pPr>
    </w:p>
    <w:p w14:paraId="3F9C5C36">
      <w:pPr>
        <w:ind w:firstLine="1040"/>
        <w:rPr>
          <w:rFonts w:hint="default" w:ascii="Times New Roman" w:hAnsi="Times New Roman" w:eastAsia="仿宋" w:cs="Times New Roman"/>
          <w:color w:val="auto"/>
          <w:sz w:val="44"/>
          <w:szCs w:val="44"/>
          <w:u w:val="none"/>
        </w:rPr>
      </w:pPr>
    </w:p>
    <w:p w14:paraId="63F2502F">
      <w:pPr>
        <w:spacing w:line="360" w:lineRule="auto"/>
        <w:ind w:firstLine="3520" w:firstLineChars="800"/>
        <w:rPr>
          <w:rFonts w:hint="default" w:ascii="Times New Roman" w:hAnsi="Times New Roman" w:eastAsia="仿宋" w:cs="Times New Roman"/>
          <w:color w:val="auto"/>
          <w:sz w:val="44"/>
          <w:szCs w:val="44"/>
          <w:u w:val="none"/>
        </w:rPr>
      </w:pPr>
    </w:p>
    <w:p w14:paraId="2C2739F9">
      <w:pPr>
        <w:adjustRightInd w:val="0"/>
        <w:snapToGrid w:val="0"/>
        <w:spacing w:line="360" w:lineRule="auto"/>
        <w:ind w:firstLine="360" w:firstLineChars="100"/>
        <w:rPr>
          <w:rFonts w:hint="default" w:ascii="Times New Roman" w:hAnsi="Times New Roman" w:eastAsia="仿宋_GB2312" w:cs="Times New Roman"/>
          <w:color w:val="auto"/>
          <w:sz w:val="36"/>
          <w:szCs w:val="36"/>
          <w:u w:val="none"/>
          <w:lang w:eastAsia="zh-CN"/>
        </w:rPr>
      </w:pPr>
      <w:r>
        <w:rPr>
          <w:rFonts w:hint="default" w:ascii="Times New Roman" w:hAnsi="Times New Roman" w:eastAsia="仿宋_GB2312" w:cs="Times New Roman"/>
          <w:color w:val="auto"/>
          <w:sz w:val="36"/>
          <w:szCs w:val="36"/>
          <w:u w:val="none"/>
        </w:rPr>
        <w:t xml:space="preserve">项目名称：   </w:t>
      </w:r>
      <w:r>
        <w:rPr>
          <w:rFonts w:hint="default" w:ascii="Times New Roman" w:hAnsi="Times New Roman" w:eastAsia="仿宋_GB2312" w:cs="Times New Roman"/>
          <w:color w:val="auto"/>
          <w:sz w:val="36"/>
          <w:szCs w:val="36"/>
          <w:u w:val="none"/>
          <w:lang w:eastAsia="zh-CN"/>
        </w:rPr>
        <w:t>湖南新辉塑胶有限公司热塑性聚氨酯弹性体生产项目</w:t>
      </w:r>
    </w:p>
    <w:p w14:paraId="34066EA1">
      <w:pPr>
        <w:adjustRightInd w:val="0"/>
        <w:snapToGrid w:val="0"/>
        <w:spacing w:line="360" w:lineRule="auto"/>
        <w:ind w:firstLine="360" w:firstLineChars="1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 xml:space="preserve">建设单位：   </w:t>
      </w:r>
      <w:r>
        <w:rPr>
          <w:rFonts w:hint="default" w:ascii="Times New Roman" w:hAnsi="Times New Roman" w:eastAsia="仿宋_GB2312" w:cs="Times New Roman"/>
          <w:color w:val="auto"/>
          <w:sz w:val="36"/>
          <w:szCs w:val="36"/>
          <w:u w:val="none"/>
          <w:lang w:eastAsia="zh-CN"/>
        </w:rPr>
        <w:t>湖南新辉塑胶有限公司</w:t>
      </w:r>
      <w:r>
        <w:rPr>
          <w:rFonts w:hint="default" w:ascii="Times New Roman" w:hAnsi="Times New Roman" w:eastAsia="仿宋_GB2312" w:cs="Times New Roman"/>
          <w:color w:val="auto"/>
          <w:sz w:val="36"/>
          <w:szCs w:val="36"/>
          <w:u w:val="none"/>
        </w:rPr>
        <w:t xml:space="preserve">      </w:t>
      </w:r>
    </w:p>
    <w:p w14:paraId="3CB4CB9E">
      <w:pPr>
        <w:adjustRightInd w:val="0"/>
        <w:snapToGrid w:val="0"/>
        <w:spacing w:line="360" w:lineRule="auto"/>
        <w:ind w:firstLine="360" w:firstLineChars="100"/>
        <w:rPr>
          <w:rFonts w:hint="default" w:ascii="Times New Roman" w:hAnsi="Times New Roman" w:eastAsia="仿宋_GB2312" w:cs="Times New Roman"/>
          <w:color w:val="auto"/>
          <w:sz w:val="36"/>
          <w:szCs w:val="36"/>
          <w:u w:val="none"/>
        </w:rPr>
      </w:pPr>
      <w:r>
        <w:rPr>
          <w:rFonts w:hint="default" w:ascii="Times New Roman" w:hAnsi="Times New Roman" w:eastAsia="仿宋_GB2312" w:cs="Times New Roman"/>
          <w:color w:val="auto"/>
          <w:sz w:val="36"/>
          <w:szCs w:val="36"/>
          <w:u w:val="none"/>
        </w:rPr>
        <w:t>编制日期：         202</w:t>
      </w:r>
      <w:r>
        <w:rPr>
          <w:rFonts w:hint="default" w:ascii="Times New Roman" w:hAnsi="Times New Roman" w:eastAsia="仿宋_GB2312" w:cs="Times New Roman"/>
          <w:color w:val="auto"/>
          <w:sz w:val="36"/>
          <w:szCs w:val="36"/>
          <w:u w:val="none"/>
          <w:lang w:val="en-US" w:eastAsia="zh-CN"/>
        </w:rPr>
        <w:t>6</w:t>
      </w:r>
      <w:r>
        <w:rPr>
          <w:rFonts w:hint="default" w:ascii="Times New Roman" w:hAnsi="Times New Roman" w:eastAsia="仿宋_GB2312" w:cs="Times New Roman"/>
          <w:color w:val="auto"/>
          <w:sz w:val="36"/>
          <w:szCs w:val="36"/>
          <w:u w:val="none"/>
        </w:rPr>
        <w:t>年</w:t>
      </w:r>
      <w:r>
        <w:rPr>
          <w:rFonts w:hint="default" w:ascii="Times New Roman" w:hAnsi="Times New Roman" w:eastAsia="仿宋_GB2312" w:cs="Times New Roman"/>
          <w:color w:val="auto"/>
          <w:sz w:val="36"/>
          <w:szCs w:val="36"/>
          <w:u w:val="none"/>
          <w:lang w:val="en-US" w:eastAsia="zh-CN"/>
        </w:rPr>
        <w:t>8</w:t>
      </w:r>
      <w:r>
        <w:rPr>
          <w:rFonts w:hint="default" w:ascii="Times New Roman" w:hAnsi="Times New Roman" w:eastAsia="仿宋_GB2312" w:cs="Times New Roman"/>
          <w:color w:val="auto"/>
          <w:sz w:val="36"/>
          <w:szCs w:val="36"/>
          <w:u w:val="none"/>
        </w:rPr>
        <w:t xml:space="preserve">月       </w:t>
      </w:r>
    </w:p>
    <w:p w14:paraId="3DA647DC">
      <w:pPr>
        <w:adjustRightInd w:val="0"/>
        <w:snapToGrid w:val="0"/>
        <w:spacing w:line="288" w:lineRule="auto"/>
        <w:jc w:val="center"/>
        <w:rPr>
          <w:rFonts w:hint="default" w:ascii="Times New Roman" w:hAnsi="Times New Roman" w:eastAsia="仿宋_GB2312" w:cs="Times New Roman"/>
          <w:color w:val="auto"/>
          <w:sz w:val="36"/>
          <w:szCs w:val="36"/>
          <w:u w:val="none"/>
        </w:rPr>
      </w:pPr>
      <w:bookmarkStart w:id="2" w:name="_Hlk57884087"/>
    </w:p>
    <w:p w14:paraId="0A4643B3">
      <w:pPr>
        <w:adjustRightInd w:val="0"/>
        <w:snapToGrid w:val="0"/>
        <w:spacing w:line="288" w:lineRule="auto"/>
        <w:ind w:firstLine="1040"/>
        <w:rPr>
          <w:rFonts w:hint="default" w:ascii="Times New Roman" w:hAnsi="Times New Roman" w:eastAsia="仿宋_GB2312" w:cs="Times New Roman"/>
          <w:color w:val="auto"/>
          <w:sz w:val="36"/>
          <w:szCs w:val="36"/>
          <w:u w:val="none"/>
        </w:rPr>
      </w:pPr>
    </w:p>
    <w:p w14:paraId="656CEBB4">
      <w:pPr>
        <w:adjustRightInd w:val="0"/>
        <w:snapToGrid w:val="0"/>
        <w:spacing w:line="288" w:lineRule="auto"/>
        <w:ind w:firstLine="1040"/>
        <w:rPr>
          <w:rFonts w:hint="default" w:ascii="Times New Roman" w:hAnsi="Times New Roman" w:eastAsia="仿宋_GB2312" w:cs="Times New Roman"/>
          <w:color w:val="auto"/>
          <w:sz w:val="36"/>
          <w:szCs w:val="36"/>
          <w:u w:val="none"/>
        </w:rPr>
      </w:pPr>
    </w:p>
    <w:p w14:paraId="483E0AA8">
      <w:pPr>
        <w:adjustRightInd w:val="0"/>
        <w:snapToGrid w:val="0"/>
        <w:spacing w:line="288" w:lineRule="auto"/>
        <w:ind w:firstLine="1040"/>
        <w:rPr>
          <w:rFonts w:hint="default" w:ascii="Times New Roman" w:hAnsi="Times New Roman" w:eastAsia="仿宋_GB2312" w:cs="Times New Roman"/>
          <w:color w:val="auto"/>
          <w:sz w:val="36"/>
          <w:szCs w:val="36"/>
          <w:u w:val="none"/>
        </w:rPr>
      </w:pPr>
    </w:p>
    <w:p w14:paraId="44649CAE">
      <w:pPr>
        <w:adjustRightInd w:val="0"/>
        <w:snapToGrid w:val="0"/>
        <w:spacing w:line="288" w:lineRule="auto"/>
        <w:ind w:firstLine="1040"/>
        <w:rPr>
          <w:rFonts w:hint="default" w:ascii="Times New Roman" w:hAnsi="Times New Roman" w:eastAsia="仿宋_GB2312" w:cs="Times New Roman"/>
          <w:color w:val="auto"/>
          <w:sz w:val="36"/>
          <w:szCs w:val="36"/>
          <w:u w:val="none"/>
        </w:rPr>
      </w:pPr>
    </w:p>
    <w:bookmarkEnd w:id="2"/>
    <w:p w14:paraId="4E9CB367">
      <w:pPr>
        <w:adjustRightInd w:val="0"/>
        <w:snapToGrid w:val="0"/>
        <w:spacing w:line="288" w:lineRule="auto"/>
        <w:jc w:val="center"/>
        <w:rPr>
          <w:rFonts w:hint="default" w:ascii="Times New Roman" w:hAnsi="Times New Roman" w:eastAsia="楷体_GB2312" w:cs="Times New Roman"/>
          <w:color w:val="auto"/>
          <w:sz w:val="36"/>
          <w:szCs w:val="36"/>
          <w:u w:val="none"/>
        </w:rPr>
      </w:pPr>
      <w:r>
        <w:rPr>
          <w:rFonts w:hint="default" w:ascii="Times New Roman" w:hAnsi="Times New Roman" w:eastAsia="楷体_GB2312" w:cs="Times New Roman"/>
          <w:color w:val="auto"/>
          <w:sz w:val="36"/>
          <w:szCs w:val="36"/>
          <w:u w:val="none"/>
        </w:rPr>
        <w:t>中华人民共和国生态环境部制</w:t>
      </w:r>
    </w:p>
    <w:p w14:paraId="4769E4BD">
      <w:pPr>
        <w:adjustRightInd w:val="0"/>
        <w:snapToGrid w:val="0"/>
        <w:spacing w:line="288" w:lineRule="auto"/>
        <w:ind w:firstLine="1040"/>
        <w:rPr>
          <w:rFonts w:hint="default" w:ascii="Times New Roman" w:hAnsi="Times New Roman" w:eastAsia="仿宋_GB2312" w:cs="Times New Roman"/>
          <w:color w:val="auto"/>
          <w:sz w:val="36"/>
          <w:szCs w:val="36"/>
          <w:u w:val="none"/>
        </w:rPr>
        <w:sectPr>
          <w:headerReference r:id="rId3" w:type="default"/>
          <w:footerReference r:id="rId4" w:type="default"/>
          <w:footerReference r:id="rId5" w:type="even"/>
          <w:pgSz w:w="11906" w:h="16838"/>
          <w:pgMar w:top="1349" w:right="1559" w:bottom="1763" w:left="1417" w:header="851" w:footer="1077" w:gutter="0"/>
          <w:pgBorders>
            <w:top w:val="none" w:sz="0" w:space="0"/>
            <w:left w:val="none" w:sz="0" w:space="0"/>
            <w:bottom w:val="none" w:sz="0" w:space="0"/>
            <w:right w:val="none" w:sz="0" w:space="0"/>
          </w:pgBorders>
          <w:pgNumType w:start="3"/>
          <w:cols w:space="720" w:num="1"/>
          <w:docGrid w:linePitch="312" w:charSpace="0"/>
        </w:sectPr>
      </w:pPr>
    </w:p>
    <w:p w14:paraId="1A80D746">
      <w:pPr>
        <w:spacing w:line="360" w:lineRule="auto"/>
        <w:jc w:val="center"/>
        <w:outlineLvl w:val="0"/>
        <w:rPr>
          <w:rFonts w:hint="default" w:ascii="Times New Roman" w:hAnsi="Times New Roman" w:cs="Times New Roman"/>
          <w:b/>
          <w:bCs/>
          <w:color w:val="auto"/>
          <w:sz w:val="32"/>
          <w:szCs w:val="32"/>
          <w:u w:val="none"/>
        </w:rPr>
      </w:pPr>
      <w:bookmarkStart w:id="3" w:name="_Toc24803"/>
      <w:bookmarkStart w:id="4" w:name="_Toc13275"/>
      <w:r>
        <w:rPr>
          <w:rFonts w:hint="default" w:ascii="Times New Roman" w:hAnsi="Times New Roman" w:cs="Times New Roman"/>
          <w:b/>
          <w:bCs/>
          <w:color w:val="auto"/>
          <w:sz w:val="32"/>
          <w:szCs w:val="32"/>
          <w:u w:val="none"/>
        </w:rPr>
        <w:t>一、建设项目基本情况</w:t>
      </w:r>
      <w:bookmarkEnd w:id="3"/>
      <w:bookmarkEnd w:id="4"/>
    </w:p>
    <w:tbl>
      <w:tblPr>
        <w:tblStyle w:val="38"/>
        <w:tblW w:w="5026"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306"/>
        <w:gridCol w:w="2427"/>
        <w:gridCol w:w="1713"/>
        <w:gridCol w:w="3424"/>
      </w:tblGrid>
      <w:tr w14:paraId="023E3D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736" w:type="pct"/>
            <w:tcMar>
              <w:top w:w="16" w:type="dxa"/>
              <w:left w:w="16" w:type="dxa"/>
              <w:right w:w="16" w:type="dxa"/>
            </w:tcMar>
            <w:vAlign w:val="center"/>
          </w:tcPr>
          <w:p w14:paraId="54E3A5B2">
            <w:pPr>
              <w:adjustRightInd w:val="0"/>
              <w:snapToGrid w:val="0"/>
              <w:jc w:val="center"/>
              <w:rPr>
                <w:rFonts w:hint="default" w:ascii="Times New Roman" w:hAnsi="Times New Roman" w:cs="Times New Roman"/>
                <w:color w:val="auto"/>
                <w:sz w:val="24"/>
                <w:u w:val="none"/>
              </w:rPr>
            </w:pPr>
            <w:r>
              <w:rPr>
                <w:rFonts w:hint="default" w:ascii="Times New Roman" w:hAnsi="Times New Roman" w:cs="Times New Roman"/>
                <w:color w:val="auto"/>
                <w:sz w:val="24"/>
                <w:u w:val="none"/>
              </w:rPr>
              <w:t>建设项目名称</w:t>
            </w:r>
          </w:p>
        </w:tc>
        <w:tc>
          <w:tcPr>
            <w:tcW w:w="4263" w:type="pct"/>
            <w:gridSpan w:val="3"/>
            <w:vAlign w:val="center"/>
          </w:tcPr>
          <w:p w14:paraId="73E0AA09">
            <w:pPr>
              <w:adjustRightInd w:val="0"/>
              <w:snapToGrid w:val="0"/>
              <w:jc w:val="center"/>
              <w:rPr>
                <w:rFonts w:hint="default" w:ascii="Times New Roman" w:hAnsi="Times New Roman" w:eastAsia="宋体" w:cs="Times New Roman"/>
                <w:color w:val="auto"/>
                <w:sz w:val="24"/>
                <w:u w:val="none"/>
                <w:lang w:eastAsia="zh-CN"/>
              </w:rPr>
            </w:pPr>
            <w:r>
              <w:rPr>
                <w:rFonts w:hint="default" w:ascii="Times New Roman" w:hAnsi="Times New Roman" w:cs="Times New Roman"/>
                <w:color w:val="auto"/>
                <w:sz w:val="24"/>
                <w:u w:val="none"/>
                <w:lang w:eastAsia="zh-CN"/>
              </w:rPr>
              <w:t>湖南新辉塑胶有限公司热塑性聚氨酯弹性体生产项目</w:t>
            </w:r>
          </w:p>
        </w:tc>
      </w:tr>
      <w:tr w14:paraId="5CE6A1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736" w:type="pct"/>
            <w:tcMar>
              <w:top w:w="16" w:type="dxa"/>
              <w:left w:w="16" w:type="dxa"/>
              <w:right w:w="16" w:type="dxa"/>
            </w:tcMar>
            <w:vAlign w:val="center"/>
          </w:tcPr>
          <w:p w14:paraId="7BFB5D3F">
            <w:pPr>
              <w:adjustRightInd w:val="0"/>
              <w:snapToGrid w:val="0"/>
              <w:jc w:val="center"/>
              <w:rPr>
                <w:rFonts w:hint="default" w:ascii="Times New Roman" w:hAnsi="Times New Roman" w:cs="Times New Roman"/>
                <w:color w:val="auto"/>
                <w:sz w:val="24"/>
                <w:u w:val="none"/>
              </w:rPr>
            </w:pPr>
            <w:r>
              <w:rPr>
                <w:rFonts w:hint="default" w:ascii="Times New Roman" w:hAnsi="Times New Roman" w:cs="Times New Roman"/>
                <w:color w:val="auto"/>
                <w:sz w:val="24"/>
                <w:u w:val="none"/>
              </w:rPr>
              <w:t>项目代码</w:t>
            </w:r>
          </w:p>
        </w:tc>
        <w:tc>
          <w:tcPr>
            <w:tcW w:w="4263" w:type="pct"/>
            <w:gridSpan w:val="3"/>
            <w:vAlign w:val="center"/>
          </w:tcPr>
          <w:p w14:paraId="73D730CE">
            <w:pPr>
              <w:adjustRightInd w:val="0"/>
              <w:snapToGrid w:val="0"/>
              <w:jc w:val="center"/>
              <w:rPr>
                <w:rFonts w:hint="default" w:ascii="Times New Roman" w:hAnsi="Times New Roman" w:eastAsia="宋体" w:cs="Times New Roman"/>
                <w:color w:val="auto"/>
                <w:sz w:val="24"/>
                <w:u w:val="none"/>
                <w:lang w:eastAsia="zh-CN"/>
              </w:rPr>
            </w:pPr>
            <w:r>
              <w:rPr>
                <w:rFonts w:hint="default" w:ascii="Times New Roman" w:hAnsi="Times New Roman" w:cs="Times New Roman"/>
                <w:color w:val="auto"/>
                <w:sz w:val="24"/>
                <w:u w:val="none"/>
                <w:lang w:val="en-US" w:eastAsia="zh-CN"/>
              </w:rPr>
              <w:t>/</w:t>
            </w:r>
          </w:p>
        </w:tc>
      </w:tr>
      <w:tr w14:paraId="06D48B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736" w:type="pct"/>
            <w:tcMar>
              <w:top w:w="16" w:type="dxa"/>
              <w:left w:w="16" w:type="dxa"/>
              <w:right w:w="16" w:type="dxa"/>
            </w:tcMar>
            <w:vAlign w:val="center"/>
          </w:tcPr>
          <w:p w14:paraId="223BBCD8">
            <w:pPr>
              <w:adjustRightInd w:val="0"/>
              <w:snapToGrid w:val="0"/>
              <w:jc w:val="center"/>
              <w:rPr>
                <w:rFonts w:hint="default" w:ascii="Times New Roman" w:hAnsi="Times New Roman" w:cs="Times New Roman"/>
                <w:color w:val="auto"/>
                <w:sz w:val="24"/>
                <w:u w:val="none"/>
              </w:rPr>
            </w:pPr>
            <w:r>
              <w:rPr>
                <w:rFonts w:hint="default" w:ascii="Times New Roman" w:hAnsi="Times New Roman" w:cs="Times New Roman"/>
                <w:color w:val="auto"/>
                <w:sz w:val="24"/>
                <w:u w:val="none"/>
              </w:rPr>
              <w:t>建设单位</w:t>
            </w:r>
          </w:p>
          <w:p w14:paraId="014212F6">
            <w:pPr>
              <w:adjustRightInd w:val="0"/>
              <w:snapToGrid w:val="0"/>
              <w:jc w:val="center"/>
              <w:rPr>
                <w:rFonts w:hint="default" w:ascii="Times New Roman" w:hAnsi="Times New Roman" w:cs="Times New Roman"/>
                <w:color w:val="auto"/>
                <w:sz w:val="24"/>
                <w:u w:val="none"/>
              </w:rPr>
            </w:pPr>
            <w:r>
              <w:rPr>
                <w:rFonts w:hint="default" w:ascii="Times New Roman" w:hAnsi="Times New Roman" w:cs="Times New Roman"/>
                <w:color w:val="auto"/>
                <w:sz w:val="24"/>
                <w:u w:val="none"/>
              </w:rPr>
              <w:t>联系人</w:t>
            </w:r>
          </w:p>
        </w:tc>
        <w:tc>
          <w:tcPr>
            <w:tcW w:w="1368" w:type="pct"/>
            <w:vAlign w:val="center"/>
          </w:tcPr>
          <w:p w14:paraId="7558A78A">
            <w:pPr>
              <w:jc w:val="center"/>
              <w:rPr>
                <w:rFonts w:hint="default" w:ascii="Times New Roman" w:hAnsi="Times New Roman" w:eastAsia="宋体" w:cs="Times New Roman"/>
                <w:color w:val="auto"/>
                <w:sz w:val="24"/>
                <w:u w:val="none"/>
              </w:rPr>
            </w:pPr>
            <w:r>
              <w:rPr>
                <w:rFonts w:hint="default" w:ascii="Times New Roman" w:hAnsi="Times New Roman" w:eastAsia="宋体" w:cs="Times New Roman"/>
                <w:color w:val="auto"/>
                <w:sz w:val="24"/>
                <w:u w:val="none"/>
                <w:lang w:val="en-US" w:eastAsia="zh-CN"/>
              </w:rPr>
              <w:t>陈松</w:t>
            </w:r>
          </w:p>
        </w:tc>
        <w:tc>
          <w:tcPr>
            <w:tcW w:w="965" w:type="pct"/>
            <w:vAlign w:val="center"/>
          </w:tcPr>
          <w:p w14:paraId="14641F78">
            <w:pPr>
              <w:jc w:val="center"/>
              <w:rPr>
                <w:rFonts w:hint="default" w:ascii="Times New Roman" w:hAnsi="Times New Roman" w:eastAsia="宋体" w:cs="Times New Roman"/>
                <w:color w:val="auto"/>
                <w:sz w:val="24"/>
                <w:u w:val="none"/>
              </w:rPr>
            </w:pPr>
            <w:r>
              <w:rPr>
                <w:rFonts w:hint="default" w:ascii="Times New Roman" w:hAnsi="Times New Roman" w:eastAsia="宋体" w:cs="Times New Roman"/>
                <w:color w:val="auto"/>
                <w:sz w:val="24"/>
                <w:u w:val="none"/>
              </w:rPr>
              <w:t>联系方式</w:t>
            </w:r>
          </w:p>
        </w:tc>
        <w:tc>
          <w:tcPr>
            <w:tcW w:w="1930" w:type="pct"/>
            <w:vAlign w:val="center"/>
          </w:tcPr>
          <w:p w14:paraId="6B48387A">
            <w:pPr>
              <w:jc w:val="center"/>
              <w:rPr>
                <w:rFonts w:hint="default" w:ascii="Times New Roman" w:hAnsi="Times New Roman" w:eastAsia="宋体" w:cs="Times New Roman"/>
                <w:color w:val="auto"/>
                <w:sz w:val="24"/>
                <w:u w:val="none"/>
                <w:lang w:val="en-US"/>
              </w:rPr>
            </w:pPr>
            <w:bookmarkStart w:id="32" w:name="_GoBack"/>
            <w:bookmarkEnd w:id="32"/>
          </w:p>
        </w:tc>
      </w:tr>
      <w:tr w14:paraId="33A433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736" w:type="pct"/>
            <w:tcMar>
              <w:top w:w="16" w:type="dxa"/>
              <w:left w:w="16" w:type="dxa"/>
              <w:right w:w="16" w:type="dxa"/>
            </w:tcMar>
            <w:vAlign w:val="center"/>
          </w:tcPr>
          <w:p w14:paraId="7BCB3DF0">
            <w:pPr>
              <w:adjustRightInd w:val="0"/>
              <w:snapToGrid w:val="0"/>
              <w:jc w:val="center"/>
              <w:rPr>
                <w:rFonts w:hint="default" w:ascii="Times New Roman" w:hAnsi="Times New Roman" w:cs="Times New Roman"/>
                <w:color w:val="auto"/>
                <w:sz w:val="24"/>
                <w:u w:val="none"/>
              </w:rPr>
            </w:pPr>
            <w:r>
              <w:rPr>
                <w:rFonts w:hint="default" w:ascii="Times New Roman" w:hAnsi="Times New Roman" w:cs="Times New Roman"/>
                <w:color w:val="auto"/>
                <w:sz w:val="24"/>
                <w:u w:val="none"/>
              </w:rPr>
              <w:t>建设地点</w:t>
            </w:r>
          </w:p>
        </w:tc>
        <w:tc>
          <w:tcPr>
            <w:tcW w:w="4263" w:type="pct"/>
            <w:gridSpan w:val="3"/>
            <w:vAlign w:val="center"/>
          </w:tcPr>
          <w:p w14:paraId="008F1AAA">
            <w:pPr>
              <w:jc w:val="center"/>
              <w:rPr>
                <w:rFonts w:hint="default" w:ascii="Times New Roman" w:hAnsi="Times New Roman" w:eastAsia="宋体" w:cs="Times New Roman"/>
                <w:color w:val="auto"/>
                <w:sz w:val="24"/>
                <w:u w:val="none"/>
                <w:lang w:eastAsia="zh-CN"/>
              </w:rPr>
            </w:pPr>
            <w:r>
              <w:rPr>
                <w:rFonts w:hint="default" w:ascii="Times New Roman" w:hAnsi="Times New Roman" w:cs="Times New Roman"/>
                <w:color w:val="auto"/>
                <w:sz w:val="24"/>
                <w:u w:val="none"/>
                <w:lang w:eastAsia="zh-CN"/>
              </w:rPr>
              <w:t>永州市东安县白牙市镇工业园金源路3号厂房1楼</w:t>
            </w:r>
          </w:p>
        </w:tc>
      </w:tr>
      <w:tr w14:paraId="4C03FB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736" w:type="pct"/>
            <w:tcMar>
              <w:top w:w="16" w:type="dxa"/>
              <w:left w:w="16" w:type="dxa"/>
              <w:right w:w="16" w:type="dxa"/>
            </w:tcMar>
            <w:vAlign w:val="center"/>
          </w:tcPr>
          <w:p w14:paraId="7BB4A0AD">
            <w:pPr>
              <w:adjustRightInd w:val="0"/>
              <w:snapToGrid w:val="0"/>
              <w:jc w:val="center"/>
              <w:rPr>
                <w:rFonts w:hint="default" w:ascii="Times New Roman" w:hAnsi="Times New Roman" w:cs="Times New Roman"/>
                <w:color w:val="auto"/>
                <w:sz w:val="24"/>
                <w:u w:val="none"/>
              </w:rPr>
            </w:pPr>
            <w:r>
              <w:rPr>
                <w:rFonts w:hint="default" w:ascii="Times New Roman" w:hAnsi="Times New Roman" w:cs="Times New Roman"/>
                <w:color w:val="auto"/>
                <w:sz w:val="24"/>
                <w:u w:val="none"/>
              </w:rPr>
              <w:t>地理坐标</w:t>
            </w:r>
          </w:p>
        </w:tc>
        <w:tc>
          <w:tcPr>
            <w:tcW w:w="4263" w:type="pct"/>
            <w:gridSpan w:val="3"/>
            <w:vAlign w:val="center"/>
          </w:tcPr>
          <w:p w14:paraId="51DAF9ED">
            <w:pPr>
              <w:jc w:val="center"/>
              <w:rPr>
                <w:rFonts w:hint="default" w:ascii="Times New Roman" w:hAnsi="Times New Roman" w:eastAsia="宋体" w:cs="Times New Roman"/>
                <w:color w:val="auto"/>
                <w:sz w:val="24"/>
                <w:u w:val="none"/>
                <w:lang w:eastAsia="zh-CN"/>
              </w:rPr>
            </w:pPr>
            <w:r>
              <w:rPr>
                <w:rFonts w:hint="default" w:ascii="Times New Roman" w:hAnsi="Times New Roman" w:cs="Times New Roman"/>
                <w:color w:val="auto"/>
                <w:sz w:val="24"/>
                <w:u w:val="none"/>
              </w:rPr>
              <w:t>东经</w:t>
            </w:r>
            <w:r>
              <w:rPr>
                <w:rFonts w:hint="default" w:ascii="Times New Roman" w:hAnsi="Times New Roman" w:cs="Times New Roman"/>
                <w:color w:val="auto"/>
                <w:sz w:val="24"/>
                <w:u w:val="none"/>
                <w:lang w:eastAsia="zh-CN"/>
              </w:rPr>
              <w:t>111.329699°</w:t>
            </w:r>
            <w:r>
              <w:rPr>
                <w:rFonts w:hint="default" w:ascii="Times New Roman" w:hAnsi="Times New Roman" w:cs="Times New Roman"/>
                <w:color w:val="auto"/>
                <w:sz w:val="24"/>
                <w:u w:val="none"/>
              </w:rPr>
              <w:t>，北纬</w:t>
            </w:r>
            <w:r>
              <w:rPr>
                <w:rFonts w:hint="default" w:ascii="Times New Roman" w:hAnsi="Times New Roman" w:cs="Times New Roman"/>
                <w:color w:val="auto"/>
                <w:sz w:val="24"/>
                <w:u w:val="none"/>
                <w:lang w:eastAsia="zh-CN"/>
              </w:rPr>
              <w:t>26.405285°</w:t>
            </w:r>
          </w:p>
        </w:tc>
      </w:tr>
      <w:tr w14:paraId="5C30E9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736" w:type="pct"/>
            <w:tcMar>
              <w:top w:w="16" w:type="dxa"/>
              <w:left w:w="16" w:type="dxa"/>
              <w:right w:w="16" w:type="dxa"/>
            </w:tcMar>
            <w:vAlign w:val="center"/>
          </w:tcPr>
          <w:p w14:paraId="508E1A89">
            <w:pPr>
              <w:adjustRightInd w:val="0"/>
              <w:snapToGrid w:val="0"/>
              <w:jc w:val="center"/>
              <w:rPr>
                <w:rFonts w:hint="default" w:ascii="Times New Roman" w:hAnsi="Times New Roman" w:cs="Times New Roman"/>
                <w:color w:val="auto"/>
                <w:sz w:val="24"/>
                <w:u w:val="none"/>
              </w:rPr>
            </w:pPr>
            <w:r>
              <w:rPr>
                <w:rFonts w:hint="default" w:ascii="Times New Roman" w:hAnsi="Times New Roman" w:cs="Times New Roman"/>
                <w:color w:val="auto"/>
                <w:sz w:val="24"/>
                <w:u w:val="none"/>
              </w:rPr>
              <w:t>国民经济</w:t>
            </w:r>
          </w:p>
          <w:p w14:paraId="0AE5864A">
            <w:pPr>
              <w:adjustRightInd w:val="0"/>
              <w:snapToGrid w:val="0"/>
              <w:jc w:val="center"/>
              <w:rPr>
                <w:rFonts w:hint="default" w:ascii="Times New Roman" w:hAnsi="Times New Roman" w:cs="Times New Roman"/>
                <w:color w:val="auto"/>
                <w:sz w:val="24"/>
                <w:u w:val="none"/>
              </w:rPr>
            </w:pPr>
            <w:r>
              <w:rPr>
                <w:rFonts w:hint="default" w:ascii="Times New Roman" w:hAnsi="Times New Roman" w:cs="Times New Roman"/>
                <w:color w:val="auto"/>
                <w:sz w:val="24"/>
                <w:u w:val="none"/>
              </w:rPr>
              <w:t>行业类别</w:t>
            </w:r>
          </w:p>
        </w:tc>
        <w:tc>
          <w:tcPr>
            <w:tcW w:w="1368" w:type="pct"/>
            <w:vAlign w:val="center"/>
          </w:tcPr>
          <w:p w14:paraId="7D6169DC">
            <w:pPr>
              <w:adjustRightInd w:val="0"/>
              <w:snapToGrid w:val="0"/>
              <w:jc w:val="center"/>
              <w:rPr>
                <w:rFonts w:hint="default" w:ascii="Times New Roman" w:hAnsi="Times New Roman" w:eastAsia="宋体" w:cs="Times New Roman"/>
                <w:color w:val="auto"/>
                <w:sz w:val="24"/>
                <w:u w:val="none"/>
              </w:rPr>
            </w:pPr>
            <w:r>
              <w:rPr>
                <w:rFonts w:hint="default" w:ascii="Times New Roman" w:hAnsi="Times New Roman" w:eastAsia="宋体" w:cs="Times New Roman"/>
                <w:color w:val="auto"/>
                <w:sz w:val="24"/>
                <w:u w:val="none"/>
              </w:rPr>
              <w:t>C2929 塑料零件及其他塑料制品制造</w:t>
            </w:r>
          </w:p>
        </w:tc>
        <w:tc>
          <w:tcPr>
            <w:tcW w:w="965" w:type="pct"/>
            <w:vAlign w:val="center"/>
          </w:tcPr>
          <w:p w14:paraId="10651CAE">
            <w:pPr>
              <w:adjustRightInd w:val="0"/>
              <w:snapToGrid w:val="0"/>
              <w:jc w:val="center"/>
              <w:rPr>
                <w:rFonts w:hint="default" w:ascii="Times New Roman" w:hAnsi="Times New Roman" w:eastAsia="宋体" w:cs="Times New Roman"/>
                <w:color w:val="auto"/>
                <w:sz w:val="24"/>
                <w:u w:val="none"/>
              </w:rPr>
            </w:pPr>
            <w:bookmarkStart w:id="5" w:name="_Hlk49843745"/>
            <w:r>
              <w:rPr>
                <w:rFonts w:hint="default" w:ascii="Times New Roman" w:hAnsi="Times New Roman" w:eastAsia="宋体" w:cs="Times New Roman"/>
                <w:color w:val="auto"/>
                <w:sz w:val="24"/>
                <w:u w:val="none"/>
              </w:rPr>
              <w:t>建设项目</w:t>
            </w:r>
          </w:p>
          <w:p w14:paraId="1451E854">
            <w:pPr>
              <w:adjustRightInd w:val="0"/>
              <w:snapToGrid w:val="0"/>
              <w:jc w:val="center"/>
              <w:rPr>
                <w:rFonts w:hint="default" w:ascii="Times New Roman" w:hAnsi="Times New Roman" w:eastAsia="宋体" w:cs="Times New Roman"/>
                <w:color w:val="auto"/>
                <w:sz w:val="24"/>
                <w:u w:val="none"/>
              </w:rPr>
            </w:pPr>
            <w:r>
              <w:rPr>
                <w:rFonts w:hint="default" w:ascii="Times New Roman" w:hAnsi="Times New Roman" w:eastAsia="宋体" w:cs="Times New Roman"/>
                <w:color w:val="auto"/>
                <w:sz w:val="24"/>
                <w:u w:val="none"/>
              </w:rPr>
              <w:t>行业类别</w:t>
            </w:r>
            <w:bookmarkEnd w:id="5"/>
          </w:p>
        </w:tc>
        <w:tc>
          <w:tcPr>
            <w:tcW w:w="1930" w:type="pct"/>
            <w:vAlign w:val="center"/>
          </w:tcPr>
          <w:p w14:paraId="2B26BDC9">
            <w:pPr>
              <w:adjustRightInd w:val="0"/>
              <w:snapToGrid w:val="0"/>
              <w:jc w:val="center"/>
              <w:rPr>
                <w:rFonts w:hint="default" w:ascii="Times New Roman" w:hAnsi="Times New Roman" w:eastAsia="宋体" w:cs="Times New Roman"/>
                <w:color w:val="auto"/>
                <w:sz w:val="24"/>
                <w:u w:val="none"/>
              </w:rPr>
            </w:pPr>
            <w:r>
              <w:rPr>
                <w:rFonts w:hint="default" w:ascii="Times New Roman" w:hAnsi="Times New Roman" w:eastAsia="宋体" w:cs="Times New Roman"/>
                <w:color w:val="auto"/>
                <w:sz w:val="24"/>
                <w:u w:val="none"/>
              </w:rPr>
              <w:t>二十六、橡胶和塑料制品业—53塑料制品业（292）中其他</w:t>
            </w:r>
          </w:p>
        </w:tc>
      </w:tr>
      <w:tr w14:paraId="481A9E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736" w:type="pct"/>
            <w:tcMar>
              <w:top w:w="16" w:type="dxa"/>
              <w:left w:w="16" w:type="dxa"/>
              <w:right w:w="16" w:type="dxa"/>
            </w:tcMar>
            <w:vAlign w:val="center"/>
          </w:tcPr>
          <w:p w14:paraId="7831844F">
            <w:pPr>
              <w:adjustRightInd w:val="0"/>
              <w:snapToGrid w:val="0"/>
              <w:jc w:val="center"/>
              <w:rPr>
                <w:rFonts w:hint="default" w:ascii="Times New Roman" w:hAnsi="Times New Roman" w:cs="Times New Roman"/>
                <w:color w:val="auto"/>
                <w:sz w:val="24"/>
                <w:u w:val="none"/>
              </w:rPr>
            </w:pPr>
            <w:r>
              <w:rPr>
                <w:rFonts w:hint="default" w:ascii="Times New Roman" w:hAnsi="Times New Roman" w:cs="Times New Roman"/>
                <w:color w:val="auto"/>
                <w:sz w:val="24"/>
                <w:u w:val="none"/>
              </w:rPr>
              <w:t>建设性质</w:t>
            </w:r>
          </w:p>
        </w:tc>
        <w:tc>
          <w:tcPr>
            <w:tcW w:w="1368" w:type="pct"/>
            <w:vAlign w:val="center"/>
          </w:tcPr>
          <w:p w14:paraId="07FD9DE5">
            <w:pPr>
              <w:jc w:val="left"/>
              <w:rPr>
                <w:rFonts w:hint="default" w:ascii="Times New Roman" w:hAnsi="Times New Roman" w:cs="Times New Roman"/>
                <w:color w:val="auto"/>
                <w:sz w:val="24"/>
                <w:u w:val="none"/>
              </w:rPr>
            </w:pPr>
            <w:r>
              <w:rPr>
                <w:rFonts w:hint="default" w:ascii="Times New Roman" w:hAnsi="Times New Roman" w:cs="Times New Roman"/>
                <w:color w:val="auto"/>
                <w:sz w:val="24"/>
                <w:u w:val="none"/>
              </w:rPr>
              <w:sym w:font="Wingdings" w:char="00FE"/>
            </w:r>
            <w:r>
              <w:rPr>
                <w:rFonts w:hint="default" w:ascii="Times New Roman" w:hAnsi="Times New Roman" w:cs="Times New Roman"/>
                <w:color w:val="auto"/>
                <w:sz w:val="24"/>
                <w:u w:val="none"/>
              </w:rPr>
              <w:t>新建（迁建）</w:t>
            </w:r>
          </w:p>
          <w:p w14:paraId="4FBD43A6">
            <w:pPr>
              <w:jc w:val="left"/>
              <w:rPr>
                <w:rFonts w:hint="default" w:ascii="Times New Roman" w:hAnsi="Times New Roman" w:cs="Times New Roman"/>
                <w:color w:val="auto"/>
                <w:sz w:val="24"/>
                <w:u w:val="none"/>
              </w:rPr>
            </w:pPr>
            <w:r>
              <w:rPr>
                <w:rFonts w:hint="default" w:ascii="Times New Roman" w:hAnsi="Times New Roman" w:cs="Times New Roman"/>
                <w:color w:val="auto"/>
                <w:sz w:val="24"/>
                <w:u w:val="none"/>
              </w:rPr>
              <w:sym w:font="Wingdings" w:char="00A8"/>
            </w:r>
            <w:r>
              <w:rPr>
                <w:rFonts w:hint="default" w:ascii="Times New Roman" w:hAnsi="Times New Roman" w:cs="Times New Roman"/>
                <w:color w:val="auto"/>
                <w:sz w:val="24"/>
                <w:u w:val="none"/>
              </w:rPr>
              <w:t>改建</w:t>
            </w:r>
          </w:p>
          <w:p w14:paraId="09C1D30A">
            <w:pPr>
              <w:jc w:val="left"/>
              <w:rPr>
                <w:rFonts w:hint="default" w:ascii="Times New Roman" w:hAnsi="Times New Roman" w:cs="Times New Roman"/>
                <w:color w:val="auto"/>
                <w:sz w:val="24"/>
                <w:u w:val="none"/>
              </w:rPr>
            </w:pPr>
            <w:r>
              <w:rPr>
                <w:rFonts w:hint="default" w:ascii="Times New Roman" w:hAnsi="Times New Roman" w:cs="Times New Roman"/>
                <w:color w:val="auto"/>
                <w:sz w:val="24"/>
                <w:u w:val="none"/>
              </w:rPr>
              <w:sym w:font="Wingdings" w:char="00A8"/>
            </w:r>
            <w:r>
              <w:rPr>
                <w:rFonts w:hint="default" w:ascii="Times New Roman" w:hAnsi="Times New Roman" w:cs="Times New Roman"/>
                <w:color w:val="auto"/>
                <w:sz w:val="24"/>
                <w:u w:val="none"/>
              </w:rPr>
              <w:t>扩建</w:t>
            </w:r>
          </w:p>
          <w:p w14:paraId="3AF18223">
            <w:pPr>
              <w:jc w:val="left"/>
              <w:rPr>
                <w:rFonts w:hint="default" w:ascii="Times New Roman" w:hAnsi="Times New Roman" w:cs="Times New Roman"/>
                <w:color w:val="auto"/>
                <w:sz w:val="24"/>
                <w:u w:val="none"/>
              </w:rPr>
            </w:pPr>
            <w:r>
              <w:rPr>
                <w:rFonts w:hint="default" w:ascii="Times New Roman" w:hAnsi="Times New Roman" w:cs="Times New Roman"/>
                <w:color w:val="auto"/>
                <w:sz w:val="24"/>
                <w:u w:val="none"/>
              </w:rPr>
              <w:sym w:font="Wingdings" w:char="00A8"/>
            </w:r>
            <w:r>
              <w:rPr>
                <w:rFonts w:hint="default" w:ascii="Times New Roman" w:hAnsi="Times New Roman" w:cs="Times New Roman"/>
                <w:color w:val="auto"/>
                <w:sz w:val="24"/>
                <w:u w:val="none"/>
              </w:rPr>
              <w:t>技术改造</w:t>
            </w:r>
          </w:p>
        </w:tc>
        <w:tc>
          <w:tcPr>
            <w:tcW w:w="965" w:type="pct"/>
            <w:vAlign w:val="center"/>
          </w:tcPr>
          <w:p w14:paraId="2A1C3FFF">
            <w:pPr>
              <w:adjustRightInd w:val="0"/>
              <w:snapToGrid w:val="0"/>
              <w:jc w:val="center"/>
              <w:rPr>
                <w:rFonts w:hint="default" w:ascii="Times New Roman" w:hAnsi="Times New Roman" w:cs="Times New Roman"/>
                <w:color w:val="auto"/>
                <w:sz w:val="24"/>
                <w:u w:val="none"/>
              </w:rPr>
            </w:pPr>
            <w:r>
              <w:rPr>
                <w:rFonts w:hint="default" w:ascii="Times New Roman" w:hAnsi="Times New Roman" w:cs="Times New Roman"/>
                <w:color w:val="auto"/>
                <w:sz w:val="24"/>
                <w:u w:val="none"/>
              </w:rPr>
              <w:t>建设项目</w:t>
            </w:r>
          </w:p>
          <w:p w14:paraId="0AB10091">
            <w:pPr>
              <w:adjustRightInd w:val="0"/>
              <w:snapToGrid w:val="0"/>
              <w:jc w:val="center"/>
              <w:rPr>
                <w:rFonts w:hint="default" w:ascii="Times New Roman" w:hAnsi="Times New Roman" w:cs="Times New Roman"/>
                <w:color w:val="auto"/>
                <w:sz w:val="24"/>
                <w:u w:val="none"/>
              </w:rPr>
            </w:pPr>
            <w:r>
              <w:rPr>
                <w:rFonts w:hint="default" w:ascii="Times New Roman" w:hAnsi="Times New Roman" w:cs="Times New Roman"/>
                <w:color w:val="auto"/>
                <w:sz w:val="24"/>
                <w:u w:val="none"/>
              </w:rPr>
              <w:t>申报情形</w:t>
            </w:r>
          </w:p>
        </w:tc>
        <w:tc>
          <w:tcPr>
            <w:tcW w:w="1930" w:type="pct"/>
            <w:vAlign w:val="center"/>
          </w:tcPr>
          <w:p w14:paraId="158B4AFF">
            <w:pPr>
              <w:jc w:val="left"/>
              <w:rPr>
                <w:rFonts w:hint="default" w:ascii="Times New Roman" w:hAnsi="Times New Roman" w:cs="Times New Roman"/>
                <w:color w:val="auto"/>
                <w:sz w:val="24"/>
                <w:u w:val="none"/>
              </w:rPr>
            </w:pPr>
            <w:r>
              <w:rPr>
                <w:rFonts w:hint="default" w:ascii="Times New Roman" w:hAnsi="Times New Roman" w:cs="Times New Roman"/>
                <w:color w:val="auto"/>
                <w:sz w:val="24"/>
                <w:u w:val="none"/>
              </w:rPr>
              <w:sym w:font="Wingdings" w:char="00FE"/>
            </w:r>
            <w:r>
              <w:rPr>
                <w:rFonts w:hint="default" w:ascii="Times New Roman" w:hAnsi="Times New Roman" w:cs="Times New Roman"/>
                <w:color w:val="auto"/>
                <w:sz w:val="24"/>
                <w:u w:val="none"/>
              </w:rPr>
              <w:t>首次申报项目</w:t>
            </w:r>
          </w:p>
          <w:p w14:paraId="1AD38475">
            <w:pPr>
              <w:jc w:val="left"/>
              <w:rPr>
                <w:rFonts w:hint="default" w:ascii="Times New Roman" w:hAnsi="Times New Roman" w:cs="Times New Roman"/>
                <w:color w:val="auto"/>
                <w:sz w:val="24"/>
                <w:u w:val="none"/>
              </w:rPr>
            </w:pPr>
            <w:r>
              <w:rPr>
                <w:rFonts w:hint="default" w:ascii="Times New Roman" w:hAnsi="Times New Roman" w:cs="Times New Roman"/>
                <w:color w:val="auto"/>
                <w:sz w:val="24"/>
                <w:u w:val="none"/>
              </w:rPr>
              <w:sym w:font="Wingdings" w:char="00A8"/>
            </w:r>
            <w:r>
              <w:rPr>
                <w:rFonts w:hint="default" w:ascii="Times New Roman" w:hAnsi="Times New Roman" w:cs="Times New Roman"/>
                <w:color w:val="auto"/>
                <w:sz w:val="24"/>
                <w:u w:val="none"/>
              </w:rPr>
              <w:t>不予批准后再次申报项目</w:t>
            </w:r>
          </w:p>
          <w:p w14:paraId="4B56271F">
            <w:pPr>
              <w:jc w:val="left"/>
              <w:rPr>
                <w:rFonts w:hint="default" w:ascii="Times New Roman" w:hAnsi="Times New Roman" w:cs="Times New Roman"/>
                <w:color w:val="auto"/>
                <w:sz w:val="24"/>
                <w:u w:val="none"/>
              </w:rPr>
            </w:pPr>
            <w:r>
              <w:rPr>
                <w:rFonts w:hint="default" w:ascii="Times New Roman" w:hAnsi="Times New Roman" w:cs="Times New Roman"/>
                <w:color w:val="auto"/>
                <w:sz w:val="24"/>
                <w:u w:val="none"/>
              </w:rPr>
              <w:sym w:font="Wingdings" w:char="00A8"/>
            </w:r>
            <w:r>
              <w:rPr>
                <w:rFonts w:hint="default" w:ascii="Times New Roman" w:hAnsi="Times New Roman" w:cs="Times New Roman"/>
                <w:color w:val="auto"/>
                <w:sz w:val="24"/>
                <w:u w:val="none"/>
              </w:rPr>
              <w:t>超五年重新审核项目</w:t>
            </w:r>
          </w:p>
          <w:p w14:paraId="54CF0B03">
            <w:pPr>
              <w:jc w:val="left"/>
              <w:rPr>
                <w:rFonts w:hint="default" w:ascii="Times New Roman" w:hAnsi="Times New Roman" w:cs="Times New Roman"/>
                <w:color w:val="auto"/>
                <w:sz w:val="24"/>
                <w:u w:val="none"/>
              </w:rPr>
            </w:pPr>
            <w:r>
              <w:rPr>
                <w:rFonts w:hint="default" w:ascii="Times New Roman" w:hAnsi="Times New Roman" w:cs="Times New Roman"/>
                <w:color w:val="auto"/>
                <w:sz w:val="24"/>
                <w:u w:val="none"/>
              </w:rPr>
              <w:sym w:font="Wingdings" w:char="00A8"/>
            </w:r>
            <w:r>
              <w:rPr>
                <w:rFonts w:hint="default" w:ascii="Times New Roman" w:hAnsi="Times New Roman" w:cs="Times New Roman"/>
                <w:color w:val="auto"/>
                <w:sz w:val="24"/>
                <w:u w:val="none"/>
              </w:rPr>
              <w:t>重大变动重新报批项目</w:t>
            </w:r>
          </w:p>
        </w:tc>
      </w:tr>
      <w:tr w14:paraId="64DB6E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736" w:type="pct"/>
            <w:tcMar>
              <w:top w:w="16" w:type="dxa"/>
              <w:left w:w="16" w:type="dxa"/>
              <w:right w:w="16" w:type="dxa"/>
            </w:tcMar>
            <w:vAlign w:val="center"/>
          </w:tcPr>
          <w:p w14:paraId="1AF53F4E">
            <w:pPr>
              <w:adjustRightInd w:val="0"/>
              <w:snapToGrid w:val="0"/>
              <w:jc w:val="center"/>
              <w:rPr>
                <w:rFonts w:hint="default" w:ascii="Times New Roman" w:hAnsi="Times New Roman" w:cs="Times New Roman"/>
                <w:color w:val="auto"/>
                <w:sz w:val="24"/>
                <w:u w:val="none"/>
              </w:rPr>
            </w:pPr>
            <w:r>
              <w:rPr>
                <w:rFonts w:hint="default" w:ascii="Times New Roman" w:hAnsi="Times New Roman" w:cs="Times New Roman"/>
                <w:color w:val="auto"/>
                <w:sz w:val="24"/>
                <w:u w:val="none"/>
              </w:rPr>
              <w:t>项目审批（核准/备案）部门</w:t>
            </w:r>
          </w:p>
        </w:tc>
        <w:tc>
          <w:tcPr>
            <w:tcW w:w="1368" w:type="pct"/>
            <w:vAlign w:val="center"/>
          </w:tcPr>
          <w:p w14:paraId="42CF5A5C">
            <w:pPr>
              <w:adjustRightInd w:val="0"/>
              <w:snapToGrid w:val="0"/>
              <w:jc w:val="center"/>
              <w:rPr>
                <w:rFonts w:hint="default" w:ascii="Times New Roman" w:hAnsi="Times New Roman" w:eastAsia="宋体" w:cs="Times New Roman"/>
                <w:color w:val="auto"/>
                <w:sz w:val="24"/>
                <w:u w:val="none"/>
                <w:lang w:eastAsia="zh-CN"/>
              </w:rPr>
            </w:pPr>
            <w:r>
              <w:rPr>
                <w:rFonts w:hint="default" w:ascii="Times New Roman" w:hAnsi="Times New Roman" w:cs="Times New Roman"/>
                <w:color w:val="auto"/>
                <w:sz w:val="24"/>
                <w:u w:val="none"/>
                <w:lang w:val="en-US" w:eastAsia="zh-CN"/>
              </w:rPr>
              <w:t>/</w:t>
            </w:r>
          </w:p>
        </w:tc>
        <w:tc>
          <w:tcPr>
            <w:tcW w:w="965" w:type="pct"/>
            <w:vAlign w:val="center"/>
          </w:tcPr>
          <w:p w14:paraId="023A5366">
            <w:pPr>
              <w:adjustRightInd w:val="0"/>
              <w:snapToGrid w:val="0"/>
              <w:jc w:val="center"/>
              <w:rPr>
                <w:rFonts w:hint="default" w:ascii="Times New Roman" w:hAnsi="Times New Roman" w:cs="Times New Roman"/>
                <w:color w:val="auto"/>
                <w:sz w:val="24"/>
                <w:u w:val="none"/>
              </w:rPr>
            </w:pPr>
            <w:r>
              <w:rPr>
                <w:rFonts w:hint="default" w:ascii="Times New Roman" w:hAnsi="Times New Roman" w:cs="Times New Roman"/>
                <w:color w:val="auto"/>
                <w:sz w:val="24"/>
                <w:u w:val="none"/>
              </w:rPr>
              <w:t>项目审批（核准/备案）文号</w:t>
            </w:r>
          </w:p>
        </w:tc>
        <w:tc>
          <w:tcPr>
            <w:tcW w:w="1930" w:type="pct"/>
            <w:vAlign w:val="center"/>
          </w:tcPr>
          <w:p w14:paraId="6714FF21">
            <w:pPr>
              <w:adjustRightInd w:val="0"/>
              <w:snapToGrid w:val="0"/>
              <w:jc w:val="center"/>
              <w:rPr>
                <w:rFonts w:hint="default" w:ascii="Times New Roman" w:hAnsi="Times New Roman" w:eastAsia="宋体" w:cs="Times New Roman"/>
                <w:color w:val="auto"/>
                <w:sz w:val="24"/>
                <w:u w:val="none"/>
                <w:lang w:eastAsia="zh-CN"/>
              </w:rPr>
            </w:pPr>
            <w:r>
              <w:rPr>
                <w:rFonts w:hint="default" w:ascii="Times New Roman" w:hAnsi="Times New Roman" w:cs="Times New Roman"/>
                <w:color w:val="auto"/>
                <w:sz w:val="24"/>
                <w:u w:val="none"/>
                <w:lang w:val="en-US" w:eastAsia="zh-CN"/>
              </w:rPr>
              <w:t>/</w:t>
            </w:r>
          </w:p>
        </w:tc>
      </w:tr>
      <w:tr w14:paraId="12930C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736" w:type="pct"/>
            <w:tcMar>
              <w:top w:w="16" w:type="dxa"/>
              <w:left w:w="16" w:type="dxa"/>
              <w:right w:w="16" w:type="dxa"/>
            </w:tcMar>
            <w:vAlign w:val="center"/>
          </w:tcPr>
          <w:p w14:paraId="302B61D4">
            <w:pPr>
              <w:adjustRightInd w:val="0"/>
              <w:snapToGrid w:val="0"/>
              <w:jc w:val="center"/>
              <w:rPr>
                <w:rFonts w:hint="default" w:ascii="Times New Roman" w:hAnsi="Times New Roman" w:cs="Times New Roman"/>
                <w:color w:val="auto"/>
                <w:sz w:val="24"/>
                <w:u w:val="none"/>
              </w:rPr>
            </w:pPr>
            <w:r>
              <w:rPr>
                <w:rFonts w:hint="default" w:ascii="Times New Roman" w:hAnsi="Times New Roman" w:cs="Times New Roman"/>
                <w:color w:val="auto"/>
                <w:sz w:val="24"/>
                <w:u w:val="none"/>
              </w:rPr>
              <w:t>总投资（万元）</w:t>
            </w:r>
          </w:p>
        </w:tc>
        <w:tc>
          <w:tcPr>
            <w:tcW w:w="1368" w:type="pct"/>
            <w:vAlign w:val="center"/>
          </w:tcPr>
          <w:p w14:paraId="5A73D96E">
            <w:pPr>
              <w:adjustRightInd w:val="0"/>
              <w:snapToGrid w:val="0"/>
              <w:jc w:val="center"/>
              <w:rPr>
                <w:rFonts w:hint="default" w:ascii="Times New Roman" w:hAnsi="Times New Roman" w:eastAsia="宋体" w:cs="Times New Roman"/>
                <w:color w:val="auto"/>
                <w:sz w:val="24"/>
                <w:u w:val="none"/>
                <w:lang w:val="en-US" w:eastAsia="zh-CN"/>
              </w:rPr>
            </w:pPr>
            <w:r>
              <w:rPr>
                <w:rFonts w:hint="default" w:ascii="Times New Roman" w:hAnsi="Times New Roman" w:cs="Times New Roman"/>
                <w:color w:val="auto"/>
                <w:sz w:val="24"/>
                <w:u w:val="none"/>
                <w:lang w:val="en-US" w:eastAsia="zh-CN"/>
              </w:rPr>
              <w:t>100</w:t>
            </w:r>
          </w:p>
        </w:tc>
        <w:tc>
          <w:tcPr>
            <w:tcW w:w="965" w:type="pct"/>
            <w:tcMar>
              <w:top w:w="16" w:type="dxa"/>
              <w:left w:w="16" w:type="dxa"/>
              <w:right w:w="16" w:type="dxa"/>
            </w:tcMar>
            <w:vAlign w:val="center"/>
          </w:tcPr>
          <w:p w14:paraId="42A55DE0">
            <w:pPr>
              <w:adjustRightInd w:val="0"/>
              <w:snapToGrid w:val="0"/>
              <w:jc w:val="center"/>
              <w:rPr>
                <w:rFonts w:hint="default" w:ascii="Times New Roman" w:hAnsi="Times New Roman" w:cs="Times New Roman"/>
                <w:color w:val="auto"/>
                <w:sz w:val="24"/>
                <w:u w:val="none"/>
              </w:rPr>
            </w:pPr>
            <w:r>
              <w:rPr>
                <w:rFonts w:hint="default" w:ascii="Times New Roman" w:hAnsi="Times New Roman" w:cs="Times New Roman"/>
                <w:color w:val="auto"/>
                <w:sz w:val="24"/>
                <w:u w:val="none"/>
              </w:rPr>
              <w:t>环保投资（万元）</w:t>
            </w:r>
          </w:p>
        </w:tc>
        <w:tc>
          <w:tcPr>
            <w:tcW w:w="1930" w:type="pct"/>
            <w:vAlign w:val="center"/>
          </w:tcPr>
          <w:p w14:paraId="4DA99602">
            <w:pPr>
              <w:adjustRightInd w:val="0"/>
              <w:snapToGrid w:val="0"/>
              <w:jc w:val="center"/>
              <w:rPr>
                <w:rFonts w:hint="default" w:ascii="Times New Roman" w:hAnsi="Times New Roman" w:eastAsia="宋体" w:cs="Times New Roman"/>
                <w:color w:val="auto"/>
                <w:sz w:val="24"/>
                <w:u w:val="none"/>
                <w:lang w:val="en-US" w:eastAsia="zh-CN"/>
              </w:rPr>
            </w:pPr>
            <w:r>
              <w:rPr>
                <w:rFonts w:hint="default" w:cs="Times New Roman"/>
                <w:color w:val="auto"/>
                <w:sz w:val="24"/>
                <w:u w:val="none"/>
                <w:lang w:val="en-US" w:eastAsia="zh-CN"/>
              </w:rPr>
              <w:t>22.2</w:t>
            </w:r>
          </w:p>
        </w:tc>
      </w:tr>
      <w:tr w14:paraId="586040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736" w:type="pct"/>
            <w:tcMar>
              <w:top w:w="16" w:type="dxa"/>
              <w:left w:w="16" w:type="dxa"/>
              <w:right w:w="16" w:type="dxa"/>
            </w:tcMar>
            <w:vAlign w:val="center"/>
          </w:tcPr>
          <w:p w14:paraId="50FD0299">
            <w:pPr>
              <w:adjustRightInd w:val="0"/>
              <w:snapToGrid w:val="0"/>
              <w:jc w:val="center"/>
              <w:rPr>
                <w:rFonts w:hint="default" w:ascii="Times New Roman" w:hAnsi="Times New Roman" w:cs="Times New Roman"/>
                <w:color w:val="auto"/>
                <w:sz w:val="24"/>
                <w:u w:val="none"/>
              </w:rPr>
            </w:pPr>
            <w:r>
              <w:rPr>
                <w:rFonts w:hint="default" w:ascii="Times New Roman" w:hAnsi="Times New Roman" w:cs="Times New Roman"/>
                <w:color w:val="auto"/>
                <w:sz w:val="24"/>
                <w:u w:val="none"/>
              </w:rPr>
              <w:t>环保投资占比（%）</w:t>
            </w:r>
          </w:p>
        </w:tc>
        <w:tc>
          <w:tcPr>
            <w:tcW w:w="1368" w:type="pct"/>
            <w:vAlign w:val="center"/>
          </w:tcPr>
          <w:p w14:paraId="2A9C2790">
            <w:pPr>
              <w:adjustRightInd w:val="0"/>
              <w:snapToGrid w:val="0"/>
              <w:jc w:val="center"/>
              <w:rPr>
                <w:rFonts w:hint="default" w:ascii="Times New Roman" w:hAnsi="Times New Roman" w:eastAsia="宋体" w:cs="Times New Roman"/>
                <w:color w:val="auto"/>
                <w:sz w:val="24"/>
                <w:highlight w:val="none"/>
                <w:u w:val="none"/>
                <w:lang w:val="en-US" w:eastAsia="zh-CN"/>
              </w:rPr>
            </w:pPr>
            <w:r>
              <w:rPr>
                <w:rFonts w:hint="default" w:cs="Times New Roman"/>
                <w:color w:val="auto"/>
                <w:sz w:val="24"/>
                <w:highlight w:val="none"/>
                <w:u w:val="none"/>
                <w:lang w:val="en-US" w:eastAsia="zh-CN"/>
              </w:rPr>
              <w:t>22.2</w:t>
            </w:r>
          </w:p>
        </w:tc>
        <w:tc>
          <w:tcPr>
            <w:tcW w:w="965" w:type="pct"/>
            <w:tcMar>
              <w:top w:w="16" w:type="dxa"/>
              <w:left w:w="16" w:type="dxa"/>
              <w:right w:w="16" w:type="dxa"/>
            </w:tcMar>
            <w:vAlign w:val="center"/>
          </w:tcPr>
          <w:p w14:paraId="59B98C20">
            <w:pPr>
              <w:adjustRightInd w:val="0"/>
              <w:snapToGrid w:val="0"/>
              <w:jc w:val="center"/>
              <w:rPr>
                <w:rFonts w:hint="default" w:ascii="Times New Roman" w:hAnsi="Times New Roman" w:cs="Times New Roman"/>
                <w:color w:val="auto"/>
                <w:sz w:val="24"/>
                <w:highlight w:val="none"/>
                <w:u w:val="none"/>
              </w:rPr>
            </w:pPr>
            <w:r>
              <w:rPr>
                <w:rFonts w:hint="default" w:ascii="Times New Roman" w:hAnsi="Times New Roman" w:cs="Times New Roman"/>
                <w:color w:val="auto"/>
                <w:sz w:val="24"/>
                <w:highlight w:val="none"/>
                <w:u w:val="none"/>
              </w:rPr>
              <w:t>施工工期（月）</w:t>
            </w:r>
          </w:p>
        </w:tc>
        <w:tc>
          <w:tcPr>
            <w:tcW w:w="1930" w:type="pct"/>
            <w:vAlign w:val="center"/>
          </w:tcPr>
          <w:p w14:paraId="6DBEF9B3">
            <w:pPr>
              <w:adjustRightInd w:val="0"/>
              <w:snapToGrid w:val="0"/>
              <w:jc w:val="center"/>
              <w:rPr>
                <w:rFonts w:hint="default" w:ascii="Times New Roman" w:hAnsi="Times New Roman" w:eastAsia="宋体" w:cs="Times New Roman"/>
                <w:color w:val="auto"/>
                <w:sz w:val="24"/>
                <w:highlight w:val="none"/>
                <w:u w:val="none"/>
                <w:lang w:eastAsia="zh-CN"/>
              </w:rPr>
            </w:pPr>
            <w:r>
              <w:rPr>
                <w:rFonts w:hint="default" w:cs="Times New Roman"/>
                <w:color w:val="auto"/>
                <w:sz w:val="24"/>
                <w:highlight w:val="none"/>
                <w:u w:val="none"/>
                <w:lang w:val="en-US" w:eastAsia="zh-CN"/>
              </w:rPr>
              <w:t>2</w:t>
            </w:r>
          </w:p>
        </w:tc>
      </w:tr>
      <w:tr w14:paraId="740482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736" w:type="pct"/>
            <w:tcMar>
              <w:top w:w="16" w:type="dxa"/>
              <w:left w:w="16" w:type="dxa"/>
              <w:right w:w="16" w:type="dxa"/>
            </w:tcMar>
            <w:vAlign w:val="center"/>
          </w:tcPr>
          <w:p w14:paraId="16BD022B">
            <w:pPr>
              <w:adjustRightInd w:val="0"/>
              <w:snapToGrid w:val="0"/>
              <w:jc w:val="center"/>
              <w:rPr>
                <w:rFonts w:hint="default" w:ascii="Times New Roman" w:hAnsi="Times New Roman" w:cs="Times New Roman"/>
                <w:color w:val="auto"/>
                <w:sz w:val="24"/>
                <w:u w:val="none"/>
              </w:rPr>
            </w:pPr>
            <w:r>
              <w:rPr>
                <w:rFonts w:hint="default" w:ascii="Times New Roman" w:hAnsi="Times New Roman" w:cs="Times New Roman"/>
                <w:color w:val="auto"/>
                <w:sz w:val="24"/>
                <w:u w:val="none"/>
              </w:rPr>
              <w:t>是否开工建设</w:t>
            </w:r>
          </w:p>
        </w:tc>
        <w:tc>
          <w:tcPr>
            <w:tcW w:w="1368" w:type="pct"/>
            <w:vAlign w:val="center"/>
          </w:tcPr>
          <w:p w14:paraId="286F254C">
            <w:pPr>
              <w:adjustRightInd w:val="0"/>
              <w:snapToGrid w:val="0"/>
              <w:rPr>
                <w:rFonts w:hint="default" w:ascii="Times New Roman" w:hAnsi="Times New Roman" w:cs="Times New Roman"/>
                <w:color w:val="auto"/>
                <w:sz w:val="24"/>
                <w:u w:val="none"/>
              </w:rPr>
            </w:pPr>
            <w:r>
              <w:rPr>
                <w:rFonts w:hint="default" w:ascii="Times New Roman" w:hAnsi="Times New Roman" w:cs="Times New Roman"/>
                <w:color w:val="auto"/>
                <w:sz w:val="24"/>
                <w:u w:val="none"/>
              </w:rPr>
              <w:sym w:font="Wingdings" w:char="00FE"/>
            </w:r>
            <w:r>
              <w:rPr>
                <w:rFonts w:hint="default" w:ascii="Times New Roman" w:hAnsi="Times New Roman" w:cs="Times New Roman"/>
                <w:color w:val="auto"/>
                <w:sz w:val="24"/>
                <w:u w:val="none"/>
              </w:rPr>
              <w:t>否</w:t>
            </w:r>
          </w:p>
          <w:p w14:paraId="4C5FAA2E">
            <w:pPr>
              <w:adjustRightInd w:val="0"/>
              <w:snapToGrid w:val="0"/>
              <w:rPr>
                <w:rFonts w:hint="default" w:ascii="Times New Roman" w:hAnsi="Times New Roman" w:cs="Times New Roman"/>
                <w:color w:val="auto"/>
                <w:sz w:val="24"/>
                <w:u w:val="none"/>
              </w:rPr>
            </w:pPr>
            <w:r>
              <w:rPr>
                <w:rFonts w:hint="default" w:ascii="Times New Roman" w:hAnsi="Times New Roman" w:cs="Times New Roman"/>
                <w:color w:val="auto"/>
                <w:sz w:val="24"/>
                <w:u w:val="none"/>
              </w:rPr>
              <w:sym w:font="Wingdings" w:char="00A8"/>
            </w:r>
            <w:r>
              <w:rPr>
                <w:rFonts w:hint="default" w:ascii="Times New Roman" w:hAnsi="Times New Roman" w:cs="Times New Roman"/>
                <w:color w:val="auto"/>
                <w:sz w:val="24"/>
                <w:u w:val="none"/>
              </w:rPr>
              <w:t>是</w:t>
            </w:r>
          </w:p>
        </w:tc>
        <w:tc>
          <w:tcPr>
            <w:tcW w:w="965" w:type="pct"/>
            <w:tcMar>
              <w:top w:w="16" w:type="dxa"/>
              <w:left w:w="16" w:type="dxa"/>
              <w:right w:w="16" w:type="dxa"/>
            </w:tcMar>
            <w:vAlign w:val="center"/>
          </w:tcPr>
          <w:p w14:paraId="3D3410CC">
            <w:pPr>
              <w:adjustRightInd w:val="0"/>
              <w:snapToGrid w:val="0"/>
              <w:jc w:val="center"/>
              <w:rPr>
                <w:rFonts w:hint="default" w:ascii="Times New Roman" w:hAnsi="Times New Roman" w:cs="Times New Roman"/>
                <w:color w:val="auto"/>
                <w:sz w:val="24"/>
                <w:u w:val="none"/>
              </w:rPr>
            </w:pPr>
            <w:r>
              <w:rPr>
                <w:rFonts w:hint="default" w:ascii="Times New Roman" w:hAnsi="Times New Roman" w:cs="Times New Roman"/>
                <w:color w:val="auto"/>
                <w:spacing w:val="-6"/>
                <w:sz w:val="24"/>
                <w:u w:val="none"/>
              </w:rPr>
              <w:t>用地面积（m</w:t>
            </w:r>
            <w:r>
              <w:rPr>
                <w:rFonts w:hint="default" w:ascii="Times New Roman" w:hAnsi="Times New Roman" w:cs="Times New Roman"/>
                <w:color w:val="auto"/>
                <w:spacing w:val="-6"/>
                <w:sz w:val="24"/>
                <w:u w:val="none"/>
                <w:vertAlign w:val="superscript"/>
              </w:rPr>
              <w:t>2</w:t>
            </w:r>
            <w:r>
              <w:rPr>
                <w:rFonts w:hint="default" w:ascii="Times New Roman" w:hAnsi="Times New Roman" w:cs="Times New Roman"/>
                <w:color w:val="auto"/>
                <w:spacing w:val="-6"/>
                <w:sz w:val="24"/>
                <w:u w:val="none"/>
              </w:rPr>
              <w:t>）</w:t>
            </w:r>
          </w:p>
        </w:tc>
        <w:tc>
          <w:tcPr>
            <w:tcW w:w="1930" w:type="pct"/>
            <w:vAlign w:val="center"/>
          </w:tcPr>
          <w:p w14:paraId="244F2C17">
            <w:pPr>
              <w:adjustRightInd w:val="0"/>
              <w:snapToGrid w:val="0"/>
              <w:jc w:val="center"/>
              <w:rPr>
                <w:rFonts w:hint="default" w:ascii="Times New Roman" w:hAnsi="Times New Roman" w:eastAsia="宋体" w:cs="Times New Roman"/>
                <w:color w:val="auto"/>
                <w:sz w:val="24"/>
                <w:u w:val="none"/>
                <w:lang w:val="en-US" w:eastAsia="zh-CN"/>
              </w:rPr>
            </w:pPr>
            <w:r>
              <w:rPr>
                <w:rFonts w:hint="eastAsia" w:cs="Times New Roman"/>
                <w:color w:val="auto"/>
                <w:sz w:val="24"/>
                <w:u w:val="none"/>
                <w:lang w:val="en-US" w:eastAsia="zh-CN"/>
              </w:rPr>
              <w:t>1480</w:t>
            </w:r>
          </w:p>
        </w:tc>
      </w:tr>
      <w:tr w14:paraId="229B5F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36" w:type="pct"/>
            <w:vAlign w:val="center"/>
          </w:tcPr>
          <w:p w14:paraId="0B8D8112">
            <w:pPr>
              <w:adjustRightInd w:val="0"/>
              <w:snapToGrid w:val="0"/>
              <w:jc w:val="center"/>
              <w:rPr>
                <w:rFonts w:hint="default" w:ascii="Times New Roman" w:hAnsi="Times New Roman" w:cs="Times New Roman"/>
                <w:color w:val="auto"/>
                <w:sz w:val="24"/>
                <w:u w:val="none"/>
              </w:rPr>
            </w:pPr>
            <w:r>
              <w:rPr>
                <w:rFonts w:hint="default" w:ascii="Times New Roman" w:hAnsi="Times New Roman" w:cs="Times New Roman"/>
                <w:color w:val="auto"/>
                <w:sz w:val="24"/>
                <w:u w:val="none"/>
              </w:rPr>
              <w:t>专项评价设置情况</w:t>
            </w:r>
          </w:p>
        </w:tc>
        <w:tc>
          <w:tcPr>
            <w:tcW w:w="4263" w:type="pct"/>
            <w:gridSpan w:val="3"/>
            <w:vAlign w:val="center"/>
          </w:tcPr>
          <w:p w14:paraId="49F3F5BE">
            <w:pPr>
              <w:autoSpaceDE w:val="0"/>
              <w:autoSpaceDN w:val="0"/>
              <w:spacing w:line="520" w:lineRule="exact"/>
              <w:ind w:firstLine="480" w:firstLineChars="200"/>
              <w:rPr>
                <w:rFonts w:hint="default" w:ascii="Times New Roman" w:hAnsi="Times New Roman" w:cs="Times New Roman"/>
                <w:color w:val="auto"/>
                <w:kern w:val="0"/>
                <w:sz w:val="24"/>
                <w:u w:val="none"/>
              </w:rPr>
            </w:pPr>
            <w:r>
              <w:rPr>
                <w:rFonts w:hint="default" w:ascii="Times New Roman" w:hAnsi="Times New Roman" w:cs="Times New Roman"/>
                <w:color w:val="auto"/>
                <w:kern w:val="0"/>
                <w:sz w:val="24"/>
                <w:u w:val="none"/>
              </w:rPr>
              <w:t>根据环办环评〔2020〕33号“关于印发《建设项目环境影响报告表》内容、格式及编制技术指南的通知等有关文件”中建设项目环境影响评价报告表编制技术指南（污染影响类）（试行）：</w:t>
            </w:r>
          </w:p>
          <w:p w14:paraId="2406AB12">
            <w:pPr>
              <w:autoSpaceDE w:val="0"/>
              <w:autoSpaceDN w:val="0"/>
              <w:spacing w:line="520" w:lineRule="exact"/>
              <w:ind w:firstLine="480" w:firstLineChars="200"/>
              <w:rPr>
                <w:rFonts w:hint="default" w:ascii="Times New Roman" w:hAnsi="Times New Roman" w:cs="Times New Roman"/>
                <w:color w:val="auto"/>
                <w:kern w:val="0"/>
                <w:sz w:val="24"/>
                <w:u w:val="none"/>
              </w:rPr>
            </w:pPr>
            <w:r>
              <w:rPr>
                <w:rFonts w:hint="default" w:ascii="Times New Roman" w:hAnsi="Times New Roman" w:cs="Times New Roman"/>
                <w:color w:val="auto"/>
                <w:kern w:val="0"/>
                <w:sz w:val="24"/>
                <w:u w:val="none"/>
              </w:rPr>
              <w:t>一般情况下，建设单位应按照本指南要求，组织填写建设项目环境影响报告表。建设项目产生的环境影响需要深入论证的，应参照</w:t>
            </w:r>
            <w:r>
              <w:rPr>
                <w:rFonts w:hint="default" w:cs="Times New Roman"/>
                <w:color w:val="auto"/>
                <w:kern w:val="0"/>
                <w:sz w:val="24"/>
                <w:u w:val="none"/>
                <w:lang w:eastAsia="zh-CN"/>
              </w:rPr>
              <w:t>环境影响评价</w:t>
            </w:r>
            <w:r>
              <w:rPr>
                <w:rFonts w:hint="default" w:ascii="Times New Roman" w:hAnsi="Times New Roman" w:cs="Times New Roman"/>
                <w:color w:val="auto"/>
                <w:kern w:val="0"/>
                <w:sz w:val="24"/>
                <w:u w:val="none"/>
              </w:rPr>
              <w:t>相关技术导则开展专项评价工作。根据建设项目排污情况及所涉环境敏感程度，确定专项评价的类别。大气、地表水、环境风险、生态和海洋专项评价具体设置原则见表1-1。</w:t>
            </w:r>
          </w:p>
          <w:p w14:paraId="64467DC9">
            <w:pPr>
              <w:pStyle w:val="121"/>
              <w:spacing w:line="520" w:lineRule="exact"/>
              <w:ind w:firstLine="0" w:firstLineChars="0"/>
              <w:jc w:val="center"/>
              <w:rPr>
                <w:rFonts w:hint="default" w:ascii="Times New Roman" w:hAnsi="Times New Roman" w:cs="Times New Roman"/>
                <w:b/>
                <w:bCs/>
                <w:color w:val="auto"/>
                <w:sz w:val="24"/>
                <w:u w:val="none"/>
              </w:rPr>
            </w:pPr>
          </w:p>
          <w:p w14:paraId="446DA675">
            <w:pPr>
              <w:pStyle w:val="48"/>
              <w:jc w:val="center"/>
              <w:rPr>
                <w:rFonts w:hint="default" w:ascii="Times New Roman" w:hAnsi="Times New Roman" w:cs="Times New Roman"/>
                <w:b/>
                <w:bCs/>
                <w:color w:val="auto"/>
                <w:sz w:val="21"/>
                <w:szCs w:val="21"/>
                <w:u w:val="none"/>
                <w:lang w:val="en-GB"/>
              </w:rPr>
            </w:pPr>
            <w:r>
              <w:rPr>
                <w:rFonts w:hint="default" w:ascii="Times New Roman" w:hAnsi="Times New Roman" w:cs="Times New Roman"/>
                <w:b/>
                <w:bCs/>
                <w:color w:val="auto"/>
                <w:sz w:val="21"/>
                <w:szCs w:val="21"/>
                <w:u w:val="none"/>
                <w:lang w:val="en-GB"/>
              </w:rPr>
              <w:t>表1-1  专项评价设置原则说明表</w:t>
            </w:r>
          </w:p>
          <w:tbl>
            <w:tblPr>
              <w:tblStyle w:val="38"/>
              <w:tblW w:w="4914" w:type="pct"/>
              <w:tblInd w:w="1" w:type="dxa"/>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1029"/>
              <w:gridCol w:w="3553"/>
              <w:gridCol w:w="2634"/>
            </w:tblGrid>
            <w:tr w14:paraId="35FE2A33">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147" w:hRule="atLeast"/>
              </w:trPr>
              <w:tc>
                <w:tcPr>
                  <w:tcW w:w="712" w:type="pct"/>
                  <w:vAlign w:val="center"/>
                </w:tcPr>
                <w:p w14:paraId="5F6E8CFD">
                  <w:pPr>
                    <w:pStyle w:val="96"/>
                    <w:spacing w:line="240" w:lineRule="exact"/>
                    <w:jc w:val="center"/>
                    <w:rPr>
                      <w:rFonts w:hint="default" w:ascii="Times New Roman" w:hAnsi="Times New Roman" w:cs="Times New Roman"/>
                      <w:color w:val="auto"/>
                      <w:szCs w:val="21"/>
                      <w:u w:val="none"/>
                    </w:rPr>
                  </w:pPr>
                  <w:r>
                    <w:rPr>
                      <w:rFonts w:hint="default" w:ascii="Times New Roman" w:hAnsi="Times New Roman" w:eastAsia="宋体" w:cs="Times New Roman"/>
                      <w:color w:val="auto"/>
                      <w:u w:val="none"/>
                    </w:rPr>
                    <w:t>专</w:t>
                  </w:r>
                  <w:r>
                    <w:rPr>
                      <w:rFonts w:hint="default" w:ascii="Times New Roman" w:hAnsi="Times New Roman" w:eastAsia="宋体" w:cs="Times New Roman"/>
                      <w:color w:val="auto"/>
                      <w:spacing w:val="2"/>
                      <w:u w:val="none"/>
                    </w:rPr>
                    <w:t>项</w:t>
                  </w:r>
                  <w:r>
                    <w:rPr>
                      <w:rFonts w:hint="default" w:ascii="Times New Roman" w:hAnsi="Times New Roman" w:eastAsia="宋体" w:cs="Times New Roman"/>
                      <w:color w:val="auto"/>
                      <w:u w:val="none"/>
                    </w:rPr>
                    <w:t>评价</w:t>
                  </w:r>
                  <w:r>
                    <w:rPr>
                      <w:rFonts w:hint="default" w:ascii="Times New Roman" w:hAnsi="Times New Roman" w:eastAsia="宋体" w:cs="Times New Roman"/>
                      <w:color w:val="auto"/>
                      <w:spacing w:val="2"/>
                      <w:u w:val="none"/>
                    </w:rPr>
                    <w:t>类</w:t>
                  </w:r>
                  <w:r>
                    <w:rPr>
                      <w:rFonts w:hint="default" w:ascii="Times New Roman" w:hAnsi="Times New Roman" w:eastAsia="宋体" w:cs="Times New Roman"/>
                      <w:color w:val="auto"/>
                      <w:u w:val="none"/>
                    </w:rPr>
                    <w:t>别</w:t>
                  </w:r>
                </w:p>
              </w:tc>
              <w:tc>
                <w:tcPr>
                  <w:tcW w:w="2462" w:type="pct"/>
                  <w:vAlign w:val="center"/>
                </w:tcPr>
                <w:p w14:paraId="724C2998">
                  <w:pPr>
                    <w:pStyle w:val="122"/>
                    <w:spacing w:line="240" w:lineRule="exact"/>
                    <w:rPr>
                      <w:rFonts w:hint="default" w:ascii="Times New Roman" w:hAnsi="Times New Roman" w:cs="Times New Roman"/>
                      <w:color w:val="auto"/>
                      <w:szCs w:val="21"/>
                      <w:u w:val="none"/>
                    </w:rPr>
                  </w:pPr>
                  <w:r>
                    <w:rPr>
                      <w:rFonts w:hint="default" w:ascii="Times New Roman" w:hAnsi="Times New Roman" w:cs="Times New Roman"/>
                      <w:color w:val="auto"/>
                      <w:spacing w:val="-1"/>
                      <w:szCs w:val="21"/>
                      <w:u w:val="none"/>
                    </w:rPr>
                    <w:t>设</w:t>
                  </w:r>
                  <w:r>
                    <w:rPr>
                      <w:rFonts w:hint="default" w:ascii="Times New Roman" w:hAnsi="Times New Roman" w:cs="Times New Roman"/>
                      <w:color w:val="auto"/>
                      <w:spacing w:val="2"/>
                      <w:szCs w:val="21"/>
                      <w:u w:val="none"/>
                    </w:rPr>
                    <w:t>置</w:t>
                  </w:r>
                  <w:r>
                    <w:rPr>
                      <w:rFonts w:hint="default" w:ascii="Times New Roman" w:hAnsi="Times New Roman" w:cs="Times New Roman"/>
                      <w:color w:val="auto"/>
                      <w:spacing w:val="-1"/>
                      <w:szCs w:val="21"/>
                      <w:u w:val="none"/>
                    </w:rPr>
                    <w:t>原</w:t>
                  </w:r>
                  <w:r>
                    <w:rPr>
                      <w:rFonts w:hint="default" w:ascii="Times New Roman" w:hAnsi="Times New Roman" w:cs="Times New Roman"/>
                      <w:color w:val="auto"/>
                      <w:szCs w:val="21"/>
                      <w:u w:val="none"/>
                    </w:rPr>
                    <w:t>则</w:t>
                  </w:r>
                </w:p>
              </w:tc>
              <w:tc>
                <w:tcPr>
                  <w:tcW w:w="1824" w:type="pct"/>
                  <w:vAlign w:val="center"/>
                </w:tcPr>
                <w:p w14:paraId="353DC858">
                  <w:pPr>
                    <w:pStyle w:val="122"/>
                    <w:spacing w:line="240" w:lineRule="exact"/>
                    <w:rPr>
                      <w:rFonts w:hint="default" w:ascii="Times New Roman" w:hAnsi="Times New Roman" w:cs="Times New Roman"/>
                      <w:color w:val="auto"/>
                      <w:szCs w:val="21"/>
                      <w:u w:val="none"/>
                    </w:rPr>
                  </w:pPr>
                  <w:r>
                    <w:rPr>
                      <w:rFonts w:hint="default" w:ascii="Times New Roman" w:hAnsi="Times New Roman" w:cs="Times New Roman"/>
                      <w:color w:val="auto"/>
                      <w:spacing w:val="-1"/>
                      <w:szCs w:val="21"/>
                      <w:u w:val="none"/>
                    </w:rPr>
                    <w:t>项</w:t>
                  </w:r>
                  <w:r>
                    <w:rPr>
                      <w:rFonts w:hint="default" w:ascii="Times New Roman" w:hAnsi="Times New Roman" w:cs="Times New Roman"/>
                      <w:color w:val="auto"/>
                      <w:spacing w:val="2"/>
                      <w:szCs w:val="21"/>
                      <w:u w:val="none"/>
                    </w:rPr>
                    <w:t>目</w:t>
                  </w:r>
                  <w:r>
                    <w:rPr>
                      <w:rFonts w:hint="default" w:ascii="Times New Roman" w:hAnsi="Times New Roman" w:cs="Times New Roman"/>
                      <w:color w:val="auto"/>
                      <w:spacing w:val="-1"/>
                      <w:szCs w:val="21"/>
                      <w:u w:val="none"/>
                    </w:rPr>
                    <w:t>判</w:t>
                  </w:r>
                  <w:r>
                    <w:rPr>
                      <w:rFonts w:hint="default" w:ascii="Times New Roman" w:hAnsi="Times New Roman" w:cs="Times New Roman"/>
                      <w:color w:val="auto"/>
                      <w:spacing w:val="2"/>
                      <w:szCs w:val="21"/>
                      <w:u w:val="none"/>
                    </w:rPr>
                    <w:t>断</w:t>
                  </w:r>
                  <w:r>
                    <w:rPr>
                      <w:rFonts w:hint="default" w:ascii="Times New Roman" w:hAnsi="Times New Roman" w:cs="Times New Roman"/>
                      <w:color w:val="auto"/>
                      <w:spacing w:val="-1"/>
                      <w:szCs w:val="21"/>
                      <w:u w:val="none"/>
                    </w:rPr>
                    <w:t>情</w:t>
                  </w:r>
                  <w:r>
                    <w:rPr>
                      <w:rFonts w:hint="default" w:ascii="Times New Roman" w:hAnsi="Times New Roman" w:cs="Times New Roman"/>
                      <w:color w:val="auto"/>
                      <w:szCs w:val="21"/>
                      <w:u w:val="none"/>
                    </w:rPr>
                    <w:t>况</w:t>
                  </w:r>
                </w:p>
              </w:tc>
            </w:tr>
            <w:tr w14:paraId="64519952">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253" w:hRule="atLeast"/>
              </w:trPr>
              <w:tc>
                <w:tcPr>
                  <w:tcW w:w="712" w:type="pct"/>
                  <w:vAlign w:val="center"/>
                </w:tcPr>
                <w:p w14:paraId="1A015CD1">
                  <w:pPr>
                    <w:adjustRightInd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spacing w:val="-1"/>
                      <w:szCs w:val="21"/>
                      <w:u w:val="none"/>
                    </w:rPr>
                    <w:t>大</w:t>
                  </w:r>
                  <w:r>
                    <w:rPr>
                      <w:rFonts w:hint="default" w:ascii="Times New Roman" w:hAnsi="Times New Roman" w:cs="Times New Roman"/>
                      <w:color w:val="auto"/>
                      <w:szCs w:val="21"/>
                      <w:u w:val="none"/>
                    </w:rPr>
                    <w:t>气</w:t>
                  </w:r>
                </w:p>
              </w:tc>
              <w:tc>
                <w:tcPr>
                  <w:tcW w:w="2462" w:type="pct"/>
                  <w:vAlign w:val="center"/>
                </w:tcPr>
                <w:p w14:paraId="2D4C999C">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排放废气含有毒有害污染物</w:t>
                  </w:r>
                  <w:r>
                    <w:rPr>
                      <w:rFonts w:hint="default" w:ascii="Times New Roman" w:hAnsi="Times New Roman" w:cs="Times New Roman"/>
                      <w:color w:val="auto"/>
                      <w:kern w:val="0"/>
                      <w:szCs w:val="21"/>
                      <w:u w:val="none"/>
                      <w:vertAlign w:val="superscript"/>
                    </w:rPr>
                    <w:t>1</w:t>
                  </w:r>
                  <w:r>
                    <w:rPr>
                      <w:rFonts w:hint="default" w:ascii="Times New Roman" w:hAnsi="Times New Roman" w:cs="Times New Roman"/>
                      <w:color w:val="auto"/>
                      <w:kern w:val="0"/>
                      <w:szCs w:val="21"/>
                      <w:u w:val="none"/>
                    </w:rPr>
                    <w:t>、二噁英、苯并[a]芘、氰化物、氯气且厂界外500米范围内有环境空气保护目标</w:t>
                  </w:r>
                  <w:r>
                    <w:rPr>
                      <w:rFonts w:hint="default" w:ascii="Times New Roman" w:hAnsi="Times New Roman" w:cs="Times New Roman"/>
                      <w:color w:val="auto"/>
                      <w:kern w:val="0"/>
                      <w:szCs w:val="21"/>
                      <w:u w:val="none"/>
                      <w:vertAlign w:val="superscript"/>
                    </w:rPr>
                    <w:t>2</w:t>
                  </w:r>
                  <w:r>
                    <w:rPr>
                      <w:rFonts w:hint="default" w:ascii="Times New Roman" w:hAnsi="Times New Roman" w:cs="Times New Roman"/>
                      <w:color w:val="auto"/>
                      <w:kern w:val="0"/>
                      <w:szCs w:val="21"/>
                      <w:u w:val="none"/>
                    </w:rPr>
                    <w:t>的建设项目</w:t>
                  </w:r>
                </w:p>
              </w:tc>
              <w:tc>
                <w:tcPr>
                  <w:tcW w:w="1824" w:type="pct"/>
                  <w:vAlign w:val="center"/>
                </w:tcPr>
                <w:p w14:paraId="7CC4B47A">
                  <w:pPr>
                    <w:adjustRightInd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项目排放废气不含有毒有害污染物、二噁英、苯并[a]芘、氰化物、氯气等物质，因此无需设置大气专项评价。</w:t>
                  </w:r>
                </w:p>
              </w:tc>
            </w:tr>
            <w:tr w14:paraId="3A7FEED9">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253" w:hRule="atLeast"/>
              </w:trPr>
              <w:tc>
                <w:tcPr>
                  <w:tcW w:w="712" w:type="pct"/>
                  <w:vAlign w:val="center"/>
                </w:tcPr>
                <w:p w14:paraId="23D27EDC">
                  <w:pPr>
                    <w:adjustRightInd w:val="0"/>
                    <w:spacing w:line="240" w:lineRule="exact"/>
                    <w:jc w:val="center"/>
                    <w:rPr>
                      <w:rFonts w:hint="default" w:ascii="Times New Roman" w:hAnsi="Times New Roman" w:cs="Times New Roman"/>
                      <w:color w:val="auto"/>
                      <w:spacing w:val="-1"/>
                      <w:szCs w:val="21"/>
                      <w:u w:val="none"/>
                    </w:rPr>
                  </w:pPr>
                  <w:r>
                    <w:rPr>
                      <w:rFonts w:hint="default" w:ascii="Times New Roman" w:hAnsi="Times New Roman" w:cs="Times New Roman"/>
                      <w:color w:val="auto"/>
                      <w:spacing w:val="-1"/>
                      <w:szCs w:val="21"/>
                      <w:u w:val="none"/>
                    </w:rPr>
                    <w:t>地表水</w:t>
                  </w:r>
                </w:p>
              </w:tc>
              <w:tc>
                <w:tcPr>
                  <w:tcW w:w="2462" w:type="pct"/>
                  <w:vAlign w:val="center"/>
                </w:tcPr>
                <w:p w14:paraId="4B885948">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新增工业废水直排建设项目（槽罐车外送污水处理厂的除外）；新增废水直排的污水集中处理厂</w:t>
                  </w:r>
                </w:p>
              </w:tc>
              <w:tc>
                <w:tcPr>
                  <w:tcW w:w="1824" w:type="pct"/>
                  <w:vAlign w:val="center"/>
                </w:tcPr>
                <w:p w14:paraId="16FB679D">
                  <w:pPr>
                    <w:pStyle w:val="96"/>
                    <w:spacing w:line="24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u w:val="none"/>
                    </w:rPr>
                    <w:t>项</w:t>
                  </w:r>
                  <w:r>
                    <w:rPr>
                      <w:rFonts w:hint="default" w:ascii="Times New Roman" w:hAnsi="Times New Roman" w:cs="Times New Roman"/>
                      <w:color w:val="auto"/>
                      <w:spacing w:val="2"/>
                      <w:u w:val="none"/>
                    </w:rPr>
                    <w:t>目</w:t>
                  </w:r>
                  <w:r>
                    <w:rPr>
                      <w:rFonts w:hint="default" w:ascii="Times New Roman" w:hAnsi="Times New Roman" w:cs="Times New Roman"/>
                      <w:color w:val="auto"/>
                      <w:u w:val="none"/>
                    </w:rPr>
                    <w:t>无</w:t>
                  </w:r>
                  <w:r>
                    <w:rPr>
                      <w:rFonts w:hint="default" w:ascii="Times New Roman" w:hAnsi="Times New Roman" w:eastAsia="宋体" w:cs="Times New Roman"/>
                      <w:color w:val="auto"/>
                      <w:spacing w:val="2"/>
                      <w:u w:val="none"/>
                    </w:rPr>
                    <w:t>工业</w:t>
                  </w:r>
                  <w:r>
                    <w:rPr>
                      <w:rFonts w:hint="default" w:ascii="Times New Roman" w:hAnsi="Times New Roman" w:cs="Times New Roman"/>
                      <w:color w:val="auto"/>
                      <w:spacing w:val="2"/>
                      <w:u w:val="none"/>
                    </w:rPr>
                    <w:t>废</w:t>
                  </w:r>
                  <w:r>
                    <w:rPr>
                      <w:rFonts w:hint="default" w:ascii="Times New Roman" w:hAnsi="Times New Roman" w:cs="Times New Roman"/>
                      <w:color w:val="auto"/>
                      <w:u w:val="none"/>
                    </w:rPr>
                    <w:t>水</w:t>
                  </w:r>
                  <w:r>
                    <w:rPr>
                      <w:rFonts w:hint="default" w:ascii="Times New Roman" w:hAnsi="Times New Roman" w:eastAsia="宋体" w:cs="Times New Roman"/>
                      <w:color w:val="auto"/>
                      <w:u w:val="none"/>
                    </w:rPr>
                    <w:t>直接</w:t>
                  </w:r>
                  <w:r>
                    <w:rPr>
                      <w:rFonts w:hint="default" w:ascii="Times New Roman" w:hAnsi="Times New Roman" w:cs="Times New Roman"/>
                      <w:color w:val="auto"/>
                      <w:u w:val="none"/>
                    </w:rPr>
                    <w:t>排放</w:t>
                  </w:r>
                  <w:r>
                    <w:rPr>
                      <w:rFonts w:hint="default" w:ascii="Times New Roman" w:hAnsi="Times New Roman" w:cs="Times New Roman"/>
                      <w:color w:val="auto"/>
                      <w:spacing w:val="2"/>
                      <w:u w:val="none"/>
                    </w:rPr>
                    <w:t>，</w:t>
                  </w:r>
                  <w:r>
                    <w:rPr>
                      <w:rFonts w:hint="default" w:ascii="Times New Roman" w:hAnsi="Times New Roman" w:cs="Times New Roman"/>
                      <w:color w:val="auto"/>
                      <w:u w:val="none"/>
                    </w:rPr>
                    <w:t>因</w:t>
                  </w:r>
                  <w:r>
                    <w:rPr>
                      <w:rFonts w:hint="default" w:ascii="Times New Roman" w:hAnsi="Times New Roman" w:cs="Times New Roman"/>
                      <w:color w:val="auto"/>
                      <w:spacing w:val="2"/>
                      <w:u w:val="none"/>
                    </w:rPr>
                    <w:t>此</w:t>
                  </w:r>
                  <w:r>
                    <w:rPr>
                      <w:rFonts w:hint="default" w:ascii="Times New Roman" w:hAnsi="Times New Roman" w:cs="Times New Roman"/>
                      <w:color w:val="auto"/>
                      <w:u w:val="none"/>
                    </w:rPr>
                    <w:t>无</w:t>
                  </w:r>
                  <w:r>
                    <w:rPr>
                      <w:rFonts w:hint="default" w:ascii="Times New Roman" w:hAnsi="Times New Roman" w:cs="Times New Roman"/>
                      <w:color w:val="auto"/>
                      <w:spacing w:val="2"/>
                      <w:u w:val="none"/>
                    </w:rPr>
                    <w:t>需</w:t>
                  </w:r>
                  <w:r>
                    <w:rPr>
                      <w:rFonts w:hint="default" w:ascii="Times New Roman" w:hAnsi="Times New Roman" w:cs="Times New Roman"/>
                      <w:color w:val="auto"/>
                      <w:u w:val="none"/>
                    </w:rPr>
                    <w:t>设</w:t>
                  </w:r>
                  <w:r>
                    <w:rPr>
                      <w:rFonts w:hint="default" w:ascii="Times New Roman" w:hAnsi="Times New Roman" w:cs="Times New Roman"/>
                      <w:color w:val="auto"/>
                      <w:spacing w:val="2"/>
                      <w:u w:val="none"/>
                    </w:rPr>
                    <w:t>置</w:t>
                  </w:r>
                  <w:r>
                    <w:rPr>
                      <w:rFonts w:hint="default" w:ascii="Times New Roman" w:hAnsi="Times New Roman" w:cs="Times New Roman"/>
                      <w:color w:val="auto"/>
                      <w:u w:val="none"/>
                    </w:rPr>
                    <w:t>地</w:t>
                  </w:r>
                  <w:r>
                    <w:rPr>
                      <w:rFonts w:hint="default" w:ascii="Times New Roman" w:hAnsi="Times New Roman" w:cs="Times New Roman"/>
                      <w:color w:val="auto"/>
                      <w:spacing w:val="2"/>
                      <w:u w:val="none"/>
                    </w:rPr>
                    <w:t>表</w:t>
                  </w:r>
                  <w:r>
                    <w:rPr>
                      <w:rFonts w:hint="default" w:ascii="Times New Roman" w:hAnsi="Times New Roman" w:cs="Times New Roman"/>
                      <w:color w:val="auto"/>
                      <w:u w:val="none"/>
                    </w:rPr>
                    <w:t>水专</w:t>
                  </w:r>
                  <w:r>
                    <w:rPr>
                      <w:rFonts w:hint="default" w:ascii="Times New Roman" w:hAnsi="Times New Roman" w:cs="Times New Roman"/>
                      <w:color w:val="auto"/>
                      <w:spacing w:val="2"/>
                      <w:u w:val="none"/>
                    </w:rPr>
                    <w:t>项</w:t>
                  </w:r>
                  <w:r>
                    <w:rPr>
                      <w:rFonts w:hint="default" w:ascii="Times New Roman" w:hAnsi="Times New Roman" w:cs="Times New Roman"/>
                      <w:color w:val="auto"/>
                      <w:u w:val="none"/>
                    </w:rPr>
                    <w:t>评价</w:t>
                  </w:r>
                </w:p>
              </w:tc>
            </w:tr>
            <w:tr w14:paraId="1D97154A">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253" w:hRule="atLeast"/>
              </w:trPr>
              <w:tc>
                <w:tcPr>
                  <w:tcW w:w="712" w:type="pct"/>
                  <w:vAlign w:val="center"/>
                </w:tcPr>
                <w:p w14:paraId="3D93C0AA">
                  <w:pPr>
                    <w:adjustRightInd w:val="0"/>
                    <w:spacing w:line="240" w:lineRule="exact"/>
                    <w:jc w:val="center"/>
                    <w:rPr>
                      <w:rFonts w:hint="default" w:ascii="Times New Roman" w:hAnsi="Times New Roman" w:cs="Times New Roman"/>
                      <w:color w:val="auto"/>
                      <w:spacing w:val="-1"/>
                      <w:szCs w:val="21"/>
                      <w:u w:val="none"/>
                    </w:rPr>
                  </w:pPr>
                  <w:r>
                    <w:rPr>
                      <w:rFonts w:hint="default" w:ascii="Times New Roman" w:hAnsi="Times New Roman" w:cs="Times New Roman"/>
                      <w:color w:val="auto"/>
                      <w:spacing w:val="-1"/>
                      <w:szCs w:val="21"/>
                      <w:u w:val="none"/>
                    </w:rPr>
                    <w:t>环境风险</w:t>
                  </w:r>
                </w:p>
              </w:tc>
              <w:tc>
                <w:tcPr>
                  <w:tcW w:w="2462" w:type="pct"/>
                  <w:vAlign w:val="center"/>
                </w:tcPr>
                <w:p w14:paraId="3B964AC9">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有毒有害和易燃易爆危险物质存储量超过临界量</w:t>
                  </w:r>
                  <w:r>
                    <w:rPr>
                      <w:rFonts w:hint="default" w:ascii="Times New Roman" w:hAnsi="Times New Roman" w:cs="Times New Roman"/>
                      <w:color w:val="auto"/>
                      <w:kern w:val="0"/>
                      <w:szCs w:val="21"/>
                      <w:u w:val="none"/>
                      <w:vertAlign w:val="superscript"/>
                    </w:rPr>
                    <w:t>3</w:t>
                  </w:r>
                  <w:r>
                    <w:rPr>
                      <w:rFonts w:hint="default" w:ascii="Times New Roman" w:hAnsi="Times New Roman" w:cs="Times New Roman"/>
                      <w:color w:val="auto"/>
                      <w:kern w:val="0"/>
                      <w:szCs w:val="21"/>
                      <w:u w:val="none"/>
                    </w:rPr>
                    <w:t>的建设项目</w:t>
                  </w:r>
                </w:p>
              </w:tc>
              <w:tc>
                <w:tcPr>
                  <w:tcW w:w="1824" w:type="pct"/>
                  <w:vAlign w:val="center"/>
                </w:tcPr>
                <w:p w14:paraId="764D0342">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有毒有害和易燃易爆危险物质存储量未超过临界量，因此无需设置环境风险专项评价</w:t>
                  </w:r>
                </w:p>
              </w:tc>
            </w:tr>
            <w:tr w14:paraId="24A1DA78">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253" w:hRule="atLeast"/>
              </w:trPr>
              <w:tc>
                <w:tcPr>
                  <w:tcW w:w="712" w:type="pct"/>
                  <w:vAlign w:val="center"/>
                </w:tcPr>
                <w:p w14:paraId="6F3BC22E">
                  <w:pPr>
                    <w:adjustRightInd w:val="0"/>
                    <w:spacing w:line="240" w:lineRule="exact"/>
                    <w:jc w:val="center"/>
                    <w:rPr>
                      <w:rFonts w:hint="default" w:ascii="Times New Roman" w:hAnsi="Times New Roman" w:cs="Times New Roman"/>
                      <w:color w:val="auto"/>
                      <w:spacing w:val="-1"/>
                      <w:szCs w:val="21"/>
                      <w:u w:val="none"/>
                    </w:rPr>
                  </w:pPr>
                  <w:r>
                    <w:rPr>
                      <w:rFonts w:hint="default" w:ascii="Times New Roman" w:hAnsi="Times New Roman" w:cs="Times New Roman"/>
                      <w:color w:val="auto"/>
                      <w:spacing w:val="-1"/>
                      <w:szCs w:val="21"/>
                      <w:u w:val="none"/>
                    </w:rPr>
                    <w:t>生态</w:t>
                  </w:r>
                </w:p>
              </w:tc>
              <w:tc>
                <w:tcPr>
                  <w:tcW w:w="2462" w:type="pct"/>
                  <w:vAlign w:val="center"/>
                </w:tcPr>
                <w:p w14:paraId="20B955D1">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取水口下游500米范围内有重要水生生物的自然产卵场、索饵场、越冬场和洄游通道的新增河道取水的污染类</w:t>
                  </w:r>
                </w:p>
              </w:tc>
              <w:tc>
                <w:tcPr>
                  <w:tcW w:w="1824" w:type="pct"/>
                  <w:vAlign w:val="center"/>
                </w:tcPr>
                <w:p w14:paraId="45EDA3B5">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项目不涉及取水口，因此无需设置生态专项评价</w:t>
                  </w:r>
                </w:p>
              </w:tc>
            </w:tr>
            <w:tr w14:paraId="55BC5652">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253" w:hRule="atLeast"/>
              </w:trPr>
              <w:tc>
                <w:tcPr>
                  <w:tcW w:w="712" w:type="pct"/>
                  <w:vAlign w:val="center"/>
                </w:tcPr>
                <w:p w14:paraId="2A93F3CD">
                  <w:pPr>
                    <w:adjustRightInd w:val="0"/>
                    <w:spacing w:line="240" w:lineRule="exact"/>
                    <w:jc w:val="center"/>
                    <w:rPr>
                      <w:rFonts w:hint="default" w:ascii="Times New Roman" w:hAnsi="Times New Roman" w:cs="Times New Roman"/>
                      <w:color w:val="auto"/>
                      <w:spacing w:val="-1"/>
                      <w:szCs w:val="21"/>
                      <w:u w:val="none"/>
                    </w:rPr>
                  </w:pPr>
                  <w:r>
                    <w:rPr>
                      <w:rFonts w:hint="default" w:ascii="Times New Roman" w:hAnsi="Times New Roman" w:cs="Times New Roman"/>
                      <w:color w:val="auto"/>
                      <w:spacing w:val="-1"/>
                      <w:szCs w:val="21"/>
                      <w:u w:val="none"/>
                    </w:rPr>
                    <w:t>海洋</w:t>
                  </w:r>
                </w:p>
              </w:tc>
              <w:tc>
                <w:tcPr>
                  <w:tcW w:w="2462" w:type="pct"/>
                  <w:vAlign w:val="center"/>
                </w:tcPr>
                <w:p w14:paraId="680EC7C6">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直接向海排放污染物的海洋工程建设项目</w:t>
                  </w:r>
                </w:p>
              </w:tc>
              <w:tc>
                <w:tcPr>
                  <w:tcW w:w="1824" w:type="pct"/>
                  <w:vAlign w:val="center"/>
                </w:tcPr>
                <w:p w14:paraId="087014C7">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项目不涉及向海洋排放污染物，因此无需设置海洋专项评价</w:t>
                  </w:r>
                </w:p>
              </w:tc>
            </w:tr>
            <w:tr w14:paraId="263761F3">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542" w:hRule="atLeast"/>
              </w:trPr>
              <w:tc>
                <w:tcPr>
                  <w:tcW w:w="712" w:type="pct"/>
                  <w:vMerge w:val="restart"/>
                  <w:vAlign w:val="center"/>
                </w:tcPr>
                <w:p w14:paraId="02695D87">
                  <w:pPr>
                    <w:adjustRightInd w:val="0"/>
                    <w:spacing w:line="240" w:lineRule="exact"/>
                    <w:jc w:val="center"/>
                    <w:rPr>
                      <w:rFonts w:hint="default" w:ascii="Times New Roman" w:hAnsi="Times New Roman" w:cs="Times New Roman"/>
                      <w:color w:val="auto"/>
                      <w:spacing w:val="-1"/>
                      <w:szCs w:val="21"/>
                      <w:u w:val="none"/>
                    </w:rPr>
                  </w:pPr>
                  <w:r>
                    <w:rPr>
                      <w:rFonts w:hint="default" w:ascii="Times New Roman" w:hAnsi="Times New Roman" w:cs="Times New Roman"/>
                      <w:color w:val="auto"/>
                      <w:spacing w:val="-1"/>
                      <w:szCs w:val="21"/>
                      <w:u w:val="none"/>
                    </w:rPr>
                    <w:t>备注</w:t>
                  </w:r>
                </w:p>
              </w:tc>
              <w:tc>
                <w:tcPr>
                  <w:tcW w:w="4287" w:type="pct"/>
                  <w:gridSpan w:val="2"/>
                  <w:vAlign w:val="center"/>
                </w:tcPr>
                <w:p w14:paraId="7E89FC36">
                  <w:pPr>
                    <w:pStyle w:val="96"/>
                    <w:spacing w:line="240" w:lineRule="exact"/>
                    <w:jc w:val="left"/>
                    <w:rPr>
                      <w:rFonts w:hint="default" w:ascii="Times New Roman" w:hAnsi="Times New Roman" w:cs="Times New Roman"/>
                      <w:color w:val="auto"/>
                      <w:szCs w:val="21"/>
                      <w:u w:val="none"/>
                    </w:rPr>
                  </w:pPr>
                  <w:r>
                    <w:rPr>
                      <w:rFonts w:hint="default" w:ascii="Times New Roman" w:hAnsi="Times New Roman" w:eastAsia="思源宋體 TW" w:cs="Times New Roman"/>
                      <w:color w:val="auto"/>
                      <w:spacing w:val="1"/>
                      <w:szCs w:val="21"/>
                      <w:u w:val="none"/>
                    </w:rPr>
                    <w:t>1</w:t>
                  </w:r>
                  <w:r>
                    <w:rPr>
                      <w:rFonts w:hint="default" w:ascii="Times New Roman" w:hAnsi="Times New Roman" w:eastAsia="思源宋體 TW" w:cs="Times New Roman"/>
                      <w:color w:val="auto"/>
                      <w:spacing w:val="2"/>
                      <w:szCs w:val="21"/>
                      <w:u w:val="none"/>
                    </w:rPr>
                    <w:t>.</w:t>
                  </w:r>
                  <w:r>
                    <w:rPr>
                      <w:rFonts w:hint="default" w:ascii="Times New Roman" w:hAnsi="Times New Roman" w:cs="Times New Roman"/>
                      <w:color w:val="auto"/>
                      <w:spacing w:val="4"/>
                      <w:szCs w:val="21"/>
                      <w:u w:val="none"/>
                    </w:rPr>
                    <w:t>废气中有毒有</w:t>
                  </w:r>
                  <w:r>
                    <w:rPr>
                      <w:rFonts w:hint="default" w:ascii="Times New Roman" w:hAnsi="Times New Roman" w:cs="Times New Roman"/>
                      <w:color w:val="auto"/>
                      <w:spacing w:val="2"/>
                      <w:szCs w:val="21"/>
                      <w:u w:val="none"/>
                    </w:rPr>
                    <w:t>害</w:t>
                  </w:r>
                  <w:r>
                    <w:rPr>
                      <w:rFonts w:hint="default" w:ascii="Times New Roman" w:hAnsi="Times New Roman" w:cs="Times New Roman"/>
                      <w:color w:val="auto"/>
                      <w:spacing w:val="4"/>
                      <w:szCs w:val="21"/>
                      <w:u w:val="none"/>
                    </w:rPr>
                    <w:t>污染物指纳入《有毒有害</w:t>
                  </w:r>
                  <w:r>
                    <w:rPr>
                      <w:rFonts w:hint="default" w:ascii="Times New Roman" w:hAnsi="Times New Roman" w:cs="Times New Roman"/>
                      <w:color w:val="auto"/>
                      <w:spacing w:val="2"/>
                      <w:szCs w:val="21"/>
                      <w:u w:val="none"/>
                    </w:rPr>
                    <w:t>大</w:t>
                  </w:r>
                  <w:r>
                    <w:rPr>
                      <w:rFonts w:hint="default" w:ascii="Times New Roman" w:hAnsi="Times New Roman" w:cs="Times New Roman"/>
                      <w:color w:val="auto"/>
                      <w:spacing w:val="4"/>
                      <w:szCs w:val="21"/>
                      <w:u w:val="none"/>
                    </w:rPr>
                    <w:t>气污染物名录》</w:t>
                  </w:r>
                  <w:r>
                    <w:rPr>
                      <w:rFonts w:hint="default" w:ascii="Times New Roman" w:hAnsi="Times New Roman" w:cs="Times New Roman"/>
                      <w:color w:val="auto"/>
                      <w:szCs w:val="21"/>
                      <w:u w:val="none"/>
                    </w:rPr>
                    <w:t>的</w:t>
                  </w:r>
                  <w:r>
                    <w:rPr>
                      <w:rFonts w:hint="default" w:ascii="Times New Roman" w:hAnsi="Times New Roman" w:cs="Times New Roman"/>
                      <w:color w:val="auto"/>
                      <w:spacing w:val="-1"/>
                      <w:szCs w:val="21"/>
                      <w:u w:val="none"/>
                    </w:rPr>
                    <w:t>污</w:t>
                  </w:r>
                  <w:r>
                    <w:rPr>
                      <w:rFonts w:hint="default" w:ascii="Times New Roman" w:hAnsi="Times New Roman" w:cs="Times New Roman"/>
                      <w:color w:val="auto"/>
                      <w:spacing w:val="2"/>
                      <w:szCs w:val="21"/>
                      <w:u w:val="none"/>
                    </w:rPr>
                    <w:t>染</w:t>
                  </w:r>
                  <w:r>
                    <w:rPr>
                      <w:rFonts w:hint="default" w:ascii="Times New Roman" w:hAnsi="Times New Roman" w:cs="Times New Roman"/>
                      <w:color w:val="auto"/>
                      <w:spacing w:val="-1"/>
                      <w:szCs w:val="21"/>
                      <w:u w:val="none"/>
                    </w:rPr>
                    <w:t>物</w:t>
                  </w:r>
                  <w:r>
                    <w:rPr>
                      <w:rFonts w:hint="default" w:ascii="Times New Roman" w:hAnsi="Times New Roman" w:cs="Times New Roman"/>
                      <w:color w:val="auto"/>
                      <w:spacing w:val="2"/>
                      <w:szCs w:val="21"/>
                      <w:u w:val="none"/>
                    </w:rPr>
                    <w:t>（</w:t>
                  </w:r>
                  <w:r>
                    <w:rPr>
                      <w:rFonts w:hint="default" w:ascii="Times New Roman" w:hAnsi="Times New Roman" w:cs="Times New Roman"/>
                      <w:color w:val="auto"/>
                      <w:spacing w:val="-1"/>
                      <w:szCs w:val="21"/>
                      <w:u w:val="none"/>
                    </w:rPr>
                    <w:t>不</w:t>
                  </w:r>
                  <w:r>
                    <w:rPr>
                      <w:rFonts w:hint="default" w:ascii="Times New Roman" w:hAnsi="Times New Roman" w:cs="Times New Roman"/>
                      <w:color w:val="auto"/>
                      <w:spacing w:val="2"/>
                      <w:szCs w:val="21"/>
                      <w:u w:val="none"/>
                    </w:rPr>
                    <w:t>包</w:t>
                  </w:r>
                  <w:r>
                    <w:rPr>
                      <w:rFonts w:hint="default" w:ascii="Times New Roman" w:hAnsi="Times New Roman" w:cs="Times New Roman"/>
                      <w:color w:val="auto"/>
                      <w:spacing w:val="-1"/>
                      <w:szCs w:val="21"/>
                      <w:u w:val="none"/>
                    </w:rPr>
                    <w:t>括</w:t>
                  </w:r>
                  <w:r>
                    <w:rPr>
                      <w:rFonts w:hint="default" w:ascii="Times New Roman" w:hAnsi="Times New Roman" w:cs="Times New Roman"/>
                      <w:color w:val="auto"/>
                      <w:spacing w:val="2"/>
                      <w:szCs w:val="21"/>
                      <w:u w:val="none"/>
                    </w:rPr>
                    <w:t>无</w:t>
                  </w:r>
                  <w:r>
                    <w:rPr>
                      <w:rFonts w:hint="default" w:ascii="Times New Roman" w:hAnsi="Times New Roman" w:cs="Times New Roman"/>
                      <w:color w:val="auto"/>
                      <w:spacing w:val="-1"/>
                      <w:szCs w:val="21"/>
                      <w:u w:val="none"/>
                    </w:rPr>
                    <w:t>排</w:t>
                  </w:r>
                  <w:r>
                    <w:rPr>
                      <w:rFonts w:hint="default" w:ascii="Times New Roman" w:hAnsi="Times New Roman" w:cs="Times New Roman"/>
                      <w:color w:val="auto"/>
                      <w:spacing w:val="2"/>
                      <w:szCs w:val="21"/>
                      <w:u w:val="none"/>
                    </w:rPr>
                    <w:t>放</w:t>
                  </w:r>
                  <w:r>
                    <w:rPr>
                      <w:rFonts w:hint="default" w:ascii="Times New Roman" w:hAnsi="Times New Roman" w:cs="Times New Roman"/>
                      <w:color w:val="auto"/>
                      <w:spacing w:val="-1"/>
                      <w:szCs w:val="21"/>
                      <w:u w:val="none"/>
                    </w:rPr>
                    <w:t>标</w:t>
                  </w:r>
                  <w:r>
                    <w:rPr>
                      <w:rFonts w:hint="default" w:ascii="Times New Roman" w:hAnsi="Times New Roman" w:cs="Times New Roman"/>
                      <w:color w:val="auto"/>
                      <w:spacing w:val="2"/>
                      <w:szCs w:val="21"/>
                      <w:u w:val="none"/>
                    </w:rPr>
                    <w:t>准</w:t>
                  </w:r>
                  <w:r>
                    <w:rPr>
                      <w:rFonts w:hint="default" w:ascii="Times New Roman" w:hAnsi="Times New Roman" w:cs="Times New Roman"/>
                      <w:color w:val="auto"/>
                      <w:spacing w:val="-1"/>
                      <w:szCs w:val="21"/>
                      <w:u w:val="none"/>
                    </w:rPr>
                    <w:t>的</w:t>
                  </w:r>
                  <w:r>
                    <w:rPr>
                      <w:rFonts w:hint="default" w:ascii="Times New Roman" w:hAnsi="Times New Roman" w:cs="Times New Roman"/>
                      <w:color w:val="auto"/>
                      <w:spacing w:val="2"/>
                      <w:szCs w:val="21"/>
                      <w:u w:val="none"/>
                    </w:rPr>
                    <w:t>污</w:t>
                  </w:r>
                  <w:r>
                    <w:rPr>
                      <w:rFonts w:hint="default" w:ascii="Times New Roman" w:hAnsi="Times New Roman" w:cs="Times New Roman"/>
                      <w:color w:val="auto"/>
                      <w:spacing w:val="-1"/>
                      <w:szCs w:val="21"/>
                      <w:u w:val="none"/>
                    </w:rPr>
                    <w:t>染</w:t>
                  </w:r>
                  <w:r>
                    <w:rPr>
                      <w:rFonts w:hint="default" w:ascii="Times New Roman" w:hAnsi="Times New Roman" w:cs="Times New Roman"/>
                      <w:color w:val="auto"/>
                      <w:spacing w:val="2"/>
                      <w:szCs w:val="21"/>
                      <w:u w:val="none"/>
                    </w:rPr>
                    <w:t>物</w:t>
                  </w:r>
                  <w:r>
                    <w:rPr>
                      <w:rFonts w:hint="default" w:ascii="Times New Roman" w:hAnsi="Times New Roman" w:cs="Times New Roman"/>
                      <w:color w:val="auto"/>
                      <w:spacing w:val="-1"/>
                      <w:szCs w:val="21"/>
                      <w:u w:val="none"/>
                    </w:rPr>
                    <w:t>）</w:t>
                  </w:r>
                  <w:r>
                    <w:rPr>
                      <w:rFonts w:hint="default" w:ascii="Times New Roman" w:hAnsi="Times New Roman" w:cs="Times New Roman"/>
                      <w:color w:val="auto"/>
                      <w:szCs w:val="21"/>
                      <w:u w:val="none"/>
                    </w:rPr>
                    <w:t>。</w:t>
                  </w:r>
                </w:p>
              </w:tc>
            </w:tr>
            <w:tr w14:paraId="0CA7F866">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65" w:hRule="atLeast"/>
              </w:trPr>
              <w:tc>
                <w:tcPr>
                  <w:tcW w:w="712" w:type="pct"/>
                  <w:vMerge w:val="continue"/>
                  <w:vAlign w:val="center"/>
                </w:tcPr>
                <w:p w14:paraId="25637F4B">
                  <w:pPr>
                    <w:adjustRightInd w:val="0"/>
                    <w:spacing w:line="240" w:lineRule="exact"/>
                    <w:jc w:val="center"/>
                    <w:rPr>
                      <w:rFonts w:hint="default" w:ascii="Times New Roman" w:hAnsi="Times New Roman" w:cs="Times New Roman"/>
                      <w:color w:val="auto"/>
                      <w:spacing w:val="-1"/>
                      <w:szCs w:val="21"/>
                      <w:u w:val="none"/>
                    </w:rPr>
                  </w:pPr>
                </w:p>
              </w:tc>
              <w:tc>
                <w:tcPr>
                  <w:tcW w:w="4287" w:type="pct"/>
                  <w:gridSpan w:val="2"/>
                  <w:vAlign w:val="center"/>
                </w:tcPr>
                <w:p w14:paraId="57C6DBB0">
                  <w:pPr>
                    <w:pStyle w:val="96"/>
                    <w:spacing w:line="240" w:lineRule="exact"/>
                    <w:jc w:val="left"/>
                    <w:rPr>
                      <w:rFonts w:hint="default" w:ascii="Times New Roman" w:hAnsi="Times New Roman" w:cs="Times New Roman"/>
                      <w:color w:val="auto"/>
                      <w:szCs w:val="21"/>
                      <w:u w:val="none"/>
                    </w:rPr>
                  </w:pPr>
                  <w:r>
                    <w:rPr>
                      <w:rFonts w:hint="default" w:ascii="Times New Roman" w:hAnsi="Times New Roman" w:eastAsia="思源宋體 TW" w:cs="Times New Roman"/>
                      <w:color w:val="auto"/>
                      <w:spacing w:val="1"/>
                      <w:szCs w:val="21"/>
                      <w:u w:val="none"/>
                    </w:rPr>
                    <w:t>2</w:t>
                  </w:r>
                  <w:r>
                    <w:rPr>
                      <w:rFonts w:hint="default" w:ascii="Times New Roman" w:hAnsi="Times New Roman" w:eastAsia="思源宋體 TW" w:cs="Times New Roman"/>
                      <w:color w:val="auto"/>
                      <w:spacing w:val="2"/>
                      <w:szCs w:val="21"/>
                      <w:u w:val="none"/>
                    </w:rPr>
                    <w:t>.</w:t>
                  </w:r>
                  <w:r>
                    <w:rPr>
                      <w:rFonts w:hint="default" w:ascii="Times New Roman" w:hAnsi="Times New Roman" w:cs="Times New Roman"/>
                      <w:color w:val="auto"/>
                      <w:spacing w:val="4"/>
                      <w:szCs w:val="21"/>
                      <w:u w:val="none"/>
                    </w:rPr>
                    <w:t>环境空气保护</w:t>
                  </w:r>
                  <w:r>
                    <w:rPr>
                      <w:rFonts w:hint="default" w:ascii="Times New Roman" w:hAnsi="Times New Roman" w:cs="Times New Roman"/>
                      <w:color w:val="auto"/>
                      <w:spacing w:val="2"/>
                      <w:szCs w:val="21"/>
                      <w:u w:val="none"/>
                    </w:rPr>
                    <w:t>目</w:t>
                  </w:r>
                  <w:r>
                    <w:rPr>
                      <w:rFonts w:hint="default" w:ascii="Times New Roman" w:hAnsi="Times New Roman" w:cs="Times New Roman"/>
                      <w:color w:val="auto"/>
                      <w:spacing w:val="4"/>
                      <w:szCs w:val="21"/>
                      <w:u w:val="none"/>
                    </w:rPr>
                    <w:t>标指自然保护区、风景名</w:t>
                  </w:r>
                  <w:r>
                    <w:rPr>
                      <w:rFonts w:hint="default" w:ascii="Times New Roman" w:hAnsi="Times New Roman" w:cs="Times New Roman"/>
                      <w:color w:val="auto"/>
                      <w:spacing w:val="2"/>
                      <w:szCs w:val="21"/>
                      <w:u w:val="none"/>
                    </w:rPr>
                    <w:t>胜</w:t>
                  </w:r>
                  <w:r>
                    <w:rPr>
                      <w:rFonts w:hint="default" w:ascii="Times New Roman" w:hAnsi="Times New Roman" w:cs="Times New Roman"/>
                      <w:color w:val="auto"/>
                      <w:spacing w:val="4"/>
                      <w:szCs w:val="21"/>
                      <w:u w:val="none"/>
                    </w:rPr>
                    <w:t>区、居住区、文</w:t>
                  </w:r>
                  <w:r>
                    <w:rPr>
                      <w:rFonts w:hint="default" w:ascii="Times New Roman" w:hAnsi="Times New Roman" w:cs="Times New Roman"/>
                      <w:color w:val="auto"/>
                      <w:szCs w:val="21"/>
                      <w:u w:val="none"/>
                    </w:rPr>
                    <w:t>化</w:t>
                  </w:r>
                  <w:r>
                    <w:rPr>
                      <w:rFonts w:hint="default" w:ascii="Times New Roman" w:hAnsi="Times New Roman" w:cs="Times New Roman"/>
                      <w:color w:val="auto"/>
                      <w:spacing w:val="-1"/>
                      <w:szCs w:val="21"/>
                      <w:u w:val="none"/>
                    </w:rPr>
                    <w:t>区</w:t>
                  </w:r>
                  <w:r>
                    <w:rPr>
                      <w:rFonts w:hint="default" w:ascii="Times New Roman" w:hAnsi="Times New Roman" w:cs="Times New Roman"/>
                      <w:color w:val="auto"/>
                      <w:spacing w:val="2"/>
                      <w:szCs w:val="21"/>
                      <w:u w:val="none"/>
                    </w:rPr>
                    <w:t>和</w:t>
                  </w:r>
                  <w:r>
                    <w:rPr>
                      <w:rFonts w:hint="default" w:ascii="Times New Roman" w:hAnsi="Times New Roman" w:cs="Times New Roman"/>
                      <w:color w:val="auto"/>
                      <w:spacing w:val="-1"/>
                      <w:szCs w:val="21"/>
                      <w:u w:val="none"/>
                    </w:rPr>
                    <w:t>农</w:t>
                  </w:r>
                  <w:r>
                    <w:rPr>
                      <w:rFonts w:hint="default" w:ascii="Times New Roman" w:hAnsi="Times New Roman" w:cs="Times New Roman"/>
                      <w:color w:val="auto"/>
                      <w:spacing w:val="2"/>
                      <w:szCs w:val="21"/>
                      <w:u w:val="none"/>
                    </w:rPr>
                    <w:t>村</w:t>
                  </w:r>
                  <w:r>
                    <w:rPr>
                      <w:rFonts w:hint="default" w:ascii="Times New Roman" w:hAnsi="Times New Roman" w:cs="Times New Roman"/>
                      <w:color w:val="auto"/>
                      <w:spacing w:val="-1"/>
                      <w:szCs w:val="21"/>
                      <w:u w:val="none"/>
                    </w:rPr>
                    <w:t>地</w:t>
                  </w:r>
                  <w:r>
                    <w:rPr>
                      <w:rFonts w:hint="default" w:ascii="Times New Roman" w:hAnsi="Times New Roman" w:cs="Times New Roman"/>
                      <w:color w:val="auto"/>
                      <w:spacing w:val="2"/>
                      <w:szCs w:val="21"/>
                      <w:u w:val="none"/>
                    </w:rPr>
                    <w:t>区</w:t>
                  </w:r>
                  <w:r>
                    <w:rPr>
                      <w:rFonts w:hint="default" w:ascii="Times New Roman" w:hAnsi="Times New Roman" w:cs="Times New Roman"/>
                      <w:color w:val="auto"/>
                      <w:spacing w:val="-1"/>
                      <w:szCs w:val="21"/>
                      <w:u w:val="none"/>
                    </w:rPr>
                    <w:t>中</w:t>
                  </w:r>
                  <w:r>
                    <w:rPr>
                      <w:rFonts w:hint="default" w:ascii="Times New Roman" w:hAnsi="Times New Roman" w:cs="Times New Roman"/>
                      <w:color w:val="auto"/>
                      <w:spacing w:val="2"/>
                      <w:szCs w:val="21"/>
                      <w:u w:val="none"/>
                    </w:rPr>
                    <w:t>人</w:t>
                  </w:r>
                  <w:r>
                    <w:rPr>
                      <w:rFonts w:hint="default" w:ascii="Times New Roman" w:hAnsi="Times New Roman" w:cs="Times New Roman"/>
                      <w:color w:val="auto"/>
                      <w:spacing w:val="-1"/>
                      <w:szCs w:val="21"/>
                      <w:u w:val="none"/>
                    </w:rPr>
                    <w:t>群</w:t>
                  </w:r>
                  <w:r>
                    <w:rPr>
                      <w:rFonts w:hint="default" w:ascii="Times New Roman" w:hAnsi="Times New Roman" w:cs="Times New Roman"/>
                      <w:color w:val="auto"/>
                      <w:spacing w:val="2"/>
                      <w:szCs w:val="21"/>
                      <w:u w:val="none"/>
                    </w:rPr>
                    <w:t>较</w:t>
                  </w:r>
                  <w:r>
                    <w:rPr>
                      <w:rFonts w:hint="default" w:ascii="Times New Roman" w:hAnsi="Times New Roman" w:cs="Times New Roman"/>
                      <w:color w:val="auto"/>
                      <w:spacing w:val="-1"/>
                      <w:szCs w:val="21"/>
                      <w:u w:val="none"/>
                    </w:rPr>
                    <w:t>集</w:t>
                  </w:r>
                  <w:r>
                    <w:rPr>
                      <w:rFonts w:hint="default" w:ascii="Times New Roman" w:hAnsi="Times New Roman" w:cs="Times New Roman"/>
                      <w:color w:val="auto"/>
                      <w:spacing w:val="2"/>
                      <w:szCs w:val="21"/>
                      <w:u w:val="none"/>
                    </w:rPr>
                    <w:t>中</w:t>
                  </w:r>
                  <w:r>
                    <w:rPr>
                      <w:rFonts w:hint="default" w:ascii="Times New Roman" w:hAnsi="Times New Roman" w:cs="Times New Roman"/>
                      <w:color w:val="auto"/>
                      <w:spacing w:val="-1"/>
                      <w:szCs w:val="21"/>
                      <w:u w:val="none"/>
                    </w:rPr>
                    <w:t>的</w:t>
                  </w:r>
                  <w:r>
                    <w:rPr>
                      <w:rFonts w:hint="default" w:ascii="Times New Roman" w:hAnsi="Times New Roman" w:cs="Times New Roman"/>
                      <w:color w:val="auto"/>
                      <w:spacing w:val="2"/>
                      <w:szCs w:val="21"/>
                      <w:u w:val="none"/>
                    </w:rPr>
                    <w:t>区</w:t>
                  </w:r>
                  <w:r>
                    <w:rPr>
                      <w:rFonts w:hint="default" w:ascii="Times New Roman" w:hAnsi="Times New Roman" w:cs="Times New Roman"/>
                      <w:color w:val="auto"/>
                      <w:spacing w:val="-1"/>
                      <w:szCs w:val="21"/>
                      <w:u w:val="none"/>
                    </w:rPr>
                    <w:t>域</w:t>
                  </w:r>
                  <w:r>
                    <w:rPr>
                      <w:rFonts w:hint="default" w:ascii="Times New Roman" w:hAnsi="Times New Roman" w:cs="Times New Roman"/>
                      <w:color w:val="auto"/>
                      <w:szCs w:val="21"/>
                      <w:u w:val="none"/>
                    </w:rPr>
                    <w:t>。</w:t>
                  </w:r>
                </w:p>
              </w:tc>
            </w:tr>
            <w:tr w14:paraId="0D6B5377">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712" w:type="pct"/>
                  <w:vMerge w:val="continue"/>
                  <w:vAlign w:val="center"/>
                </w:tcPr>
                <w:p w14:paraId="31CCC05A">
                  <w:pPr>
                    <w:adjustRightInd w:val="0"/>
                    <w:spacing w:line="240" w:lineRule="exact"/>
                    <w:jc w:val="center"/>
                    <w:rPr>
                      <w:rFonts w:hint="default" w:ascii="Times New Roman" w:hAnsi="Times New Roman" w:cs="Times New Roman"/>
                      <w:color w:val="auto"/>
                      <w:spacing w:val="-1"/>
                      <w:szCs w:val="21"/>
                      <w:u w:val="none"/>
                    </w:rPr>
                  </w:pPr>
                </w:p>
              </w:tc>
              <w:tc>
                <w:tcPr>
                  <w:tcW w:w="4287" w:type="pct"/>
                  <w:gridSpan w:val="2"/>
                  <w:vAlign w:val="center"/>
                </w:tcPr>
                <w:p w14:paraId="53A0AA9F">
                  <w:pPr>
                    <w:autoSpaceDE w:val="0"/>
                    <w:autoSpaceDN w:val="0"/>
                    <w:spacing w:line="240" w:lineRule="exact"/>
                    <w:jc w:val="left"/>
                    <w:rPr>
                      <w:rFonts w:hint="default" w:ascii="Times New Roman" w:hAnsi="Times New Roman" w:cs="Times New Roman"/>
                      <w:color w:val="auto"/>
                      <w:szCs w:val="21"/>
                      <w:u w:val="none"/>
                    </w:rPr>
                  </w:pPr>
                  <w:r>
                    <w:rPr>
                      <w:rFonts w:hint="default" w:ascii="Times New Roman" w:hAnsi="Times New Roman" w:cs="Times New Roman"/>
                      <w:color w:val="auto"/>
                      <w:kern w:val="0"/>
                      <w:szCs w:val="21"/>
                      <w:u w:val="none"/>
                    </w:rPr>
                    <w:t>3.临界量及其计算方法可参考《建设项目环境风险评价技术导则》（HJ169）附录B、附录C。</w:t>
                  </w:r>
                </w:p>
              </w:tc>
            </w:tr>
          </w:tbl>
          <w:p w14:paraId="1EEDDE40">
            <w:pPr>
              <w:autoSpaceDE w:val="0"/>
              <w:autoSpaceDN w:val="0"/>
              <w:spacing w:line="520" w:lineRule="exact"/>
              <w:ind w:firstLine="480" w:firstLineChars="200"/>
              <w:rPr>
                <w:rFonts w:hint="default" w:ascii="Times New Roman" w:hAnsi="Times New Roman" w:cs="Times New Roman"/>
                <w:color w:val="auto"/>
                <w:sz w:val="24"/>
                <w:u w:val="none"/>
              </w:rPr>
            </w:pPr>
            <w:r>
              <w:rPr>
                <w:rFonts w:hint="default" w:ascii="Times New Roman" w:hAnsi="Times New Roman" w:eastAsia="宋体" w:cs="Times New Roman"/>
                <w:color w:val="auto"/>
                <w:kern w:val="0"/>
                <w:sz w:val="24"/>
                <w:u w:val="none"/>
              </w:rPr>
              <w:t>根据《建设项目环境影响评价报告表编制技术指南（污染影响类）（试行）》表1专项设置原则表，本项目无需设置大气、地表水、生态、风险、海洋等专项评价。</w:t>
            </w:r>
          </w:p>
        </w:tc>
      </w:tr>
      <w:tr w14:paraId="22AEE4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36" w:type="pct"/>
            <w:vAlign w:val="center"/>
          </w:tcPr>
          <w:p w14:paraId="29FCED0F">
            <w:pPr>
              <w:autoSpaceDE w:val="0"/>
              <w:autoSpaceDN w:val="0"/>
              <w:adjustRightInd w:val="0"/>
              <w:snapToGrid w:val="0"/>
              <w:jc w:val="center"/>
              <w:rPr>
                <w:rFonts w:hint="default" w:ascii="Times New Roman" w:hAnsi="Times New Roman" w:cs="Times New Roman"/>
                <w:color w:val="auto"/>
                <w:kern w:val="0"/>
                <w:sz w:val="24"/>
                <w:u w:val="none"/>
              </w:rPr>
            </w:pPr>
            <w:r>
              <w:rPr>
                <w:rFonts w:hint="default" w:ascii="Times New Roman" w:hAnsi="Times New Roman" w:cs="Times New Roman"/>
                <w:color w:val="auto"/>
                <w:sz w:val="24"/>
                <w:u w:val="none"/>
              </w:rPr>
              <w:t>规划情况</w:t>
            </w:r>
          </w:p>
        </w:tc>
        <w:tc>
          <w:tcPr>
            <w:tcW w:w="4263" w:type="pct"/>
            <w:gridSpan w:val="3"/>
            <w:vAlign w:val="center"/>
          </w:tcPr>
          <w:p w14:paraId="2E0FB386">
            <w:pPr>
              <w:autoSpaceDE w:val="0"/>
              <w:autoSpaceDN w:val="0"/>
              <w:adjustRightInd w:val="0"/>
              <w:snapToGrid w:val="0"/>
              <w:jc w:val="center"/>
              <w:rPr>
                <w:rFonts w:hint="default" w:ascii="Times New Roman" w:hAnsi="Times New Roman" w:cs="Times New Roman"/>
                <w:color w:val="auto"/>
                <w:sz w:val="24"/>
                <w:u w:val="none"/>
              </w:rPr>
            </w:pPr>
            <w:r>
              <w:rPr>
                <w:rFonts w:hint="default" w:ascii="Times New Roman" w:hAnsi="Times New Roman" w:eastAsia="宋体" w:cs="Times New Roman"/>
                <w:color w:val="auto"/>
                <w:sz w:val="24"/>
                <w:u w:val="none"/>
              </w:rPr>
              <w:t>东安县人民政府《湖南东安经济开发区调区扩区规划》</w:t>
            </w:r>
          </w:p>
        </w:tc>
      </w:tr>
      <w:tr w14:paraId="7EB9E4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36" w:type="pct"/>
            <w:vAlign w:val="center"/>
          </w:tcPr>
          <w:p w14:paraId="04988B9A">
            <w:pPr>
              <w:adjustRightInd w:val="0"/>
              <w:snapToGrid w:val="0"/>
              <w:jc w:val="center"/>
              <w:rPr>
                <w:rFonts w:hint="default" w:ascii="Times New Roman" w:hAnsi="Times New Roman" w:cs="Times New Roman"/>
                <w:color w:val="auto"/>
                <w:kern w:val="0"/>
                <w:sz w:val="24"/>
                <w:u w:val="none"/>
              </w:rPr>
            </w:pPr>
            <w:r>
              <w:rPr>
                <w:rFonts w:hint="default" w:ascii="Times New Roman" w:hAnsi="Times New Roman" w:cs="Times New Roman"/>
                <w:color w:val="auto"/>
                <w:sz w:val="24"/>
                <w:u w:val="none"/>
              </w:rPr>
              <w:t>规划环境影响评价情况</w:t>
            </w:r>
          </w:p>
        </w:tc>
        <w:tc>
          <w:tcPr>
            <w:tcW w:w="4263" w:type="pct"/>
            <w:gridSpan w:val="3"/>
            <w:vAlign w:val="center"/>
          </w:tcPr>
          <w:p w14:paraId="68E523D5">
            <w:pPr>
              <w:autoSpaceDE w:val="0"/>
              <w:autoSpaceDN w:val="0"/>
              <w:spacing w:line="520" w:lineRule="exact"/>
              <w:ind w:firstLine="480" w:firstLineChars="200"/>
              <w:rPr>
                <w:rFonts w:hint="default" w:ascii="Times New Roman" w:hAnsi="Times New Roman" w:eastAsia="宋体" w:cs="Times New Roman"/>
                <w:color w:val="auto"/>
                <w:kern w:val="0"/>
                <w:sz w:val="24"/>
                <w:u w:val="none"/>
              </w:rPr>
            </w:pPr>
            <w:r>
              <w:rPr>
                <w:rFonts w:hint="default" w:ascii="Times New Roman" w:hAnsi="Times New Roman" w:eastAsia="宋体" w:cs="Times New Roman"/>
                <w:color w:val="auto"/>
                <w:kern w:val="0"/>
                <w:sz w:val="24"/>
                <w:u w:val="none"/>
                <w:lang w:val="en-US" w:eastAsia="zh-CN"/>
              </w:rPr>
              <w:t>1、</w:t>
            </w:r>
            <w:r>
              <w:rPr>
                <w:rFonts w:hint="default" w:ascii="Times New Roman" w:hAnsi="Times New Roman" w:eastAsia="宋体" w:cs="Times New Roman"/>
                <w:color w:val="auto"/>
                <w:kern w:val="0"/>
                <w:sz w:val="24"/>
                <w:u w:val="none"/>
              </w:rPr>
              <w:t>原规划环评文件：《湖南东安经济开发区调区扩区规划环境影响报告书》审查机关：原湖南省环境保护厅审查文件及文号：湘环评〔2019〕7号</w:t>
            </w:r>
          </w:p>
          <w:p w14:paraId="688096CE">
            <w:pPr>
              <w:autoSpaceDE w:val="0"/>
              <w:autoSpaceDN w:val="0"/>
              <w:spacing w:line="520" w:lineRule="exact"/>
              <w:ind w:firstLine="480" w:firstLineChars="200"/>
              <w:rPr>
                <w:rFonts w:hint="default" w:ascii="Times New Roman" w:hAnsi="Times New Roman" w:cs="Times New Roman"/>
                <w:color w:val="auto"/>
                <w:sz w:val="24"/>
                <w:u w:val="none"/>
              </w:rPr>
            </w:pPr>
            <w:r>
              <w:rPr>
                <w:rFonts w:hint="default" w:ascii="Times New Roman" w:hAnsi="Times New Roman" w:eastAsia="宋体" w:cs="Times New Roman"/>
                <w:color w:val="auto"/>
                <w:kern w:val="0"/>
                <w:sz w:val="24"/>
                <w:u w:val="none"/>
                <w:lang w:val="en-US" w:eastAsia="zh-CN"/>
              </w:rPr>
              <w:t>2、</w:t>
            </w:r>
            <w:r>
              <w:rPr>
                <w:rFonts w:hint="default" w:ascii="Times New Roman" w:hAnsi="Times New Roman" w:eastAsia="宋体" w:cs="Times New Roman"/>
                <w:color w:val="auto"/>
                <w:kern w:val="0"/>
                <w:sz w:val="24"/>
                <w:u w:val="none"/>
              </w:rPr>
              <w:t>规划跟踪评价文件：《湖南东安经济开发区环境影响跟踪评价报告书》审查机关：湖南省生态环境厅审查文件及文号：湘环评函〔2025〕16号（2025年12月23日印发，为园区现行最新环境管控依据）</w:t>
            </w:r>
          </w:p>
        </w:tc>
      </w:tr>
      <w:tr w14:paraId="20B690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80" w:hRule="atLeast"/>
          <w:jc w:val="center"/>
        </w:trPr>
        <w:tc>
          <w:tcPr>
            <w:tcW w:w="736" w:type="pct"/>
            <w:vAlign w:val="center"/>
          </w:tcPr>
          <w:p w14:paraId="63309D72">
            <w:pPr>
              <w:autoSpaceDE w:val="0"/>
              <w:autoSpaceDN w:val="0"/>
              <w:adjustRightInd w:val="0"/>
              <w:snapToGrid w:val="0"/>
              <w:jc w:val="center"/>
              <w:rPr>
                <w:rFonts w:hint="default" w:ascii="Times New Roman" w:hAnsi="Times New Roman" w:cs="Times New Roman"/>
                <w:color w:val="auto"/>
                <w:kern w:val="0"/>
                <w:sz w:val="24"/>
                <w:u w:val="none"/>
              </w:rPr>
            </w:pPr>
            <w:r>
              <w:rPr>
                <w:rFonts w:hint="default" w:ascii="Times New Roman" w:hAnsi="Times New Roman" w:cs="Times New Roman"/>
                <w:color w:val="auto"/>
                <w:sz w:val="24"/>
                <w:u w:val="none"/>
              </w:rPr>
              <w:t>规划及规划环境影响评价符合性分析</w:t>
            </w:r>
          </w:p>
        </w:tc>
        <w:tc>
          <w:tcPr>
            <w:tcW w:w="4263" w:type="pct"/>
            <w:gridSpan w:val="3"/>
            <w:vAlign w:val="center"/>
          </w:tcPr>
          <w:p w14:paraId="555FB8B2">
            <w:pPr>
              <w:autoSpaceDE w:val="0"/>
              <w:autoSpaceDN w:val="0"/>
              <w:spacing w:line="520" w:lineRule="exact"/>
              <w:ind w:firstLine="480" w:firstLineChars="200"/>
              <w:rPr>
                <w:rFonts w:hint="default" w:ascii="Times New Roman" w:hAnsi="Times New Roman" w:eastAsia="宋体" w:cs="Times New Roman"/>
                <w:color w:val="auto"/>
                <w:kern w:val="0"/>
                <w:sz w:val="24"/>
                <w:u w:val="none"/>
                <w:lang w:val="en-US" w:eastAsia="zh-CN"/>
              </w:rPr>
            </w:pPr>
            <w:r>
              <w:rPr>
                <w:rFonts w:hint="default" w:ascii="Times New Roman" w:hAnsi="Times New Roman" w:eastAsia="宋体" w:cs="Times New Roman"/>
                <w:color w:val="auto"/>
                <w:kern w:val="0"/>
                <w:sz w:val="24"/>
                <w:u w:val="none"/>
                <w:lang w:val="en-US" w:eastAsia="zh-CN"/>
              </w:rPr>
              <w:t>1、本项目与湖南东安经济开发区用地规划符合性分析</w:t>
            </w:r>
          </w:p>
          <w:p w14:paraId="667C26F2">
            <w:pPr>
              <w:autoSpaceDE w:val="0"/>
              <w:autoSpaceDN w:val="0"/>
              <w:spacing w:line="520" w:lineRule="exact"/>
              <w:ind w:firstLine="480" w:firstLineChars="200"/>
              <w:rPr>
                <w:rFonts w:hint="default" w:ascii="Times New Roman" w:hAnsi="Times New Roman" w:eastAsia="宋体" w:cs="Times New Roman"/>
                <w:color w:val="auto"/>
                <w:kern w:val="0"/>
                <w:sz w:val="24"/>
                <w:u w:val="none"/>
                <w:lang w:val="en-US" w:eastAsia="zh-CN"/>
              </w:rPr>
            </w:pPr>
            <w:r>
              <w:rPr>
                <w:rFonts w:hint="default" w:ascii="Times New Roman" w:hAnsi="Times New Roman" w:eastAsia="宋体" w:cs="Times New Roman"/>
                <w:color w:val="auto"/>
                <w:kern w:val="0"/>
                <w:sz w:val="24"/>
                <w:u w:val="none"/>
                <w:lang w:val="en-US" w:eastAsia="zh-CN"/>
              </w:rPr>
              <w:t>本项目位于湖南省永州市东安县白牙市镇经开区，根据《东安经开区白牙市工业园控制性详细规划—土地利用规划》，本项目用地规划性质为工业用地，符合园区土地利用规划。</w:t>
            </w:r>
          </w:p>
          <w:p w14:paraId="03C06051">
            <w:pPr>
              <w:autoSpaceDE w:val="0"/>
              <w:autoSpaceDN w:val="0"/>
              <w:spacing w:line="520" w:lineRule="exact"/>
              <w:ind w:firstLine="480" w:firstLineChars="200"/>
              <w:rPr>
                <w:rFonts w:hint="default" w:ascii="Times New Roman" w:hAnsi="Times New Roman" w:eastAsia="宋体" w:cs="Times New Roman"/>
                <w:color w:val="auto"/>
                <w:kern w:val="0"/>
                <w:sz w:val="24"/>
                <w:u w:val="none"/>
                <w:lang w:val="en-US" w:eastAsia="zh-CN"/>
              </w:rPr>
            </w:pPr>
            <w:r>
              <w:rPr>
                <w:rFonts w:hint="default" w:ascii="Times New Roman" w:hAnsi="Times New Roman" w:eastAsia="宋体" w:cs="Times New Roman"/>
                <w:color w:val="auto"/>
                <w:kern w:val="0"/>
                <w:sz w:val="24"/>
                <w:u w:val="none"/>
                <w:lang w:val="en-US" w:eastAsia="zh-CN"/>
              </w:rPr>
              <w:t>2、园区概况、产业定位及准入相符性</w:t>
            </w:r>
          </w:p>
          <w:p w14:paraId="357B3AD2">
            <w:pPr>
              <w:autoSpaceDE w:val="0"/>
              <w:autoSpaceDN w:val="0"/>
              <w:spacing w:line="520" w:lineRule="exact"/>
              <w:ind w:firstLine="480" w:firstLineChars="200"/>
              <w:rPr>
                <w:rFonts w:hint="default" w:ascii="Times New Roman" w:hAnsi="Times New Roman" w:eastAsia="宋体" w:cs="Times New Roman"/>
                <w:color w:val="auto"/>
                <w:kern w:val="0"/>
                <w:sz w:val="24"/>
                <w:u w:val="none"/>
                <w:lang w:val="en-US" w:eastAsia="zh-CN"/>
              </w:rPr>
            </w:pPr>
            <w:r>
              <w:rPr>
                <w:rFonts w:hint="default" w:ascii="Times New Roman" w:hAnsi="Times New Roman" w:eastAsia="宋体" w:cs="Times New Roman"/>
                <w:color w:val="auto"/>
                <w:kern w:val="0"/>
                <w:sz w:val="24"/>
                <w:u w:val="none"/>
                <w:lang w:val="en-US" w:eastAsia="zh-CN"/>
              </w:rPr>
              <w:t>（1）园区概况</w:t>
            </w:r>
          </w:p>
          <w:p w14:paraId="7A3CC523">
            <w:pPr>
              <w:autoSpaceDE w:val="0"/>
              <w:autoSpaceDN w:val="0"/>
              <w:spacing w:line="520" w:lineRule="exact"/>
              <w:ind w:firstLine="480" w:firstLineChars="200"/>
              <w:rPr>
                <w:rFonts w:hint="default" w:ascii="Times New Roman" w:hAnsi="Times New Roman" w:eastAsia="宋体" w:cs="Times New Roman"/>
                <w:color w:val="auto"/>
                <w:kern w:val="0"/>
                <w:sz w:val="24"/>
                <w:u w:val="none"/>
                <w:lang w:val="en-US" w:eastAsia="zh-CN"/>
              </w:rPr>
            </w:pPr>
            <w:r>
              <w:rPr>
                <w:rFonts w:hint="default" w:ascii="Times New Roman" w:hAnsi="Times New Roman" w:eastAsia="宋体" w:cs="Times New Roman"/>
                <w:color w:val="auto"/>
                <w:kern w:val="0"/>
                <w:sz w:val="24"/>
                <w:u w:val="none"/>
                <w:lang w:val="en-US" w:eastAsia="zh-CN"/>
              </w:rPr>
              <w:t>湖南东安经济开发区为省级开发区，2006年更名，2019年省生态环境厅出具调区扩区规划环评审查意见（湘环评〔2019〕7号）；依据湘发改函〔2024〕9号，园区最新核定总面积292.02公顷，划分为芦洪3个片区、端桥铺1个片区、白牙片区（区块五，166.64公顷），本项目坐落于白牙片区（区块五）。2025年园区完成规划环境影响跟踪评价，湖南省生态环境厅出具《关于湖南东安经济开发区环境影响跟踪评价工作意见的函》（湘环评函〔2025〕16号），作为园区后续招商、项目审批最新环保管控要求。</w:t>
            </w:r>
          </w:p>
          <w:p w14:paraId="6638D772">
            <w:pPr>
              <w:autoSpaceDE w:val="0"/>
              <w:autoSpaceDN w:val="0"/>
              <w:spacing w:line="520" w:lineRule="exact"/>
              <w:ind w:firstLine="480" w:firstLineChars="200"/>
              <w:rPr>
                <w:rFonts w:hint="default" w:ascii="Times New Roman" w:hAnsi="Times New Roman" w:eastAsia="宋体" w:cs="Times New Roman"/>
                <w:color w:val="auto"/>
                <w:kern w:val="0"/>
                <w:sz w:val="24"/>
                <w:u w:val="none"/>
                <w:lang w:val="en-US" w:eastAsia="zh-CN"/>
              </w:rPr>
            </w:pPr>
            <w:r>
              <w:rPr>
                <w:rFonts w:hint="default" w:ascii="Times New Roman" w:hAnsi="Times New Roman" w:eastAsia="宋体" w:cs="Times New Roman"/>
                <w:color w:val="auto"/>
                <w:kern w:val="0"/>
                <w:sz w:val="24"/>
                <w:u w:val="none"/>
                <w:lang w:val="en-US" w:eastAsia="zh-CN"/>
              </w:rPr>
              <w:t>（2）产业定位与准入符合性</w:t>
            </w:r>
          </w:p>
          <w:p w14:paraId="2E67A031">
            <w:pPr>
              <w:autoSpaceDE w:val="0"/>
              <w:autoSpaceDN w:val="0"/>
              <w:spacing w:line="520" w:lineRule="exact"/>
              <w:ind w:firstLine="480" w:firstLineChars="200"/>
              <w:rPr>
                <w:rFonts w:hint="default" w:ascii="Times New Roman" w:hAnsi="Times New Roman" w:eastAsia="宋体" w:cs="Times New Roman"/>
                <w:color w:val="auto"/>
                <w:kern w:val="0"/>
                <w:sz w:val="24"/>
                <w:u w:val="none"/>
                <w:lang w:val="en-US" w:eastAsia="zh-CN"/>
              </w:rPr>
            </w:pPr>
            <w:r>
              <w:rPr>
                <w:rFonts w:hint="default" w:ascii="Times New Roman" w:hAnsi="Times New Roman" w:eastAsia="宋体" w:cs="Times New Roman"/>
                <w:color w:val="auto"/>
                <w:kern w:val="0"/>
                <w:sz w:val="24"/>
                <w:u w:val="none"/>
                <w:lang w:val="en-US" w:eastAsia="zh-CN"/>
              </w:rPr>
              <w:t>依据湘环评〔2019〕7号原规划环评批复，白牙片区主导产业为农副产品深加工、新材料及建材、电子信息产品制造；芦洪片区主导火电、建材、矿产品加工。结合湘环评函〔2025〕16号跟踪评价要求：园区严格落实产业准入正面/负面清单，优先引进低能耗、低污染、可循环、清洁生产水平高的企业，限制高能耗、高水耗、高污染项目。</w:t>
            </w:r>
          </w:p>
          <w:p w14:paraId="0820399A">
            <w:pPr>
              <w:autoSpaceDE w:val="0"/>
              <w:autoSpaceDN w:val="0"/>
              <w:spacing w:line="520" w:lineRule="exact"/>
              <w:ind w:firstLine="480" w:firstLineChars="200"/>
              <w:rPr>
                <w:rFonts w:hint="default" w:ascii="Times New Roman" w:hAnsi="Times New Roman" w:eastAsia="宋体" w:cs="Times New Roman"/>
                <w:color w:val="auto"/>
                <w:kern w:val="0"/>
                <w:sz w:val="24"/>
                <w:u w:val="none"/>
                <w:lang w:val="en-US" w:eastAsia="zh-CN"/>
              </w:rPr>
            </w:pPr>
            <w:r>
              <w:rPr>
                <w:rFonts w:hint="default" w:ascii="Times New Roman" w:hAnsi="Times New Roman" w:eastAsia="宋体" w:cs="Times New Roman"/>
                <w:color w:val="auto"/>
                <w:kern w:val="0"/>
                <w:sz w:val="24"/>
                <w:u w:val="none"/>
                <w:lang w:val="en-US" w:eastAsia="zh-CN"/>
              </w:rPr>
              <w:t>本项目采用SBS、SEBS热塑性弹性体注塑生产球类、拉力件制品，无硫化工序，国民经济行业类别统一为C2929塑料零件及其他塑料制品制造，不属于国家淘汰、限制类产业，不属于高污染、高能耗、涉重金属、大规模喷涂类项目，符合白牙片区产业准入要求，准许入园。</w:t>
            </w:r>
          </w:p>
          <w:p w14:paraId="167D39B6">
            <w:pPr>
              <w:autoSpaceDE w:val="0"/>
              <w:autoSpaceDN w:val="0"/>
              <w:spacing w:line="520" w:lineRule="exact"/>
              <w:ind w:firstLine="480" w:firstLineChars="200"/>
              <w:rPr>
                <w:rFonts w:hint="default" w:ascii="Times New Roman" w:hAnsi="Times New Roman" w:eastAsia="宋体" w:cs="Times New Roman"/>
                <w:color w:val="auto"/>
                <w:kern w:val="0"/>
                <w:sz w:val="24"/>
                <w:u w:val="none"/>
                <w:lang w:val="en-US" w:eastAsia="zh-CN"/>
              </w:rPr>
            </w:pPr>
            <w:r>
              <w:rPr>
                <w:rFonts w:hint="default" w:ascii="Times New Roman" w:hAnsi="Times New Roman" w:eastAsia="宋体" w:cs="Times New Roman"/>
                <w:color w:val="auto"/>
                <w:kern w:val="0"/>
                <w:sz w:val="24"/>
                <w:u w:val="none"/>
                <w:lang w:val="en-US" w:eastAsia="zh-CN"/>
              </w:rPr>
              <w:t>3、项目与两份园区环保文件符合性分析</w:t>
            </w:r>
          </w:p>
          <w:p w14:paraId="7ACDD1DB">
            <w:pPr>
              <w:autoSpaceDE w:val="0"/>
              <w:autoSpaceDN w:val="0"/>
              <w:spacing w:line="520" w:lineRule="exact"/>
              <w:ind w:firstLine="480" w:firstLineChars="200"/>
              <w:rPr>
                <w:rFonts w:hint="default" w:ascii="Times New Roman" w:hAnsi="Times New Roman" w:eastAsia="宋体" w:cs="Times New Roman"/>
                <w:color w:val="auto"/>
                <w:kern w:val="0"/>
                <w:sz w:val="24"/>
                <w:u w:val="none"/>
                <w:lang w:val="en-US" w:eastAsia="zh-CN"/>
              </w:rPr>
            </w:pPr>
            <w:r>
              <w:rPr>
                <w:rFonts w:hint="default" w:ascii="Times New Roman" w:hAnsi="Times New Roman" w:eastAsia="宋体" w:cs="Times New Roman"/>
                <w:color w:val="auto"/>
                <w:kern w:val="0"/>
                <w:sz w:val="24"/>
                <w:u w:val="none"/>
                <w:lang w:val="en-US" w:eastAsia="zh-CN"/>
              </w:rPr>
              <w:t>（1）与湘环评〔2019〕7号（调区扩区规划环评批复）符合性</w:t>
            </w:r>
          </w:p>
          <w:p w14:paraId="1FEBE0B4">
            <w:pPr>
              <w:pStyle w:val="48"/>
              <w:jc w:val="center"/>
              <w:rPr>
                <w:rFonts w:hint="default" w:ascii="Times New Roman" w:hAnsi="Times New Roman" w:eastAsia="宋体" w:cs="Times New Roman"/>
                <w:b/>
                <w:bCs/>
                <w:color w:val="auto"/>
                <w:sz w:val="21"/>
                <w:szCs w:val="21"/>
                <w:u w:val="none"/>
                <w:lang w:val="en-GB"/>
              </w:rPr>
            </w:pPr>
            <w:r>
              <w:rPr>
                <w:rFonts w:hint="default" w:ascii="Times New Roman" w:hAnsi="Times New Roman" w:eastAsia="宋体" w:cs="Times New Roman"/>
                <w:b/>
                <w:bCs/>
                <w:color w:val="auto"/>
                <w:sz w:val="21"/>
                <w:szCs w:val="21"/>
                <w:u w:val="none"/>
                <w:lang w:val="en-GB" w:eastAsia="zh-CN"/>
              </w:rPr>
              <w:t>表1-2 项目与湘环评〔2019〕7号规划环评批复符合性一览表</w:t>
            </w:r>
          </w:p>
          <w:tbl>
            <w:tblPr>
              <w:tblStyle w:val="38"/>
              <w:tblW w:w="7198" w:type="dxa"/>
              <w:tblInd w:w="-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47"/>
              <w:gridCol w:w="2651"/>
              <w:gridCol w:w="2372"/>
              <w:gridCol w:w="1228"/>
            </w:tblGrid>
            <w:tr w14:paraId="74F23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947" w:type="dxa"/>
                  <w:tcBorders>
                    <w:tl2br w:val="nil"/>
                    <w:tr2bl w:val="nil"/>
                  </w:tcBorders>
                  <w:shd w:val="clear" w:color="auto" w:fill="auto"/>
                  <w:noWrap/>
                  <w:vAlign w:val="center"/>
                </w:tcPr>
                <w:p w14:paraId="365612F8">
                  <w:pPr>
                    <w:autoSpaceDE w:val="0"/>
                    <w:autoSpaceDN w:val="0"/>
                    <w:spacing w:line="240" w:lineRule="exact"/>
                    <w:jc w:val="center"/>
                    <w:rPr>
                      <w:rFonts w:hint="default" w:ascii="Times New Roman" w:hAnsi="Times New Roman" w:eastAsia="宋体" w:cs="Times New Roman"/>
                      <w:color w:val="auto"/>
                      <w:kern w:val="0"/>
                      <w:szCs w:val="21"/>
                      <w:u w:val="none"/>
                      <w:lang w:val="en-US" w:eastAsia="zh-CN"/>
                    </w:rPr>
                  </w:pPr>
                  <w:r>
                    <w:rPr>
                      <w:rFonts w:hint="default" w:ascii="Times New Roman" w:hAnsi="Times New Roman" w:eastAsia="宋体" w:cs="Times New Roman"/>
                      <w:color w:val="auto"/>
                      <w:kern w:val="0"/>
                      <w:szCs w:val="21"/>
                      <w:u w:val="none"/>
                      <w:lang w:val="en-US" w:eastAsia="zh-CN"/>
                    </w:rPr>
                    <w:t>序号</w:t>
                  </w:r>
                </w:p>
              </w:tc>
              <w:tc>
                <w:tcPr>
                  <w:tcW w:w="2651" w:type="dxa"/>
                  <w:tcBorders>
                    <w:tl2br w:val="nil"/>
                    <w:tr2bl w:val="nil"/>
                  </w:tcBorders>
                  <w:shd w:val="clear" w:color="auto" w:fill="auto"/>
                  <w:noWrap/>
                  <w:vAlign w:val="center"/>
                </w:tcPr>
                <w:p w14:paraId="611B7DD2">
                  <w:pPr>
                    <w:autoSpaceDE w:val="0"/>
                    <w:autoSpaceDN w:val="0"/>
                    <w:spacing w:line="240" w:lineRule="exact"/>
                    <w:jc w:val="center"/>
                    <w:rPr>
                      <w:rFonts w:hint="default" w:ascii="Times New Roman" w:hAnsi="Times New Roman" w:eastAsia="宋体" w:cs="Times New Roman"/>
                      <w:color w:val="auto"/>
                      <w:kern w:val="0"/>
                      <w:szCs w:val="21"/>
                      <w:u w:val="none"/>
                      <w:lang w:val="en-US" w:eastAsia="zh-CN"/>
                    </w:rPr>
                  </w:pPr>
                  <w:r>
                    <w:rPr>
                      <w:rFonts w:hint="default" w:ascii="Times New Roman" w:hAnsi="Times New Roman" w:eastAsia="宋体" w:cs="Times New Roman"/>
                      <w:color w:val="auto"/>
                      <w:kern w:val="0"/>
                      <w:szCs w:val="21"/>
                      <w:u w:val="none"/>
                      <w:lang w:val="en-US" w:eastAsia="zh-CN"/>
                    </w:rPr>
                    <w:t>规划和规划环评批复要求</w:t>
                  </w:r>
                </w:p>
              </w:tc>
              <w:tc>
                <w:tcPr>
                  <w:tcW w:w="2372" w:type="dxa"/>
                  <w:tcBorders>
                    <w:tl2br w:val="nil"/>
                    <w:tr2bl w:val="nil"/>
                  </w:tcBorders>
                  <w:shd w:val="clear" w:color="auto" w:fill="auto"/>
                  <w:noWrap/>
                  <w:vAlign w:val="center"/>
                </w:tcPr>
                <w:p w14:paraId="56335579">
                  <w:pPr>
                    <w:autoSpaceDE w:val="0"/>
                    <w:autoSpaceDN w:val="0"/>
                    <w:spacing w:line="240" w:lineRule="exact"/>
                    <w:jc w:val="center"/>
                    <w:rPr>
                      <w:rFonts w:hint="default" w:ascii="Times New Roman" w:hAnsi="Times New Roman" w:eastAsia="宋体" w:cs="Times New Roman"/>
                      <w:color w:val="auto"/>
                      <w:kern w:val="0"/>
                      <w:szCs w:val="21"/>
                      <w:u w:val="none"/>
                      <w:lang w:val="en-US" w:eastAsia="zh-CN"/>
                    </w:rPr>
                  </w:pPr>
                  <w:r>
                    <w:rPr>
                      <w:rFonts w:hint="default" w:ascii="Times New Roman" w:hAnsi="Times New Roman" w:eastAsia="宋体" w:cs="Times New Roman"/>
                      <w:color w:val="auto"/>
                      <w:kern w:val="0"/>
                      <w:szCs w:val="21"/>
                      <w:u w:val="none"/>
                      <w:lang w:val="en-US" w:eastAsia="zh-CN"/>
                    </w:rPr>
                    <w:t>项目具体情况</w:t>
                  </w:r>
                </w:p>
              </w:tc>
              <w:tc>
                <w:tcPr>
                  <w:tcW w:w="1228" w:type="dxa"/>
                  <w:tcBorders>
                    <w:tl2br w:val="nil"/>
                    <w:tr2bl w:val="nil"/>
                  </w:tcBorders>
                  <w:shd w:val="clear" w:color="auto" w:fill="auto"/>
                  <w:noWrap/>
                  <w:vAlign w:val="center"/>
                </w:tcPr>
                <w:p w14:paraId="7130807F">
                  <w:pPr>
                    <w:autoSpaceDE w:val="0"/>
                    <w:autoSpaceDN w:val="0"/>
                    <w:spacing w:line="240" w:lineRule="exact"/>
                    <w:jc w:val="center"/>
                    <w:rPr>
                      <w:rFonts w:hint="default" w:ascii="Times New Roman" w:hAnsi="Times New Roman" w:eastAsia="宋体" w:cs="Times New Roman"/>
                      <w:color w:val="auto"/>
                      <w:kern w:val="0"/>
                      <w:szCs w:val="21"/>
                      <w:u w:val="none"/>
                      <w:lang w:val="en-US" w:eastAsia="zh-CN"/>
                    </w:rPr>
                  </w:pPr>
                  <w:r>
                    <w:rPr>
                      <w:rFonts w:hint="default" w:ascii="Times New Roman" w:hAnsi="Times New Roman" w:eastAsia="宋体" w:cs="Times New Roman"/>
                      <w:color w:val="auto"/>
                      <w:kern w:val="0"/>
                      <w:szCs w:val="21"/>
                      <w:u w:val="none"/>
                      <w:lang w:val="en-US" w:eastAsia="zh-CN"/>
                    </w:rPr>
                    <w:t>符合性结论</w:t>
                  </w:r>
                </w:p>
              </w:tc>
            </w:tr>
            <w:tr w14:paraId="554CE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947" w:type="dxa"/>
                  <w:tcBorders>
                    <w:tl2br w:val="nil"/>
                    <w:tr2bl w:val="nil"/>
                  </w:tcBorders>
                  <w:shd w:val="clear" w:color="auto" w:fill="auto"/>
                  <w:noWrap/>
                  <w:vAlign w:val="center"/>
                </w:tcPr>
                <w:p w14:paraId="4906B574">
                  <w:pPr>
                    <w:autoSpaceDE w:val="0"/>
                    <w:autoSpaceDN w:val="0"/>
                    <w:spacing w:line="240" w:lineRule="exact"/>
                    <w:jc w:val="center"/>
                    <w:rPr>
                      <w:rFonts w:hint="default" w:ascii="Times New Roman" w:hAnsi="Times New Roman" w:eastAsia="宋体" w:cs="Times New Roman"/>
                      <w:color w:val="auto"/>
                      <w:kern w:val="0"/>
                      <w:szCs w:val="21"/>
                      <w:u w:val="none"/>
                      <w:lang w:val="en-US" w:eastAsia="zh-CN"/>
                    </w:rPr>
                  </w:pPr>
                  <w:r>
                    <w:rPr>
                      <w:rFonts w:hint="default" w:ascii="Times New Roman" w:hAnsi="Times New Roman" w:eastAsia="宋体" w:cs="Times New Roman"/>
                      <w:color w:val="auto"/>
                      <w:kern w:val="0"/>
                      <w:szCs w:val="21"/>
                      <w:u w:val="none"/>
                      <w:lang w:val="en-US" w:eastAsia="zh-CN"/>
                    </w:rPr>
                    <w:t>1</w:t>
                  </w:r>
                </w:p>
              </w:tc>
              <w:tc>
                <w:tcPr>
                  <w:tcW w:w="2651" w:type="dxa"/>
                  <w:tcBorders>
                    <w:tl2br w:val="nil"/>
                    <w:tr2bl w:val="nil"/>
                  </w:tcBorders>
                  <w:shd w:val="clear" w:color="auto" w:fill="auto"/>
                  <w:noWrap/>
                  <w:vAlign w:val="center"/>
                </w:tcPr>
                <w:p w14:paraId="5499DC20">
                  <w:pPr>
                    <w:autoSpaceDE w:val="0"/>
                    <w:autoSpaceDN w:val="0"/>
                    <w:spacing w:line="240" w:lineRule="exact"/>
                    <w:jc w:val="center"/>
                    <w:rPr>
                      <w:rFonts w:hint="default" w:ascii="Times New Roman" w:hAnsi="Times New Roman" w:eastAsia="宋体" w:cs="Times New Roman"/>
                      <w:color w:val="auto"/>
                      <w:kern w:val="0"/>
                      <w:szCs w:val="21"/>
                      <w:u w:val="none"/>
                      <w:lang w:val="en-US" w:eastAsia="zh-CN"/>
                    </w:rPr>
                  </w:pPr>
                  <w:r>
                    <w:rPr>
                      <w:rFonts w:hint="default" w:ascii="Times New Roman" w:hAnsi="Times New Roman" w:eastAsia="宋体" w:cs="Times New Roman"/>
                      <w:color w:val="auto"/>
                      <w:kern w:val="0"/>
                      <w:szCs w:val="21"/>
                      <w:u w:val="none"/>
                      <w:lang w:val="en-US" w:eastAsia="zh-CN"/>
                    </w:rPr>
                    <w:t>白牙片区位于县城常年主导风向上风向，限制引进气型污染重企业，现有重污染企业制定搬迁退出计划</w:t>
                  </w:r>
                </w:p>
              </w:tc>
              <w:tc>
                <w:tcPr>
                  <w:tcW w:w="2372" w:type="dxa"/>
                  <w:tcBorders>
                    <w:tl2br w:val="nil"/>
                    <w:tr2bl w:val="nil"/>
                  </w:tcBorders>
                  <w:shd w:val="clear" w:color="auto" w:fill="auto"/>
                  <w:noWrap/>
                  <w:vAlign w:val="center"/>
                </w:tcPr>
                <w:p w14:paraId="5424D742">
                  <w:pPr>
                    <w:autoSpaceDE w:val="0"/>
                    <w:autoSpaceDN w:val="0"/>
                    <w:spacing w:line="240" w:lineRule="exact"/>
                    <w:jc w:val="center"/>
                    <w:rPr>
                      <w:rFonts w:hint="default" w:ascii="Times New Roman" w:hAnsi="Times New Roman" w:eastAsia="宋体" w:cs="Times New Roman"/>
                      <w:color w:val="auto"/>
                      <w:kern w:val="0"/>
                      <w:szCs w:val="21"/>
                      <w:u w:val="none"/>
                      <w:lang w:val="en-US" w:eastAsia="zh-CN"/>
                    </w:rPr>
                  </w:pPr>
                  <w:r>
                    <w:rPr>
                      <w:rFonts w:hint="default" w:ascii="Times New Roman" w:hAnsi="Times New Roman" w:eastAsia="宋体" w:cs="Times New Roman"/>
                      <w:color w:val="auto"/>
                      <w:kern w:val="0"/>
                      <w:szCs w:val="21"/>
                      <w:u w:val="none"/>
                      <w:lang w:val="en-US" w:eastAsia="zh-CN"/>
                    </w:rPr>
                    <w:t>本项目为热塑性弹性体注塑加工，仅产生少量注塑VOC废气，无重金属、恶臭重污染工序，不属于气型污染重企业</w:t>
                  </w:r>
                </w:p>
              </w:tc>
              <w:tc>
                <w:tcPr>
                  <w:tcW w:w="1228" w:type="dxa"/>
                  <w:tcBorders>
                    <w:tl2br w:val="nil"/>
                    <w:tr2bl w:val="nil"/>
                  </w:tcBorders>
                  <w:shd w:val="clear" w:color="auto" w:fill="auto"/>
                  <w:noWrap/>
                  <w:vAlign w:val="center"/>
                </w:tcPr>
                <w:p w14:paraId="02DA3421">
                  <w:pPr>
                    <w:autoSpaceDE w:val="0"/>
                    <w:autoSpaceDN w:val="0"/>
                    <w:spacing w:line="240" w:lineRule="exact"/>
                    <w:jc w:val="center"/>
                    <w:rPr>
                      <w:rFonts w:hint="default" w:ascii="Times New Roman" w:hAnsi="Times New Roman" w:eastAsia="宋体" w:cs="Times New Roman"/>
                      <w:color w:val="auto"/>
                      <w:kern w:val="0"/>
                      <w:szCs w:val="21"/>
                      <w:u w:val="none"/>
                      <w:lang w:val="en-US" w:eastAsia="zh-CN"/>
                    </w:rPr>
                  </w:pPr>
                  <w:r>
                    <w:rPr>
                      <w:rFonts w:hint="default" w:ascii="Times New Roman" w:hAnsi="Times New Roman" w:eastAsia="宋体" w:cs="Times New Roman"/>
                      <w:color w:val="auto"/>
                      <w:kern w:val="0"/>
                      <w:szCs w:val="21"/>
                      <w:u w:val="none"/>
                      <w:lang w:val="en-US" w:eastAsia="zh-CN"/>
                    </w:rPr>
                    <w:t>符合</w:t>
                  </w:r>
                </w:p>
              </w:tc>
            </w:tr>
            <w:tr w14:paraId="23F33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47" w:type="dxa"/>
                  <w:tcBorders>
                    <w:tl2br w:val="nil"/>
                    <w:tr2bl w:val="nil"/>
                  </w:tcBorders>
                  <w:shd w:val="clear" w:color="auto" w:fill="auto"/>
                  <w:noWrap/>
                  <w:vAlign w:val="center"/>
                </w:tcPr>
                <w:p w14:paraId="680D2CC1">
                  <w:pPr>
                    <w:autoSpaceDE w:val="0"/>
                    <w:autoSpaceDN w:val="0"/>
                    <w:spacing w:line="240" w:lineRule="exact"/>
                    <w:jc w:val="center"/>
                    <w:rPr>
                      <w:rFonts w:hint="default" w:ascii="Times New Roman" w:hAnsi="Times New Roman" w:eastAsia="宋体" w:cs="Times New Roman"/>
                      <w:color w:val="auto"/>
                      <w:kern w:val="0"/>
                      <w:szCs w:val="21"/>
                      <w:u w:val="none"/>
                      <w:lang w:val="en-US" w:eastAsia="zh-CN"/>
                    </w:rPr>
                  </w:pPr>
                  <w:r>
                    <w:rPr>
                      <w:rFonts w:hint="default" w:ascii="Times New Roman" w:hAnsi="Times New Roman" w:eastAsia="宋体" w:cs="Times New Roman"/>
                      <w:color w:val="auto"/>
                      <w:kern w:val="0"/>
                      <w:szCs w:val="21"/>
                      <w:u w:val="none"/>
                      <w:lang w:val="en-US" w:eastAsia="zh-CN"/>
                    </w:rPr>
                    <w:t>2</w:t>
                  </w:r>
                </w:p>
              </w:tc>
              <w:tc>
                <w:tcPr>
                  <w:tcW w:w="2651" w:type="dxa"/>
                  <w:tcBorders>
                    <w:tl2br w:val="nil"/>
                    <w:tr2bl w:val="nil"/>
                  </w:tcBorders>
                  <w:shd w:val="clear" w:color="auto" w:fill="auto"/>
                  <w:noWrap/>
                  <w:vAlign w:val="center"/>
                </w:tcPr>
                <w:p w14:paraId="3CB9862E">
                  <w:pPr>
                    <w:autoSpaceDE w:val="0"/>
                    <w:autoSpaceDN w:val="0"/>
                    <w:spacing w:line="240" w:lineRule="exact"/>
                    <w:jc w:val="center"/>
                    <w:rPr>
                      <w:rFonts w:hint="default" w:ascii="Times New Roman" w:hAnsi="Times New Roman" w:eastAsia="宋体" w:cs="Times New Roman"/>
                      <w:color w:val="auto"/>
                      <w:kern w:val="0"/>
                      <w:szCs w:val="21"/>
                      <w:u w:val="none"/>
                      <w:lang w:val="en-US" w:eastAsia="zh-CN"/>
                    </w:rPr>
                  </w:pPr>
                  <w:r>
                    <w:rPr>
                      <w:rFonts w:hint="default" w:ascii="Times New Roman" w:hAnsi="Times New Roman" w:eastAsia="宋体" w:cs="Times New Roman"/>
                      <w:color w:val="auto"/>
                      <w:kern w:val="0"/>
                      <w:szCs w:val="21"/>
                      <w:u w:val="none"/>
                      <w:lang w:val="en-US" w:eastAsia="zh-CN"/>
                    </w:rPr>
                    <w:t>严禁引进高能耗、高物耗、重污染项目，落实环评及环保“三同时”制度</w:t>
                  </w:r>
                </w:p>
              </w:tc>
              <w:tc>
                <w:tcPr>
                  <w:tcW w:w="2372" w:type="dxa"/>
                  <w:tcBorders>
                    <w:tl2br w:val="nil"/>
                    <w:tr2bl w:val="nil"/>
                  </w:tcBorders>
                  <w:shd w:val="clear" w:color="auto" w:fill="auto"/>
                  <w:noWrap/>
                  <w:vAlign w:val="center"/>
                </w:tcPr>
                <w:p w14:paraId="14437AB7">
                  <w:pPr>
                    <w:autoSpaceDE w:val="0"/>
                    <w:autoSpaceDN w:val="0"/>
                    <w:spacing w:line="240" w:lineRule="exact"/>
                    <w:jc w:val="center"/>
                    <w:rPr>
                      <w:rFonts w:hint="default" w:ascii="Times New Roman" w:hAnsi="Times New Roman" w:eastAsia="宋体" w:cs="Times New Roman"/>
                      <w:color w:val="auto"/>
                      <w:kern w:val="0"/>
                      <w:szCs w:val="21"/>
                      <w:u w:val="none"/>
                      <w:lang w:val="en-US" w:eastAsia="zh-CN"/>
                    </w:rPr>
                  </w:pPr>
                  <w:r>
                    <w:rPr>
                      <w:rFonts w:hint="default" w:ascii="Times New Roman" w:hAnsi="Times New Roman" w:eastAsia="宋体" w:cs="Times New Roman"/>
                      <w:color w:val="auto"/>
                      <w:kern w:val="0"/>
                      <w:szCs w:val="21"/>
                      <w:u w:val="none"/>
                      <w:lang w:val="en-US" w:eastAsia="zh-CN"/>
                    </w:rPr>
                    <w:t>项目全部使用电能清洁能源，能耗低；严格执行环评审批、配套建设污染治理设施，落实三同时要求</w:t>
                  </w:r>
                </w:p>
              </w:tc>
              <w:tc>
                <w:tcPr>
                  <w:tcW w:w="1228" w:type="dxa"/>
                  <w:tcBorders>
                    <w:tl2br w:val="nil"/>
                    <w:tr2bl w:val="nil"/>
                  </w:tcBorders>
                  <w:shd w:val="clear" w:color="auto" w:fill="auto"/>
                  <w:noWrap/>
                  <w:vAlign w:val="center"/>
                </w:tcPr>
                <w:p w14:paraId="7397B7EE">
                  <w:pPr>
                    <w:autoSpaceDE w:val="0"/>
                    <w:autoSpaceDN w:val="0"/>
                    <w:spacing w:line="240" w:lineRule="exact"/>
                    <w:jc w:val="center"/>
                    <w:rPr>
                      <w:rFonts w:hint="default" w:ascii="Times New Roman" w:hAnsi="Times New Roman" w:eastAsia="宋体" w:cs="Times New Roman"/>
                      <w:color w:val="auto"/>
                      <w:kern w:val="0"/>
                      <w:szCs w:val="21"/>
                      <w:u w:val="none"/>
                      <w:lang w:val="en-US" w:eastAsia="zh-CN"/>
                    </w:rPr>
                  </w:pPr>
                  <w:r>
                    <w:rPr>
                      <w:rFonts w:hint="default" w:ascii="Times New Roman" w:hAnsi="Times New Roman" w:eastAsia="宋体" w:cs="Times New Roman"/>
                      <w:color w:val="auto"/>
                      <w:kern w:val="0"/>
                      <w:szCs w:val="21"/>
                      <w:u w:val="none"/>
                      <w:lang w:val="en-US" w:eastAsia="zh-CN"/>
                    </w:rPr>
                    <w:t>符合</w:t>
                  </w:r>
                </w:p>
              </w:tc>
            </w:tr>
            <w:tr w14:paraId="12680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47" w:type="dxa"/>
                  <w:tcBorders>
                    <w:tl2br w:val="nil"/>
                    <w:tr2bl w:val="nil"/>
                  </w:tcBorders>
                  <w:shd w:val="clear" w:color="auto" w:fill="auto"/>
                  <w:noWrap/>
                  <w:vAlign w:val="center"/>
                </w:tcPr>
                <w:p w14:paraId="70D2E9C7">
                  <w:pPr>
                    <w:autoSpaceDE w:val="0"/>
                    <w:autoSpaceDN w:val="0"/>
                    <w:spacing w:line="240" w:lineRule="exact"/>
                    <w:jc w:val="center"/>
                    <w:rPr>
                      <w:rFonts w:hint="default" w:ascii="Times New Roman" w:hAnsi="Times New Roman" w:eastAsia="宋体" w:cs="Times New Roman"/>
                      <w:color w:val="auto"/>
                      <w:kern w:val="0"/>
                      <w:szCs w:val="21"/>
                      <w:u w:val="none"/>
                      <w:lang w:val="en-US" w:eastAsia="zh-CN"/>
                    </w:rPr>
                  </w:pPr>
                  <w:r>
                    <w:rPr>
                      <w:rFonts w:hint="default" w:ascii="Times New Roman" w:hAnsi="Times New Roman" w:eastAsia="宋体" w:cs="Times New Roman"/>
                      <w:color w:val="auto"/>
                      <w:kern w:val="0"/>
                      <w:szCs w:val="21"/>
                      <w:u w:val="none"/>
                      <w:lang w:val="en-US" w:eastAsia="zh-CN"/>
                    </w:rPr>
                    <w:t>3</w:t>
                  </w:r>
                </w:p>
              </w:tc>
              <w:tc>
                <w:tcPr>
                  <w:tcW w:w="2651" w:type="dxa"/>
                  <w:tcBorders>
                    <w:tl2br w:val="nil"/>
                    <w:tr2bl w:val="nil"/>
                  </w:tcBorders>
                  <w:shd w:val="clear" w:color="auto" w:fill="auto"/>
                  <w:noWrap/>
                  <w:vAlign w:val="center"/>
                </w:tcPr>
                <w:p w14:paraId="6AED272A">
                  <w:pPr>
                    <w:autoSpaceDE w:val="0"/>
                    <w:autoSpaceDN w:val="0"/>
                    <w:spacing w:line="240" w:lineRule="exact"/>
                    <w:jc w:val="center"/>
                    <w:rPr>
                      <w:rFonts w:hint="default" w:ascii="Times New Roman" w:hAnsi="Times New Roman" w:eastAsia="宋体" w:cs="Times New Roman"/>
                      <w:color w:val="auto"/>
                      <w:kern w:val="0"/>
                      <w:szCs w:val="21"/>
                      <w:u w:val="none"/>
                      <w:lang w:val="en-US" w:eastAsia="zh-CN"/>
                    </w:rPr>
                  </w:pPr>
                  <w:r>
                    <w:rPr>
                      <w:rFonts w:hint="default" w:ascii="Times New Roman" w:hAnsi="Times New Roman" w:eastAsia="宋体" w:cs="Times New Roman"/>
                      <w:color w:val="auto"/>
                      <w:kern w:val="0"/>
                      <w:szCs w:val="21"/>
                      <w:u w:val="none"/>
                      <w:lang w:val="en-US" w:eastAsia="zh-CN"/>
                    </w:rPr>
                    <w:t>白牙片区雨污分流，生产、生活废水预处理达三级标准接入园区污水处理厂，尾水执行一级A</w:t>
                  </w:r>
                </w:p>
              </w:tc>
              <w:tc>
                <w:tcPr>
                  <w:tcW w:w="2372" w:type="dxa"/>
                  <w:tcBorders>
                    <w:tl2br w:val="nil"/>
                    <w:tr2bl w:val="nil"/>
                  </w:tcBorders>
                  <w:shd w:val="clear" w:color="auto" w:fill="auto"/>
                  <w:noWrap/>
                  <w:vAlign w:val="center"/>
                </w:tcPr>
                <w:p w14:paraId="78664855">
                  <w:pPr>
                    <w:autoSpaceDE w:val="0"/>
                    <w:autoSpaceDN w:val="0"/>
                    <w:spacing w:line="240" w:lineRule="exact"/>
                    <w:jc w:val="center"/>
                    <w:rPr>
                      <w:rFonts w:hint="default" w:ascii="Times New Roman" w:hAnsi="Times New Roman" w:eastAsia="宋体" w:cs="Times New Roman"/>
                      <w:color w:val="auto"/>
                      <w:kern w:val="0"/>
                      <w:szCs w:val="21"/>
                      <w:u w:val="none"/>
                      <w:lang w:val="en-US" w:eastAsia="zh-CN"/>
                    </w:rPr>
                  </w:pPr>
                  <w:r>
                    <w:rPr>
                      <w:rFonts w:hint="default" w:ascii="Times New Roman" w:hAnsi="Times New Roman" w:cs="Times New Roman"/>
                      <w:bCs/>
                      <w:color w:val="auto"/>
                      <w:u w:val="none"/>
                    </w:rPr>
                    <w:t>本项目无生产废水排放</w:t>
                  </w:r>
                  <w:r>
                    <w:rPr>
                      <w:rFonts w:hint="default" w:cs="Times New Roman"/>
                      <w:color w:val="auto"/>
                      <w:kern w:val="0"/>
                      <w:szCs w:val="21"/>
                      <w:u w:val="none"/>
                      <w:lang w:val="en-US" w:eastAsia="zh-CN"/>
                    </w:rPr>
                    <w:t>；</w:t>
                  </w:r>
                  <w:r>
                    <w:rPr>
                      <w:rFonts w:hint="default" w:ascii="Times New Roman" w:hAnsi="Times New Roman" w:eastAsia="宋体" w:cs="Times New Roman"/>
                      <w:color w:val="auto"/>
                      <w:kern w:val="0"/>
                      <w:szCs w:val="21"/>
                      <w:u w:val="none"/>
                      <w:lang w:val="en-US" w:eastAsia="zh-CN"/>
                    </w:rPr>
                    <w:t>生活废水经预处理达GB8978-1996三级标准，接入东安经开区工业污水处理厂集中处理</w:t>
                  </w:r>
                </w:p>
              </w:tc>
              <w:tc>
                <w:tcPr>
                  <w:tcW w:w="1228" w:type="dxa"/>
                  <w:tcBorders>
                    <w:tl2br w:val="nil"/>
                    <w:tr2bl w:val="nil"/>
                  </w:tcBorders>
                  <w:shd w:val="clear" w:color="auto" w:fill="auto"/>
                  <w:noWrap/>
                  <w:vAlign w:val="center"/>
                </w:tcPr>
                <w:p w14:paraId="7EB67702">
                  <w:pPr>
                    <w:autoSpaceDE w:val="0"/>
                    <w:autoSpaceDN w:val="0"/>
                    <w:spacing w:line="240" w:lineRule="exact"/>
                    <w:jc w:val="center"/>
                    <w:rPr>
                      <w:rFonts w:hint="default" w:ascii="Times New Roman" w:hAnsi="Times New Roman" w:eastAsia="宋体" w:cs="Times New Roman"/>
                      <w:color w:val="auto"/>
                      <w:kern w:val="0"/>
                      <w:szCs w:val="21"/>
                      <w:u w:val="none"/>
                      <w:lang w:val="en-US" w:eastAsia="zh-CN"/>
                    </w:rPr>
                  </w:pPr>
                  <w:r>
                    <w:rPr>
                      <w:rFonts w:hint="default" w:ascii="Times New Roman" w:hAnsi="Times New Roman" w:eastAsia="宋体" w:cs="Times New Roman"/>
                      <w:color w:val="auto"/>
                      <w:kern w:val="0"/>
                      <w:szCs w:val="21"/>
                      <w:u w:val="none"/>
                      <w:lang w:val="en-US" w:eastAsia="zh-CN"/>
                    </w:rPr>
                    <w:t>符合</w:t>
                  </w:r>
                </w:p>
              </w:tc>
            </w:tr>
            <w:tr w14:paraId="057C0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947" w:type="dxa"/>
                  <w:tcBorders>
                    <w:tl2br w:val="nil"/>
                    <w:tr2bl w:val="nil"/>
                  </w:tcBorders>
                  <w:shd w:val="clear" w:color="auto" w:fill="auto"/>
                  <w:noWrap/>
                  <w:vAlign w:val="center"/>
                </w:tcPr>
                <w:p w14:paraId="3497254C">
                  <w:pPr>
                    <w:autoSpaceDE w:val="0"/>
                    <w:autoSpaceDN w:val="0"/>
                    <w:spacing w:line="240" w:lineRule="exact"/>
                    <w:jc w:val="center"/>
                    <w:rPr>
                      <w:rFonts w:hint="default" w:ascii="Times New Roman" w:hAnsi="Times New Roman" w:eastAsia="宋体" w:cs="Times New Roman"/>
                      <w:color w:val="auto"/>
                      <w:kern w:val="0"/>
                      <w:szCs w:val="21"/>
                      <w:u w:val="none"/>
                      <w:lang w:val="en-US" w:eastAsia="zh-CN"/>
                    </w:rPr>
                  </w:pPr>
                  <w:r>
                    <w:rPr>
                      <w:rFonts w:hint="default" w:ascii="Times New Roman" w:hAnsi="Times New Roman" w:eastAsia="宋体" w:cs="Times New Roman"/>
                      <w:color w:val="auto"/>
                      <w:kern w:val="0"/>
                      <w:szCs w:val="21"/>
                      <w:u w:val="none"/>
                      <w:lang w:val="en-US" w:eastAsia="zh-CN"/>
                    </w:rPr>
                    <w:t>4</w:t>
                  </w:r>
                </w:p>
              </w:tc>
              <w:tc>
                <w:tcPr>
                  <w:tcW w:w="2651" w:type="dxa"/>
                  <w:tcBorders>
                    <w:tl2br w:val="nil"/>
                    <w:tr2bl w:val="nil"/>
                  </w:tcBorders>
                  <w:shd w:val="clear" w:color="auto" w:fill="auto"/>
                  <w:noWrap/>
                  <w:vAlign w:val="center"/>
                </w:tcPr>
                <w:p w14:paraId="3EDDD51A">
                  <w:pPr>
                    <w:autoSpaceDE w:val="0"/>
                    <w:autoSpaceDN w:val="0"/>
                    <w:spacing w:line="240" w:lineRule="exact"/>
                    <w:jc w:val="center"/>
                    <w:rPr>
                      <w:rFonts w:hint="default" w:ascii="Times New Roman" w:hAnsi="Times New Roman" w:eastAsia="宋体" w:cs="Times New Roman"/>
                      <w:color w:val="auto"/>
                      <w:kern w:val="0"/>
                      <w:szCs w:val="21"/>
                      <w:u w:val="none"/>
                      <w:lang w:val="en-US" w:eastAsia="zh-CN"/>
                    </w:rPr>
                  </w:pPr>
                  <w:r>
                    <w:rPr>
                      <w:rFonts w:hint="default" w:ascii="Times New Roman" w:hAnsi="Times New Roman" w:eastAsia="宋体" w:cs="Times New Roman"/>
                      <w:color w:val="auto"/>
                      <w:kern w:val="0"/>
                      <w:szCs w:val="21"/>
                      <w:u w:val="none"/>
                      <w:lang w:val="en-US" w:eastAsia="zh-CN"/>
                    </w:rPr>
                    <w:t>白牙片区禁止气型污染大、涉重企业；涉废气工序配套收集治理装置，无电镀、大规模喷涂</w:t>
                  </w:r>
                </w:p>
              </w:tc>
              <w:tc>
                <w:tcPr>
                  <w:tcW w:w="2372" w:type="dxa"/>
                  <w:tcBorders>
                    <w:tl2br w:val="nil"/>
                    <w:tr2bl w:val="nil"/>
                  </w:tcBorders>
                  <w:shd w:val="clear" w:color="auto" w:fill="auto"/>
                  <w:noWrap/>
                  <w:vAlign w:val="center"/>
                </w:tcPr>
                <w:p w14:paraId="4D8E7670">
                  <w:pPr>
                    <w:autoSpaceDE w:val="0"/>
                    <w:autoSpaceDN w:val="0"/>
                    <w:spacing w:line="240" w:lineRule="exact"/>
                    <w:jc w:val="center"/>
                    <w:rPr>
                      <w:rFonts w:hint="default" w:ascii="Times New Roman" w:hAnsi="Times New Roman" w:eastAsia="宋体" w:cs="Times New Roman"/>
                      <w:color w:val="auto"/>
                      <w:kern w:val="0"/>
                      <w:szCs w:val="21"/>
                      <w:u w:val="none"/>
                      <w:lang w:val="en-US" w:eastAsia="zh-CN"/>
                    </w:rPr>
                  </w:pPr>
                  <w:r>
                    <w:rPr>
                      <w:rFonts w:hint="default" w:ascii="Times New Roman" w:hAnsi="Times New Roman" w:eastAsia="宋体" w:cs="Times New Roman"/>
                      <w:color w:val="auto"/>
                      <w:kern w:val="0"/>
                      <w:szCs w:val="21"/>
                      <w:u w:val="none"/>
                      <w:lang w:val="en-US" w:eastAsia="zh-CN"/>
                    </w:rPr>
                    <w:t>无电镀、喷涂、重金属工艺；注塑废气密闭收集+二级活性炭吸附处理后达标排放</w:t>
                  </w:r>
                </w:p>
              </w:tc>
              <w:tc>
                <w:tcPr>
                  <w:tcW w:w="1228" w:type="dxa"/>
                  <w:tcBorders>
                    <w:tl2br w:val="nil"/>
                    <w:tr2bl w:val="nil"/>
                  </w:tcBorders>
                  <w:shd w:val="clear" w:color="auto" w:fill="auto"/>
                  <w:noWrap/>
                  <w:vAlign w:val="center"/>
                </w:tcPr>
                <w:p w14:paraId="5529407E">
                  <w:pPr>
                    <w:autoSpaceDE w:val="0"/>
                    <w:autoSpaceDN w:val="0"/>
                    <w:spacing w:line="240" w:lineRule="exact"/>
                    <w:jc w:val="center"/>
                    <w:rPr>
                      <w:rFonts w:hint="default" w:ascii="Times New Roman" w:hAnsi="Times New Roman" w:eastAsia="宋体" w:cs="Times New Roman"/>
                      <w:color w:val="auto"/>
                      <w:kern w:val="0"/>
                      <w:szCs w:val="21"/>
                      <w:u w:val="none"/>
                      <w:lang w:val="en-US" w:eastAsia="zh-CN"/>
                    </w:rPr>
                  </w:pPr>
                  <w:r>
                    <w:rPr>
                      <w:rFonts w:hint="default" w:ascii="Times New Roman" w:hAnsi="Times New Roman" w:eastAsia="宋体" w:cs="Times New Roman"/>
                      <w:color w:val="auto"/>
                      <w:kern w:val="0"/>
                      <w:szCs w:val="21"/>
                      <w:u w:val="none"/>
                      <w:lang w:val="en-US" w:eastAsia="zh-CN"/>
                    </w:rPr>
                    <w:t>符合</w:t>
                  </w:r>
                </w:p>
              </w:tc>
            </w:tr>
            <w:tr w14:paraId="7CCCA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947" w:type="dxa"/>
                  <w:tcBorders>
                    <w:tl2br w:val="nil"/>
                    <w:tr2bl w:val="nil"/>
                  </w:tcBorders>
                  <w:shd w:val="clear" w:color="auto" w:fill="auto"/>
                  <w:noWrap/>
                  <w:vAlign w:val="center"/>
                </w:tcPr>
                <w:p w14:paraId="2F0A1F42">
                  <w:pPr>
                    <w:autoSpaceDE w:val="0"/>
                    <w:autoSpaceDN w:val="0"/>
                    <w:spacing w:line="240" w:lineRule="exact"/>
                    <w:jc w:val="center"/>
                    <w:rPr>
                      <w:rFonts w:hint="default" w:ascii="Times New Roman" w:hAnsi="Times New Roman" w:eastAsia="宋体" w:cs="Times New Roman"/>
                      <w:color w:val="auto"/>
                      <w:kern w:val="0"/>
                      <w:szCs w:val="21"/>
                      <w:u w:val="none"/>
                      <w:lang w:val="en-US" w:eastAsia="zh-CN"/>
                    </w:rPr>
                  </w:pPr>
                  <w:r>
                    <w:rPr>
                      <w:rFonts w:hint="default" w:ascii="Times New Roman" w:hAnsi="Times New Roman" w:eastAsia="宋体" w:cs="Times New Roman"/>
                      <w:color w:val="auto"/>
                      <w:kern w:val="0"/>
                      <w:szCs w:val="21"/>
                      <w:u w:val="none"/>
                      <w:lang w:val="en-US" w:eastAsia="zh-CN"/>
                    </w:rPr>
                    <w:t>5</w:t>
                  </w:r>
                </w:p>
              </w:tc>
              <w:tc>
                <w:tcPr>
                  <w:tcW w:w="2651" w:type="dxa"/>
                  <w:tcBorders>
                    <w:tl2br w:val="nil"/>
                    <w:tr2bl w:val="nil"/>
                  </w:tcBorders>
                  <w:shd w:val="clear" w:color="auto" w:fill="auto"/>
                  <w:noWrap/>
                  <w:vAlign w:val="center"/>
                </w:tcPr>
                <w:p w14:paraId="5CF0A6FE">
                  <w:pPr>
                    <w:autoSpaceDE w:val="0"/>
                    <w:autoSpaceDN w:val="0"/>
                    <w:spacing w:line="240" w:lineRule="exact"/>
                    <w:jc w:val="center"/>
                    <w:rPr>
                      <w:rFonts w:hint="default" w:ascii="Times New Roman" w:hAnsi="Times New Roman" w:eastAsia="宋体" w:cs="Times New Roman"/>
                      <w:color w:val="auto"/>
                      <w:kern w:val="0"/>
                      <w:szCs w:val="21"/>
                      <w:u w:val="none"/>
                      <w:lang w:val="en-US" w:eastAsia="zh-CN"/>
                    </w:rPr>
                  </w:pPr>
                  <w:r>
                    <w:rPr>
                      <w:rFonts w:hint="default" w:ascii="Times New Roman" w:hAnsi="Times New Roman" w:eastAsia="宋体" w:cs="Times New Roman"/>
                      <w:color w:val="auto"/>
                      <w:kern w:val="0"/>
                      <w:szCs w:val="21"/>
                      <w:u w:val="none"/>
                      <w:lang w:val="en-US" w:eastAsia="zh-CN"/>
                    </w:rPr>
                    <w:t>规范固废、危废分类贮存、处置，严防二次污染</w:t>
                  </w:r>
                </w:p>
              </w:tc>
              <w:tc>
                <w:tcPr>
                  <w:tcW w:w="2372" w:type="dxa"/>
                  <w:tcBorders>
                    <w:tl2br w:val="nil"/>
                    <w:tr2bl w:val="nil"/>
                  </w:tcBorders>
                  <w:shd w:val="clear" w:color="auto" w:fill="auto"/>
                  <w:noWrap/>
                  <w:vAlign w:val="center"/>
                </w:tcPr>
                <w:p w14:paraId="08BBAB31">
                  <w:pPr>
                    <w:autoSpaceDE w:val="0"/>
                    <w:autoSpaceDN w:val="0"/>
                    <w:spacing w:line="240" w:lineRule="exact"/>
                    <w:jc w:val="center"/>
                    <w:rPr>
                      <w:rFonts w:hint="default" w:ascii="Times New Roman" w:hAnsi="Times New Roman" w:eastAsia="宋体" w:cs="Times New Roman"/>
                      <w:color w:val="auto"/>
                      <w:kern w:val="0"/>
                      <w:szCs w:val="21"/>
                      <w:u w:val="none"/>
                      <w:lang w:val="en-US" w:eastAsia="zh-CN"/>
                    </w:rPr>
                  </w:pPr>
                  <w:r>
                    <w:rPr>
                      <w:rFonts w:hint="default" w:ascii="Times New Roman" w:hAnsi="Times New Roman" w:eastAsia="宋体" w:cs="Times New Roman"/>
                      <w:color w:val="auto"/>
                      <w:kern w:val="0"/>
                      <w:szCs w:val="21"/>
                      <w:u w:val="none"/>
                      <w:lang w:val="en-US" w:eastAsia="zh-CN"/>
                    </w:rPr>
                    <w:t>厂区配套一般固废间、规范危废暂存间，各类固废分类收集、合规处置</w:t>
                  </w:r>
                </w:p>
              </w:tc>
              <w:tc>
                <w:tcPr>
                  <w:tcW w:w="1228" w:type="dxa"/>
                  <w:tcBorders>
                    <w:tl2br w:val="nil"/>
                    <w:tr2bl w:val="nil"/>
                  </w:tcBorders>
                  <w:shd w:val="clear" w:color="auto" w:fill="auto"/>
                  <w:noWrap/>
                  <w:vAlign w:val="center"/>
                </w:tcPr>
                <w:p w14:paraId="48DAE2FC">
                  <w:pPr>
                    <w:autoSpaceDE w:val="0"/>
                    <w:autoSpaceDN w:val="0"/>
                    <w:spacing w:line="240" w:lineRule="exact"/>
                    <w:jc w:val="center"/>
                    <w:rPr>
                      <w:rFonts w:hint="default" w:ascii="Times New Roman" w:hAnsi="Times New Roman" w:eastAsia="宋体" w:cs="Times New Roman"/>
                      <w:color w:val="auto"/>
                      <w:kern w:val="0"/>
                      <w:szCs w:val="21"/>
                      <w:u w:val="none"/>
                      <w:lang w:val="en-US" w:eastAsia="zh-CN"/>
                    </w:rPr>
                  </w:pPr>
                  <w:r>
                    <w:rPr>
                      <w:rFonts w:hint="default" w:ascii="Times New Roman" w:hAnsi="Times New Roman" w:eastAsia="宋体" w:cs="Times New Roman"/>
                      <w:color w:val="auto"/>
                      <w:kern w:val="0"/>
                      <w:szCs w:val="21"/>
                      <w:u w:val="none"/>
                      <w:lang w:val="en-US" w:eastAsia="zh-CN"/>
                    </w:rPr>
                    <w:t>符合</w:t>
                  </w:r>
                </w:p>
              </w:tc>
            </w:tr>
            <w:tr w14:paraId="1FBF6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47" w:type="dxa"/>
                  <w:tcBorders>
                    <w:tl2br w:val="nil"/>
                    <w:tr2bl w:val="nil"/>
                  </w:tcBorders>
                  <w:shd w:val="clear" w:color="auto" w:fill="auto"/>
                  <w:noWrap/>
                  <w:vAlign w:val="center"/>
                </w:tcPr>
                <w:p w14:paraId="385744A7">
                  <w:pPr>
                    <w:autoSpaceDE w:val="0"/>
                    <w:autoSpaceDN w:val="0"/>
                    <w:spacing w:line="240" w:lineRule="exact"/>
                    <w:jc w:val="center"/>
                    <w:rPr>
                      <w:rFonts w:hint="default" w:ascii="Times New Roman" w:hAnsi="Times New Roman" w:eastAsia="宋体" w:cs="Times New Roman"/>
                      <w:color w:val="auto"/>
                      <w:kern w:val="0"/>
                      <w:szCs w:val="21"/>
                      <w:u w:val="none"/>
                      <w:lang w:val="en-US" w:eastAsia="zh-CN"/>
                    </w:rPr>
                  </w:pPr>
                  <w:r>
                    <w:rPr>
                      <w:rFonts w:hint="default" w:ascii="Times New Roman" w:hAnsi="Times New Roman" w:eastAsia="宋体" w:cs="Times New Roman"/>
                      <w:color w:val="auto"/>
                      <w:kern w:val="0"/>
                      <w:szCs w:val="21"/>
                      <w:u w:val="none"/>
                      <w:lang w:val="en-US" w:eastAsia="zh-CN"/>
                    </w:rPr>
                    <w:t>6</w:t>
                  </w:r>
                </w:p>
              </w:tc>
              <w:tc>
                <w:tcPr>
                  <w:tcW w:w="2651" w:type="dxa"/>
                  <w:tcBorders>
                    <w:tl2br w:val="nil"/>
                    <w:tr2bl w:val="nil"/>
                  </w:tcBorders>
                  <w:shd w:val="clear" w:color="auto" w:fill="auto"/>
                  <w:noWrap/>
                  <w:vAlign w:val="center"/>
                </w:tcPr>
                <w:p w14:paraId="00B576AD">
                  <w:pPr>
                    <w:autoSpaceDE w:val="0"/>
                    <w:autoSpaceDN w:val="0"/>
                    <w:spacing w:line="240" w:lineRule="exact"/>
                    <w:jc w:val="center"/>
                    <w:rPr>
                      <w:rFonts w:hint="default" w:ascii="Times New Roman" w:hAnsi="Times New Roman" w:eastAsia="宋体" w:cs="Times New Roman"/>
                      <w:color w:val="auto"/>
                      <w:kern w:val="0"/>
                      <w:szCs w:val="21"/>
                      <w:u w:val="none"/>
                      <w:lang w:val="en-US" w:eastAsia="zh-CN"/>
                    </w:rPr>
                  </w:pPr>
                  <w:r>
                    <w:rPr>
                      <w:rFonts w:hint="default" w:ascii="Times New Roman" w:hAnsi="Times New Roman" w:eastAsia="宋体" w:cs="Times New Roman"/>
                      <w:color w:val="auto"/>
                      <w:kern w:val="0"/>
                      <w:szCs w:val="21"/>
                      <w:u w:val="none"/>
                      <w:lang w:val="en-US" w:eastAsia="zh-CN"/>
                    </w:rPr>
                    <w:t>园区建立环境风险防控体系，企业落实风险管控、台账、应急预案</w:t>
                  </w:r>
                </w:p>
              </w:tc>
              <w:tc>
                <w:tcPr>
                  <w:tcW w:w="2372" w:type="dxa"/>
                  <w:tcBorders>
                    <w:tl2br w:val="nil"/>
                    <w:tr2bl w:val="nil"/>
                  </w:tcBorders>
                  <w:shd w:val="clear" w:color="auto" w:fill="auto"/>
                  <w:noWrap/>
                  <w:vAlign w:val="center"/>
                </w:tcPr>
                <w:p w14:paraId="63697AFC">
                  <w:pPr>
                    <w:autoSpaceDE w:val="0"/>
                    <w:autoSpaceDN w:val="0"/>
                    <w:spacing w:line="240" w:lineRule="exact"/>
                    <w:jc w:val="center"/>
                    <w:rPr>
                      <w:rFonts w:hint="default" w:ascii="Times New Roman" w:hAnsi="Times New Roman" w:eastAsia="宋体" w:cs="Times New Roman"/>
                      <w:color w:val="auto"/>
                      <w:kern w:val="0"/>
                      <w:szCs w:val="21"/>
                      <w:u w:val="none"/>
                      <w:lang w:val="en-US" w:eastAsia="zh-CN"/>
                    </w:rPr>
                  </w:pPr>
                  <w:r>
                    <w:rPr>
                      <w:rFonts w:hint="default" w:ascii="Times New Roman" w:hAnsi="Times New Roman" w:eastAsia="宋体" w:cs="Times New Roman"/>
                      <w:color w:val="auto"/>
                      <w:kern w:val="0"/>
                      <w:szCs w:val="21"/>
                      <w:u w:val="none"/>
                      <w:lang w:val="en-US" w:eastAsia="zh-CN"/>
                    </w:rPr>
                    <w:t>企业配套风险防控措施，建立环保管理台账，编制突发环境应急预案</w:t>
                  </w:r>
                </w:p>
              </w:tc>
              <w:tc>
                <w:tcPr>
                  <w:tcW w:w="1228" w:type="dxa"/>
                  <w:tcBorders>
                    <w:tl2br w:val="nil"/>
                    <w:tr2bl w:val="nil"/>
                  </w:tcBorders>
                  <w:shd w:val="clear" w:color="auto" w:fill="auto"/>
                  <w:noWrap/>
                  <w:vAlign w:val="center"/>
                </w:tcPr>
                <w:p w14:paraId="496512A1">
                  <w:pPr>
                    <w:autoSpaceDE w:val="0"/>
                    <w:autoSpaceDN w:val="0"/>
                    <w:spacing w:line="240" w:lineRule="exact"/>
                    <w:jc w:val="center"/>
                    <w:rPr>
                      <w:rFonts w:hint="default" w:ascii="Times New Roman" w:hAnsi="Times New Roman" w:eastAsia="宋体" w:cs="Times New Roman"/>
                      <w:color w:val="auto"/>
                      <w:kern w:val="0"/>
                      <w:szCs w:val="21"/>
                      <w:u w:val="none"/>
                      <w:lang w:val="en-US" w:eastAsia="zh-CN"/>
                    </w:rPr>
                  </w:pPr>
                  <w:r>
                    <w:rPr>
                      <w:rFonts w:hint="default" w:ascii="Times New Roman" w:hAnsi="Times New Roman" w:eastAsia="宋体" w:cs="Times New Roman"/>
                      <w:color w:val="auto"/>
                      <w:kern w:val="0"/>
                      <w:szCs w:val="21"/>
                      <w:u w:val="none"/>
                      <w:lang w:val="en-US" w:eastAsia="zh-CN"/>
                    </w:rPr>
                    <w:t>符合</w:t>
                  </w:r>
                </w:p>
              </w:tc>
            </w:tr>
            <w:tr w14:paraId="59628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47" w:type="dxa"/>
                  <w:tcBorders>
                    <w:tl2br w:val="nil"/>
                    <w:tr2bl w:val="nil"/>
                  </w:tcBorders>
                  <w:shd w:val="clear" w:color="auto" w:fill="auto"/>
                  <w:noWrap/>
                  <w:vAlign w:val="center"/>
                </w:tcPr>
                <w:p w14:paraId="18BD679A">
                  <w:pPr>
                    <w:autoSpaceDE w:val="0"/>
                    <w:autoSpaceDN w:val="0"/>
                    <w:spacing w:line="240" w:lineRule="exact"/>
                    <w:jc w:val="center"/>
                    <w:rPr>
                      <w:rFonts w:hint="default" w:ascii="Times New Roman" w:hAnsi="Times New Roman" w:eastAsia="宋体" w:cs="Times New Roman"/>
                      <w:color w:val="auto"/>
                      <w:kern w:val="0"/>
                      <w:szCs w:val="21"/>
                      <w:u w:val="none"/>
                      <w:lang w:val="en-US" w:eastAsia="zh-CN"/>
                    </w:rPr>
                  </w:pPr>
                  <w:r>
                    <w:rPr>
                      <w:rFonts w:hint="default" w:ascii="Times New Roman" w:hAnsi="Times New Roman" w:eastAsia="宋体" w:cs="Times New Roman"/>
                      <w:color w:val="auto"/>
                      <w:kern w:val="0"/>
                      <w:szCs w:val="21"/>
                      <w:u w:val="none"/>
                      <w:lang w:val="en-US" w:eastAsia="zh-CN"/>
                    </w:rPr>
                    <w:t>7</w:t>
                  </w:r>
                </w:p>
              </w:tc>
              <w:tc>
                <w:tcPr>
                  <w:tcW w:w="2651" w:type="dxa"/>
                  <w:tcBorders>
                    <w:tl2br w:val="nil"/>
                    <w:tr2bl w:val="nil"/>
                  </w:tcBorders>
                  <w:shd w:val="clear" w:color="auto" w:fill="auto"/>
                  <w:noWrap/>
                  <w:vAlign w:val="center"/>
                </w:tcPr>
                <w:p w14:paraId="3F00961F">
                  <w:pPr>
                    <w:autoSpaceDE w:val="0"/>
                    <w:autoSpaceDN w:val="0"/>
                    <w:spacing w:line="240" w:lineRule="exact"/>
                    <w:jc w:val="center"/>
                    <w:rPr>
                      <w:rFonts w:hint="default" w:ascii="Times New Roman" w:hAnsi="Times New Roman" w:eastAsia="宋体" w:cs="Times New Roman"/>
                      <w:color w:val="auto"/>
                      <w:kern w:val="0"/>
                      <w:szCs w:val="21"/>
                      <w:u w:val="none"/>
                      <w:lang w:val="en-US" w:eastAsia="zh-CN"/>
                    </w:rPr>
                  </w:pPr>
                  <w:r>
                    <w:rPr>
                      <w:rFonts w:hint="default" w:ascii="Times New Roman" w:hAnsi="Times New Roman" w:eastAsia="宋体" w:cs="Times New Roman"/>
                      <w:color w:val="auto"/>
                      <w:kern w:val="0"/>
                      <w:szCs w:val="21"/>
                      <w:u w:val="none"/>
                      <w:lang w:val="en-US" w:eastAsia="zh-CN"/>
                    </w:rPr>
                    <w:t>项目不涉及居民拆迁安置</w:t>
                  </w:r>
                </w:p>
              </w:tc>
              <w:tc>
                <w:tcPr>
                  <w:tcW w:w="2372" w:type="dxa"/>
                  <w:tcBorders>
                    <w:tl2br w:val="nil"/>
                    <w:tr2bl w:val="nil"/>
                  </w:tcBorders>
                  <w:shd w:val="clear" w:color="auto" w:fill="auto"/>
                  <w:noWrap/>
                  <w:vAlign w:val="center"/>
                </w:tcPr>
                <w:p w14:paraId="09602C81">
                  <w:pPr>
                    <w:autoSpaceDE w:val="0"/>
                    <w:autoSpaceDN w:val="0"/>
                    <w:spacing w:line="240" w:lineRule="exact"/>
                    <w:jc w:val="center"/>
                    <w:rPr>
                      <w:rFonts w:hint="default" w:ascii="Times New Roman" w:hAnsi="Times New Roman" w:eastAsia="宋体" w:cs="Times New Roman"/>
                      <w:color w:val="auto"/>
                      <w:kern w:val="0"/>
                      <w:szCs w:val="21"/>
                      <w:u w:val="none"/>
                      <w:lang w:val="en-US" w:eastAsia="zh-CN"/>
                    </w:rPr>
                  </w:pPr>
                  <w:r>
                    <w:rPr>
                      <w:rFonts w:hint="default" w:ascii="Times New Roman" w:hAnsi="Times New Roman" w:eastAsia="宋体" w:cs="Times New Roman"/>
                      <w:color w:val="auto"/>
                      <w:kern w:val="0"/>
                      <w:szCs w:val="21"/>
                      <w:u w:val="none"/>
                      <w:lang w:val="en-US" w:eastAsia="zh-CN"/>
                    </w:rPr>
                    <w:t>厂区范围内无需要拆迁住户</w:t>
                  </w:r>
                </w:p>
              </w:tc>
              <w:tc>
                <w:tcPr>
                  <w:tcW w:w="1228" w:type="dxa"/>
                  <w:tcBorders>
                    <w:tl2br w:val="nil"/>
                    <w:tr2bl w:val="nil"/>
                  </w:tcBorders>
                  <w:shd w:val="clear" w:color="auto" w:fill="auto"/>
                  <w:noWrap/>
                  <w:vAlign w:val="center"/>
                </w:tcPr>
                <w:p w14:paraId="3B41A07A">
                  <w:pPr>
                    <w:autoSpaceDE w:val="0"/>
                    <w:autoSpaceDN w:val="0"/>
                    <w:spacing w:line="240" w:lineRule="exact"/>
                    <w:jc w:val="center"/>
                    <w:rPr>
                      <w:rFonts w:hint="default" w:ascii="Times New Roman" w:hAnsi="Times New Roman" w:eastAsia="宋体" w:cs="Times New Roman"/>
                      <w:color w:val="auto"/>
                      <w:kern w:val="0"/>
                      <w:szCs w:val="21"/>
                      <w:u w:val="none"/>
                      <w:lang w:val="en-US" w:eastAsia="zh-CN"/>
                    </w:rPr>
                  </w:pPr>
                  <w:r>
                    <w:rPr>
                      <w:rFonts w:hint="default" w:ascii="Times New Roman" w:hAnsi="Times New Roman" w:eastAsia="宋体" w:cs="Times New Roman"/>
                      <w:color w:val="auto"/>
                      <w:kern w:val="0"/>
                      <w:szCs w:val="21"/>
                      <w:u w:val="none"/>
                      <w:lang w:val="en-US" w:eastAsia="zh-CN"/>
                    </w:rPr>
                    <w:t>符合</w:t>
                  </w:r>
                </w:p>
              </w:tc>
            </w:tr>
            <w:tr w14:paraId="0FB3C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47" w:type="dxa"/>
                  <w:tcBorders>
                    <w:tl2br w:val="nil"/>
                    <w:tr2bl w:val="nil"/>
                  </w:tcBorders>
                  <w:shd w:val="clear" w:color="auto" w:fill="auto"/>
                  <w:noWrap/>
                  <w:vAlign w:val="center"/>
                </w:tcPr>
                <w:p w14:paraId="1DDAFF6E">
                  <w:pPr>
                    <w:autoSpaceDE w:val="0"/>
                    <w:autoSpaceDN w:val="0"/>
                    <w:spacing w:line="240" w:lineRule="exact"/>
                    <w:jc w:val="center"/>
                    <w:rPr>
                      <w:rFonts w:hint="default" w:ascii="Times New Roman" w:hAnsi="Times New Roman" w:eastAsia="宋体" w:cs="Times New Roman"/>
                      <w:color w:val="auto"/>
                      <w:kern w:val="0"/>
                      <w:szCs w:val="21"/>
                      <w:u w:val="none"/>
                      <w:lang w:val="en-US" w:eastAsia="zh-CN"/>
                    </w:rPr>
                  </w:pPr>
                  <w:r>
                    <w:rPr>
                      <w:rFonts w:hint="default" w:ascii="Times New Roman" w:hAnsi="Times New Roman" w:eastAsia="宋体" w:cs="Times New Roman"/>
                      <w:color w:val="auto"/>
                      <w:kern w:val="0"/>
                      <w:szCs w:val="21"/>
                      <w:u w:val="none"/>
                      <w:lang w:val="en-US" w:eastAsia="zh-CN"/>
                    </w:rPr>
                    <w:t>8</w:t>
                  </w:r>
                </w:p>
              </w:tc>
              <w:tc>
                <w:tcPr>
                  <w:tcW w:w="2651" w:type="dxa"/>
                  <w:tcBorders>
                    <w:tl2br w:val="nil"/>
                    <w:tr2bl w:val="nil"/>
                  </w:tcBorders>
                  <w:shd w:val="clear" w:color="auto" w:fill="auto"/>
                  <w:noWrap/>
                  <w:vAlign w:val="center"/>
                </w:tcPr>
                <w:p w14:paraId="4AE77059">
                  <w:pPr>
                    <w:autoSpaceDE w:val="0"/>
                    <w:autoSpaceDN w:val="0"/>
                    <w:spacing w:line="240" w:lineRule="exact"/>
                    <w:jc w:val="center"/>
                    <w:rPr>
                      <w:rFonts w:hint="default" w:ascii="Times New Roman" w:hAnsi="Times New Roman" w:eastAsia="宋体" w:cs="Times New Roman"/>
                      <w:color w:val="auto"/>
                      <w:kern w:val="0"/>
                      <w:szCs w:val="21"/>
                      <w:u w:val="none"/>
                      <w:lang w:val="en-US" w:eastAsia="zh-CN"/>
                    </w:rPr>
                  </w:pPr>
                  <w:r>
                    <w:rPr>
                      <w:rFonts w:hint="default" w:ascii="Times New Roman" w:hAnsi="Times New Roman" w:eastAsia="宋体" w:cs="Times New Roman"/>
                      <w:color w:val="auto"/>
                      <w:kern w:val="0"/>
                      <w:szCs w:val="21"/>
                      <w:u w:val="none"/>
                      <w:lang w:val="en-US" w:eastAsia="zh-CN"/>
                    </w:rPr>
                    <w:t>施工期落实围挡、植被恢复等水土保持措施</w:t>
                  </w:r>
                </w:p>
              </w:tc>
              <w:tc>
                <w:tcPr>
                  <w:tcW w:w="2372" w:type="dxa"/>
                  <w:tcBorders>
                    <w:tl2br w:val="nil"/>
                    <w:tr2bl w:val="nil"/>
                  </w:tcBorders>
                  <w:shd w:val="clear" w:color="auto" w:fill="auto"/>
                  <w:noWrap/>
                  <w:vAlign w:val="center"/>
                </w:tcPr>
                <w:p w14:paraId="3B0322EE">
                  <w:pPr>
                    <w:autoSpaceDE w:val="0"/>
                    <w:autoSpaceDN w:val="0"/>
                    <w:spacing w:line="240" w:lineRule="exact"/>
                    <w:jc w:val="center"/>
                    <w:rPr>
                      <w:rFonts w:hint="default" w:ascii="Times New Roman" w:hAnsi="Times New Roman" w:eastAsia="宋体" w:cs="Times New Roman"/>
                      <w:color w:val="auto"/>
                      <w:kern w:val="0"/>
                      <w:szCs w:val="21"/>
                      <w:u w:val="none"/>
                      <w:lang w:val="en-US" w:eastAsia="zh-CN"/>
                    </w:rPr>
                  </w:pPr>
                  <w:r>
                    <w:rPr>
                      <w:rFonts w:hint="default" w:ascii="Times New Roman" w:hAnsi="Times New Roman" w:eastAsia="宋体" w:cs="Times New Roman"/>
                      <w:color w:val="auto"/>
                      <w:kern w:val="0"/>
                      <w:szCs w:val="21"/>
                      <w:u w:val="none"/>
                      <w:lang w:val="en-US" w:eastAsia="zh-CN"/>
                    </w:rPr>
                    <w:t>施工场地围挡，裸露区域及时复绿，控制水土流失</w:t>
                  </w:r>
                </w:p>
              </w:tc>
              <w:tc>
                <w:tcPr>
                  <w:tcW w:w="1228" w:type="dxa"/>
                  <w:tcBorders>
                    <w:tl2br w:val="nil"/>
                    <w:tr2bl w:val="nil"/>
                  </w:tcBorders>
                  <w:shd w:val="clear" w:color="auto" w:fill="auto"/>
                  <w:noWrap/>
                  <w:vAlign w:val="center"/>
                </w:tcPr>
                <w:p w14:paraId="376F18C1">
                  <w:pPr>
                    <w:autoSpaceDE w:val="0"/>
                    <w:autoSpaceDN w:val="0"/>
                    <w:spacing w:line="240" w:lineRule="exact"/>
                    <w:jc w:val="center"/>
                    <w:rPr>
                      <w:rFonts w:hint="default" w:ascii="Times New Roman" w:hAnsi="Times New Roman" w:eastAsia="宋体" w:cs="Times New Roman"/>
                      <w:color w:val="auto"/>
                      <w:kern w:val="0"/>
                      <w:szCs w:val="21"/>
                      <w:u w:val="none"/>
                      <w:lang w:val="en-US" w:eastAsia="zh-CN"/>
                    </w:rPr>
                  </w:pPr>
                  <w:r>
                    <w:rPr>
                      <w:rFonts w:hint="default" w:ascii="Times New Roman" w:hAnsi="Times New Roman" w:eastAsia="宋体" w:cs="Times New Roman"/>
                      <w:color w:val="auto"/>
                      <w:kern w:val="0"/>
                      <w:szCs w:val="21"/>
                      <w:u w:val="none"/>
                      <w:lang w:val="en-US" w:eastAsia="zh-CN"/>
                    </w:rPr>
                    <w:t>符合</w:t>
                  </w:r>
                </w:p>
              </w:tc>
            </w:tr>
          </w:tbl>
          <w:p w14:paraId="09CE2CA4">
            <w:pPr>
              <w:autoSpaceDE w:val="0"/>
              <w:autoSpaceDN w:val="0"/>
              <w:spacing w:line="520" w:lineRule="exact"/>
              <w:ind w:firstLine="480" w:firstLineChars="200"/>
              <w:rPr>
                <w:rFonts w:hint="default" w:ascii="Times New Roman" w:hAnsi="Times New Roman" w:eastAsia="宋体" w:cs="Times New Roman"/>
                <w:color w:val="auto"/>
                <w:kern w:val="0"/>
                <w:sz w:val="24"/>
                <w:u w:val="none"/>
                <w:lang w:val="en-US" w:eastAsia="zh-CN"/>
              </w:rPr>
            </w:pPr>
            <w:r>
              <w:rPr>
                <w:rFonts w:hint="default" w:ascii="Times New Roman" w:hAnsi="Times New Roman" w:eastAsia="宋体" w:cs="Times New Roman"/>
                <w:color w:val="auto"/>
                <w:kern w:val="0"/>
                <w:sz w:val="24"/>
                <w:u w:val="none"/>
                <w:lang w:val="en-US" w:eastAsia="zh-CN"/>
              </w:rPr>
              <w:t>（2）与湘环评函〔2025〕16号（跟踪评价最新管控意见）符合性</w:t>
            </w:r>
          </w:p>
          <w:p w14:paraId="0B7FE7BF">
            <w:pPr>
              <w:pStyle w:val="48"/>
              <w:jc w:val="center"/>
              <w:rPr>
                <w:rFonts w:hint="default" w:ascii="Times New Roman" w:hAnsi="Times New Roman" w:eastAsia="宋体" w:cs="Times New Roman"/>
                <w:b/>
                <w:bCs/>
                <w:color w:val="auto"/>
                <w:sz w:val="21"/>
                <w:szCs w:val="21"/>
                <w:u w:val="none"/>
                <w:lang w:val="en-GB" w:eastAsia="zh-CN"/>
              </w:rPr>
            </w:pPr>
            <w:r>
              <w:rPr>
                <w:rFonts w:hint="default" w:ascii="Times New Roman" w:hAnsi="Times New Roman" w:eastAsia="宋体" w:cs="Times New Roman"/>
                <w:b/>
                <w:bCs/>
                <w:color w:val="auto"/>
                <w:sz w:val="21"/>
                <w:szCs w:val="21"/>
                <w:u w:val="none"/>
                <w:lang w:val="en-GB" w:eastAsia="zh-CN"/>
              </w:rPr>
              <w:t>表1-3项目与湘环评函〔2025〕16号园区跟踪评价意见符合性一览表</w:t>
            </w:r>
          </w:p>
          <w:tbl>
            <w:tblPr>
              <w:tblStyle w:val="38"/>
              <w:tblW w:w="7138" w:type="dxa"/>
              <w:tblInd w:w="-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06"/>
              <w:gridCol w:w="2662"/>
              <w:gridCol w:w="2292"/>
              <w:gridCol w:w="1278"/>
            </w:tblGrid>
            <w:tr w14:paraId="6A5EA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906" w:type="dxa"/>
                  <w:tcBorders>
                    <w:tl2br w:val="nil"/>
                    <w:tr2bl w:val="nil"/>
                  </w:tcBorders>
                  <w:shd w:val="clear" w:color="auto" w:fill="auto"/>
                  <w:noWrap/>
                  <w:vAlign w:val="center"/>
                </w:tcPr>
                <w:p w14:paraId="7D9D0A29">
                  <w:pPr>
                    <w:autoSpaceDE w:val="0"/>
                    <w:autoSpaceDN w:val="0"/>
                    <w:spacing w:line="240" w:lineRule="exact"/>
                    <w:jc w:val="center"/>
                    <w:rPr>
                      <w:rFonts w:hint="default" w:ascii="Times New Roman" w:hAnsi="Times New Roman" w:eastAsia="宋体" w:cs="Times New Roman"/>
                      <w:color w:val="auto"/>
                      <w:kern w:val="0"/>
                      <w:szCs w:val="21"/>
                      <w:u w:val="none"/>
                    </w:rPr>
                  </w:pPr>
                  <w:r>
                    <w:rPr>
                      <w:rFonts w:hint="default" w:ascii="Times New Roman" w:hAnsi="Times New Roman" w:eastAsia="宋体" w:cs="Times New Roman"/>
                      <w:color w:val="auto"/>
                      <w:kern w:val="0"/>
                      <w:szCs w:val="21"/>
                      <w:u w:val="none"/>
                      <w:lang w:val="en-US" w:eastAsia="zh-CN"/>
                    </w:rPr>
                    <w:t>序号</w:t>
                  </w:r>
                </w:p>
              </w:tc>
              <w:tc>
                <w:tcPr>
                  <w:tcW w:w="2662" w:type="dxa"/>
                  <w:tcBorders>
                    <w:tl2br w:val="nil"/>
                    <w:tr2bl w:val="nil"/>
                  </w:tcBorders>
                  <w:shd w:val="clear" w:color="auto" w:fill="auto"/>
                  <w:noWrap/>
                  <w:vAlign w:val="center"/>
                </w:tcPr>
                <w:p w14:paraId="11D40911">
                  <w:pPr>
                    <w:autoSpaceDE w:val="0"/>
                    <w:autoSpaceDN w:val="0"/>
                    <w:spacing w:line="240" w:lineRule="exact"/>
                    <w:jc w:val="center"/>
                    <w:rPr>
                      <w:rFonts w:hint="default" w:ascii="Times New Roman" w:hAnsi="Times New Roman" w:eastAsia="宋体" w:cs="Times New Roman"/>
                      <w:color w:val="auto"/>
                      <w:kern w:val="0"/>
                      <w:szCs w:val="21"/>
                      <w:u w:val="none"/>
                    </w:rPr>
                  </w:pPr>
                  <w:r>
                    <w:rPr>
                      <w:rFonts w:hint="default" w:ascii="Times New Roman" w:hAnsi="Times New Roman" w:eastAsia="宋体" w:cs="Times New Roman"/>
                      <w:color w:val="auto"/>
                      <w:kern w:val="0"/>
                      <w:szCs w:val="21"/>
                      <w:u w:val="none"/>
                      <w:lang w:val="en-US" w:eastAsia="zh-CN"/>
                    </w:rPr>
                    <w:t>跟踪评价最新管控要求</w:t>
                  </w:r>
                </w:p>
              </w:tc>
              <w:tc>
                <w:tcPr>
                  <w:tcW w:w="2292" w:type="dxa"/>
                  <w:tcBorders>
                    <w:tl2br w:val="nil"/>
                    <w:tr2bl w:val="nil"/>
                  </w:tcBorders>
                  <w:shd w:val="clear" w:color="auto" w:fill="auto"/>
                  <w:noWrap/>
                  <w:vAlign w:val="center"/>
                </w:tcPr>
                <w:p w14:paraId="285C0297">
                  <w:pPr>
                    <w:autoSpaceDE w:val="0"/>
                    <w:autoSpaceDN w:val="0"/>
                    <w:spacing w:line="240" w:lineRule="exact"/>
                    <w:jc w:val="center"/>
                    <w:rPr>
                      <w:rFonts w:hint="default" w:ascii="Times New Roman" w:hAnsi="Times New Roman" w:eastAsia="宋体" w:cs="Times New Roman"/>
                      <w:color w:val="auto"/>
                      <w:kern w:val="0"/>
                      <w:szCs w:val="21"/>
                      <w:u w:val="none"/>
                    </w:rPr>
                  </w:pPr>
                  <w:r>
                    <w:rPr>
                      <w:rFonts w:hint="default" w:ascii="Times New Roman" w:hAnsi="Times New Roman" w:eastAsia="宋体" w:cs="Times New Roman"/>
                      <w:color w:val="auto"/>
                      <w:kern w:val="0"/>
                      <w:szCs w:val="21"/>
                      <w:u w:val="none"/>
                      <w:lang w:val="en-US" w:eastAsia="zh-CN"/>
                    </w:rPr>
                    <w:t>项目落实情况</w:t>
                  </w:r>
                </w:p>
              </w:tc>
              <w:tc>
                <w:tcPr>
                  <w:tcW w:w="1278" w:type="dxa"/>
                  <w:tcBorders>
                    <w:tl2br w:val="nil"/>
                    <w:tr2bl w:val="nil"/>
                  </w:tcBorders>
                  <w:shd w:val="clear" w:color="auto" w:fill="auto"/>
                  <w:noWrap/>
                  <w:vAlign w:val="center"/>
                </w:tcPr>
                <w:p w14:paraId="4DF5D0CA">
                  <w:pPr>
                    <w:autoSpaceDE w:val="0"/>
                    <w:autoSpaceDN w:val="0"/>
                    <w:spacing w:line="240" w:lineRule="exact"/>
                    <w:jc w:val="center"/>
                    <w:rPr>
                      <w:rFonts w:hint="default" w:ascii="Times New Roman" w:hAnsi="Times New Roman" w:eastAsia="宋体" w:cs="Times New Roman"/>
                      <w:color w:val="auto"/>
                      <w:kern w:val="0"/>
                      <w:szCs w:val="21"/>
                      <w:u w:val="none"/>
                    </w:rPr>
                  </w:pPr>
                  <w:r>
                    <w:rPr>
                      <w:rFonts w:hint="default" w:ascii="Times New Roman" w:hAnsi="Times New Roman" w:eastAsia="宋体" w:cs="Times New Roman"/>
                      <w:color w:val="auto"/>
                      <w:kern w:val="0"/>
                      <w:szCs w:val="21"/>
                      <w:u w:val="none"/>
                      <w:lang w:val="en-US" w:eastAsia="zh-CN"/>
                    </w:rPr>
                    <w:t>符合性结论</w:t>
                  </w:r>
                </w:p>
              </w:tc>
            </w:tr>
            <w:tr w14:paraId="5976C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906" w:type="dxa"/>
                  <w:tcBorders>
                    <w:tl2br w:val="nil"/>
                    <w:tr2bl w:val="nil"/>
                  </w:tcBorders>
                  <w:shd w:val="clear" w:color="auto" w:fill="auto"/>
                  <w:noWrap/>
                  <w:vAlign w:val="center"/>
                </w:tcPr>
                <w:p w14:paraId="26E289BA">
                  <w:pPr>
                    <w:autoSpaceDE w:val="0"/>
                    <w:autoSpaceDN w:val="0"/>
                    <w:spacing w:line="240" w:lineRule="exact"/>
                    <w:jc w:val="center"/>
                    <w:rPr>
                      <w:rFonts w:hint="default" w:ascii="Times New Roman" w:hAnsi="Times New Roman" w:eastAsia="宋体" w:cs="Times New Roman"/>
                      <w:color w:val="auto"/>
                      <w:kern w:val="0"/>
                      <w:szCs w:val="21"/>
                      <w:u w:val="none"/>
                    </w:rPr>
                  </w:pPr>
                  <w:r>
                    <w:rPr>
                      <w:rFonts w:hint="default" w:ascii="Times New Roman" w:hAnsi="Times New Roman" w:eastAsia="宋体" w:cs="Times New Roman"/>
                      <w:color w:val="auto"/>
                      <w:kern w:val="0"/>
                      <w:szCs w:val="21"/>
                      <w:u w:val="none"/>
                      <w:lang w:val="en-US" w:eastAsia="zh-CN"/>
                    </w:rPr>
                    <w:t>1</w:t>
                  </w:r>
                </w:p>
              </w:tc>
              <w:tc>
                <w:tcPr>
                  <w:tcW w:w="2662" w:type="dxa"/>
                  <w:tcBorders>
                    <w:tl2br w:val="nil"/>
                    <w:tr2bl w:val="nil"/>
                  </w:tcBorders>
                  <w:shd w:val="clear" w:color="auto" w:fill="auto"/>
                  <w:noWrap/>
                  <w:vAlign w:val="center"/>
                </w:tcPr>
                <w:p w14:paraId="6E4E41A4">
                  <w:pPr>
                    <w:autoSpaceDE w:val="0"/>
                    <w:autoSpaceDN w:val="0"/>
                    <w:spacing w:line="240" w:lineRule="exact"/>
                    <w:jc w:val="center"/>
                    <w:rPr>
                      <w:rFonts w:hint="default" w:ascii="Times New Roman" w:hAnsi="Times New Roman" w:eastAsia="宋体" w:cs="Times New Roman"/>
                      <w:color w:val="auto"/>
                      <w:kern w:val="0"/>
                      <w:szCs w:val="21"/>
                      <w:u w:val="none"/>
                    </w:rPr>
                  </w:pPr>
                  <w:r>
                    <w:rPr>
                      <w:rFonts w:hint="default" w:ascii="Times New Roman" w:hAnsi="Times New Roman" w:eastAsia="宋体" w:cs="Times New Roman"/>
                      <w:color w:val="auto"/>
                      <w:kern w:val="0"/>
                      <w:szCs w:val="21"/>
                      <w:u w:val="none"/>
                      <w:lang w:val="en-US" w:eastAsia="zh-CN"/>
                    </w:rPr>
                    <w:t>白牙片区与居住用地相邻地块严控气型污染企业，强化现有涉VOC企业废气管控</w:t>
                  </w:r>
                </w:p>
              </w:tc>
              <w:tc>
                <w:tcPr>
                  <w:tcW w:w="2292" w:type="dxa"/>
                  <w:tcBorders>
                    <w:tl2br w:val="nil"/>
                    <w:tr2bl w:val="nil"/>
                  </w:tcBorders>
                  <w:shd w:val="clear" w:color="auto" w:fill="auto"/>
                  <w:noWrap/>
                  <w:vAlign w:val="center"/>
                </w:tcPr>
                <w:p w14:paraId="7E3494B1">
                  <w:pPr>
                    <w:autoSpaceDE w:val="0"/>
                    <w:autoSpaceDN w:val="0"/>
                    <w:spacing w:line="240" w:lineRule="exact"/>
                    <w:jc w:val="center"/>
                    <w:rPr>
                      <w:rFonts w:hint="default" w:ascii="Times New Roman" w:hAnsi="Times New Roman" w:eastAsia="宋体" w:cs="Times New Roman"/>
                      <w:color w:val="auto"/>
                      <w:kern w:val="0"/>
                      <w:szCs w:val="21"/>
                      <w:highlight w:val="none"/>
                      <w:u w:val="none"/>
                    </w:rPr>
                  </w:pPr>
                  <w:r>
                    <w:rPr>
                      <w:rFonts w:hint="default" w:ascii="Times New Roman" w:hAnsi="Times New Roman" w:eastAsia="宋体" w:cs="Times New Roman"/>
                      <w:color w:val="auto"/>
                      <w:kern w:val="0"/>
                      <w:szCs w:val="21"/>
                      <w:highlight w:val="none"/>
                      <w:u w:val="none"/>
                      <w:lang w:val="en-US" w:eastAsia="zh-CN"/>
                    </w:rPr>
                    <w:t>项目VOC产生量小，车间全密闭集气，配套高效二级活性炭吸附处理工艺，满足VOC综合治理要求</w:t>
                  </w:r>
                </w:p>
              </w:tc>
              <w:tc>
                <w:tcPr>
                  <w:tcW w:w="1278" w:type="dxa"/>
                  <w:tcBorders>
                    <w:tl2br w:val="nil"/>
                    <w:tr2bl w:val="nil"/>
                  </w:tcBorders>
                  <w:shd w:val="clear" w:color="auto" w:fill="auto"/>
                  <w:noWrap/>
                  <w:vAlign w:val="center"/>
                </w:tcPr>
                <w:p w14:paraId="5B93B1DE">
                  <w:pPr>
                    <w:autoSpaceDE w:val="0"/>
                    <w:autoSpaceDN w:val="0"/>
                    <w:spacing w:line="240" w:lineRule="exact"/>
                    <w:jc w:val="center"/>
                    <w:rPr>
                      <w:rFonts w:hint="default" w:ascii="Times New Roman" w:hAnsi="Times New Roman" w:eastAsia="宋体" w:cs="Times New Roman"/>
                      <w:color w:val="auto"/>
                      <w:kern w:val="0"/>
                      <w:szCs w:val="21"/>
                      <w:highlight w:val="none"/>
                      <w:u w:val="none"/>
                    </w:rPr>
                  </w:pPr>
                  <w:r>
                    <w:rPr>
                      <w:rFonts w:hint="default" w:ascii="Times New Roman" w:hAnsi="Times New Roman" w:eastAsia="宋体" w:cs="Times New Roman"/>
                      <w:color w:val="auto"/>
                      <w:kern w:val="0"/>
                      <w:szCs w:val="21"/>
                      <w:highlight w:val="none"/>
                      <w:u w:val="none"/>
                      <w:lang w:val="en-US" w:eastAsia="zh-CN"/>
                    </w:rPr>
                    <w:t>符合</w:t>
                  </w:r>
                </w:p>
              </w:tc>
            </w:tr>
            <w:tr w14:paraId="47FB4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906" w:type="dxa"/>
                  <w:tcBorders>
                    <w:tl2br w:val="nil"/>
                    <w:tr2bl w:val="nil"/>
                  </w:tcBorders>
                  <w:shd w:val="clear" w:color="auto" w:fill="auto"/>
                  <w:noWrap/>
                  <w:vAlign w:val="center"/>
                </w:tcPr>
                <w:p w14:paraId="331ED72C">
                  <w:pPr>
                    <w:autoSpaceDE w:val="0"/>
                    <w:autoSpaceDN w:val="0"/>
                    <w:spacing w:line="240" w:lineRule="exact"/>
                    <w:jc w:val="center"/>
                    <w:rPr>
                      <w:rFonts w:hint="default" w:ascii="Times New Roman" w:hAnsi="Times New Roman" w:eastAsia="宋体" w:cs="Times New Roman"/>
                      <w:color w:val="auto"/>
                      <w:kern w:val="0"/>
                      <w:szCs w:val="21"/>
                      <w:u w:val="none"/>
                    </w:rPr>
                  </w:pPr>
                  <w:r>
                    <w:rPr>
                      <w:rFonts w:hint="default" w:ascii="Times New Roman" w:hAnsi="Times New Roman" w:eastAsia="宋体" w:cs="Times New Roman"/>
                      <w:color w:val="auto"/>
                      <w:kern w:val="0"/>
                      <w:szCs w:val="21"/>
                      <w:u w:val="none"/>
                      <w:lang w:val="en-US" w:eastAsia="zh-CN"/>
                    </w:rPr>
                    <w:t>2</w:t>
                  </w:r>
                </w:p>
              </w:tc>
              <w:tc>
                <w:tcPr>
                  <w:tcW w:w="2662" w:type="dxa"/>
                  <w:tcBorders>
                    <w:tl2br w:val="nil"/>
                    <w:tr2bl w:val="nil"/>
                  </w:tcBorders>
                  <w:shd w:val="clear" w:color="auto" w:fill="auto"/>
                  <w:noWrap/>
                  <w:vAlign w:val="center"/>
                </w:tcPr>
                <w:p w14:paraId="6F06F846">
                  <w:pPr>
                    <w:autoSpaceDE w:val="0"/>
                    <w:autoSpaceDN w:val="0"/>
                    <w:spacing w:line="240" w:lineRule="exact"/>
                    <w:jc w:val="center"/>
                    <w:rPr>
                      <w:rFonts w:hint="default" w:ascii="Times New Roman" w:hAnsi="Times New Roman" w:eastAsia="宋体" w:cs="Times New Roman"/>
                      <w:color w:val="auto"/>
                      <w:kern w:val="0"/>
                      <w:szCs w:val="21"/>
                      <w:u w:val="none"/>
                    </w:rPr>
                  </w:pPr>
                  <w:r>
                    <w:rPr>
                      <w:rFonts w:hint="default" w:ascii="Times New Roman" w:hAnsi="Times New Roman" w:eastAsia="宋体" w:cs="Times New Roman"/>
                      <w:color w:val="auto"/>
                      <w:kern w:val="0"/>
                      <w:szCs w:val="21"/>
                      <w:u w:val="none"/>
                      <w:lang w:val="en-US" w:eastAsia="zh-CN"/>
                    </w:rPr>
                    <w:t>园区雨污分流全覆盖，生产生活废水应收尽收，不得引进高盐、难生化、重金属废水项目</w:t>
                  </w:r>
                </w:p>
              </w:tc>
              <w:tc>
                <w:tcPr>
                  <w:tcW w:w="2292" w:type="dxa"/>
                  <w:tcBorders>
                    <w:tl2br w:val="nil"/>
                    <w:tr2bl w:val="nil"/>
                  </w:tcBorders>
                  <w:shd w:val="clear" w:color="auto" w:fill="auto"/>
                  <w:noWrap/>
                  <w:vAlign w:val="center"/>
                </w:tcPr>
                <w:p w14:paraId="49A374FB">
                  <w:pPr>
                    <w:autoSpaceDE w:val="0"/>
                    <w:autoSpaceDN w:val="0"/>
                    <w:spacing w:line="240" w:lineRule="exact"/>
                    <w:jc w:val="center"/>
                    <w:rPr>
                      <w:rFonts w:hint="default" w:ascii="Times New Roman" w:hAnsi="Times New Roman" w:eastAsia="宋体" w:cs="Times New Roman"/>
                      <w:color w:val="auto"/>
                      <w:kern w:val="0"/>
                      <w:szCs w:val="21"/>
                      <w:u w:val="none"/>
                    </w:rPr>
                  </w:pPr>
                  <w:r>
                    <w:rPr>
                      <w:rFonts w:hint="default" w:ascii="Times New Roman" w:hAnsi="Times New Roman" w:eastAsia="宋体" w:cs="Times New Roman"/>
                      <w:color w:val="auto"/>
                      <w:kern w:val="0"/>
                      <w:szCs w:val="21"/>
                      <w:u w:val="none"/>
                      <w:lang w:val="en-US" w:eastAsia="zh-CN"/>
                    </w:rPr>
                    <w:t>项目无重金属、高盐废水，</w:t>
                  </w:r>
                  <w:r>
                    <w:rPr>
                      <w:rFonts w:hint="default" w:ascii="Times New Roman" w:hAnsi="Times New Roman" w:cs="Times New Roman"/>
                      <w:bCs/>
                      <w:color w:val="auto"/>
                      <w:u w:val="none"/>
                    </w:rPr>
                    <w:t>无生产废水排放</w:t>
                  </w:r>
                  <w:r>
                    <w:rPr>
                      <w:rFonts w:hint="default" w:cs="Times New Roman"/>
                      <w:color w:val="auto"/>
                      <w:kern w:val="0"/>
                      <w:szCs w:val="21"/>
                      <w:u w:val="none"/>
                      <w:lang w:val="en-US" w:eastAsia="zh-CN"/>
                    </w:rPr>
                    <w:t>；</w:t>
                  </w:r>
                  <w:r>
                    <w:rPr>
                      <w:rFonts w:hint="default" w:ascii="Times New Roman" w:hAnsi="Times New Roman" w:eastAsia="宋体" w:cs="Times New Roman"/>
                      <w:color w:val="auto"/>
                      <w:kern w:val="0"/>
                      <w:szCs w:val="21"/>
                      <w:u w:val="none"/>
                      <w:lang w:val="en-US" w:eastAsia="zh-CN"/>
                    </w:rPr>
                    <w:t>生活污水，易生化，全部接入园区污水厂</w:t>
                  </w:r>
                </w:p>
              </w:tc>
              <w:tc>
                <w:tcPr>
                  <w:tcW w:w="1278" w:type="dxa"/>
                  <w:tcBorders>
                    <w:tl2br w:val="nil"/>
                    <w:tr2bl w:val="nil"/>
                  </w:tcBorders>
                  <w:shd w:val="clear" w:color="auto" w:fill="auto"/>
                  <w:noWrap/>
                  <w:vAlign w:val="center"/>
                </w:tcPr>
                <w:p w14:paraId="7FCB316B">
                  <w:pPr>
                    <w:autoSpaceDE w:val="0"/>
                    <w:autoSpaceDN w:val="0"/>
                    <w:spacing w:line="240" w:lineRule="exact"/>
                    <w:jc w:val="center"/>
                    <w:rPr>
                      <w:rFonts w:hint="default" w:ascii="Times New Roman" w:hAnsi="Times New Roman" w:eastAsia="宋体" w:cs="Times New Roman"/>
                      <w:color w:val="auto"/>
                      <w:kern w:val="0"/>
                      <w:szCs w:val="21"/>
                      <w:u w:val="none"/>
                    </w:rPr>
                  </w:pPr>
                  <w:r>
                    <w:rPr>
                      <w:rFonts w:hint="default" w:ascii="Times New Roman" w:hAnsi="Times New Roman" w:eastAsia="宋体" w:cs="Times New Roman"/>
                      <w:color w:val="auto"/>
                      <w:kern w:val="0"/>
                      <w:szCs w:val="21"/>
                      <w:u w:val="none"/>
                      <w:lang w:val="en-US" w:eastAsia="zh-CN"/>
                    </w:rPr>
                    <w:t>符合</w:t>
                  </w:r>
                </w:p>
              </w:tc>
            </w:tr>
            <w:tr w14:paraId="2A21A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906" w:type="dxa"/>
                  <w:tcBorders>
                    <w:tl2br w:val="nil"/>
                    <w:tr2bl w:val="nil"/>
                  </w:tcBorders>
                  <w:shd w:val="clear" w:color="auto" w:fill="auto"/>
                  <w:noWrap/>
                  <w:vAlign w:val="center"/>
                </w:tcPr>
                <w:p w14:paraId="711771DE">
                  <w:pPr>
                    <w:autoSpaceDE w:val="0"/>
                    <w:autoSpaceDN w:val="0"/>
                    <w:spacing w:line="240" w:lineRule="exact"/>
                    <w:jc w:val="center"/>
                    <w:rPr>
                      <w:rFonts w:hint="default" w:ascii="Times New Roman" w:hAnsi="Times New Roman" w:eastAsia="宋体" w:cs="Times New Roman"/>
                      <w:color w:val="auto"/>
                      <w:kern w:val="0"/>
                      <w:szCs w:val="21"/>
                      <w:u w:val="none"/>
                    </w:rPr>
                  </w:pPr>
                  <w:r>
                    <w:rPr>
                      <w:rFonts w:hint="default" w:ascii="Times New Roman" w:hAnsi="Times New Roman" w:eastAsia="宋体" w:cs="Times New Roman"/>
                      <w:color w:val="auto"/>
                      <w:kern w:val="0"/>
                      <w:szCs w:val="21"/>
                      <w:u w:val="none"/>
                      <w:lang w:val="en-US" w:eastAsia="zh-CN"/>
                    </w:rPr>
                    <w:t>3</w:t>
                  </w:r>
                </w:p>
              </w:tc>
              <w:tc>
                <w:tcPr>
                  <w:tcW w:w="2662" w:type="dxa"/>
                  <w:tcBorders>
                    <w:tl2br w:val="nil"/>
                    <w:tr2bl w:val="nil"/>
                  </w:tcBorders>
                  <w:shd w:val="clear" w:color="auto" w:fill="auto"/>
                  <w:noWrap/>
                  <w:vAlign w:val="center"/>
                </w:tcPr>
                <w:p w14:paraId="7CAD5CA4">
                  <w:pPr>
                    <w:autoSpaceDE w:val="0"/>
                    <w:autoSpaceDN w:val="0"/>
                    <w:spacing w:line="240" w:lineRule="exact"/>
                    <w:jc w:val="center"/>
                    <w:rPr>
                      <w:rFonts w:hint="default" w:ascii="Times New Roman" w:hAnsi="Times New Roman" w:eastAsia="宋体" w:cs="Times New Roman"/>
                      <w:color w:val="auto"/>
                      <w:kern w:val="0"/>
                      <w:szCs w:val="21"/>
                      <w:u w:val="none"/>
                    </w:rPr>
                  </w:pPr>
                  <w:r>
                    <w:rPr>
                      <w:rFonts w:hint="default" w:ascii="Times New Roman" w:hAnsi="Times New Roman" w:eastAsia="宋体" w:cs="Times New Roman"/>
                      <w:color w:val="auto"/>
                      <w:kern w:val="0"/>
                      <w:szCs w:val="21"/>
                      <w:u w:val="none"/>
                      <w:lang w:val="en-US" w:eastAsia="zh-CN"/>
                    </w:rPr>
                    <w:t>VOCs企业落实源头替代、过程密闭、高效末端治理，严控无组织废气；严禁光催化、光解、低温等离子低效治理设施</w:t>
                  </w:r>
                </w:p>
              </w:tc>
              <w:tc>
                <w:tcPr>
                  <w:tcW w:w="2292" w:type="dxa"/>
                  <w:tcBorders>
                    <w:tl2br w:val="nil"/>
                    <w:tr2bl w:val="nil"/>
                  </w:tcBorders>
                  <w:shd w:val="clear" w:color="auto" w:fill="auto"/>
                  <w:noWrap/>
                  <w:vAlign w:val="center"/>
                </w:tcPr>
                <w:p w14:paraId="269603E4">
                  <w:pPr>
                    <w:autoSpaceDE w:val="0"/>
                    <w:autoSpaceDN w:val="0"/>
                    <w:spacing w:line="240" w:lineRule="exact"/>
                    <w:jc w:val="center"/>
                    <w:rPr>
                      <w:rFonts w:hint="default" w:ascii="Times New Roman" w:hAnsi="Times New Roman" w:eastAsia="宋体" w:cs="Times New Roman"/>
                      <w:color w:val="auto"/>
                      <w:kern w:val="0"/>
                      <w:szCs w:val="21"/>
                      <w:u w:val="none"/>
                    </w:rPr>
                  </w:pPr>
                  <w:r>
                    <w:rPr>
                      <w:rFonts w:hint="default" w:ascii="Times New Roman" w:hAnsi="Times New Roman" w:eastAsia="宋体" w:cs="Times New Roman"/>
                      <w:color w:val="auto"/>
                      <w:kern w:val="0"/>
                      <w:szCs w:val="21"/>
                      <w:u w:val="none"/>
                      <w:lang w:val="en-US" w:eastAsia="zh-CN"/>
                    </w:rPr>
                    <w:t>原料低VOC石蜡油，混料、注塑全密闭；废气采用二级活性炭高效治理，不使用低效治理设备</w:t>
                  </w:r>
                </w:p>
              </w:tc>
              <w:tc>
                <w:tcPr>
                  <w:tcW w:w="1278" w:type="dxa"/>
                  <w:tcBorders>
                    <w:tl2br w:val="nil"/>
                    <w:tr2bl w:val="nil"/>
                  </w:tcBorders>
                  <w:shd w:val="clear" w:color="auto" w:fill="auto"/>
                  <w:noWrap/>
                  <w:vAlign w:val="center"/>
                </w:tcPr>
                <w:p w14:paraId="43421260">
                  <w:pPr>
                    <w:autoSpaceDE w:val="0"/>
                    <w:autoSpaceDN w:val="0"/>
                    <w:spacing w:line="240" w:lineRule="exact"/>
                    <w:jc w:val="center"/>
                    <w:rPr>
                      <w:rFonts w:hint="default" w:ascii="Times New Roman" w:hAnsi="Times New Roman" w:eastAsia="宋体" w:cs="Times New Roman"/>
                      <w:color w:val="auto"/>
                      <w:kern w:val="0"/>
                      <w:szCs w:val="21"/>
                      <w:u w:val="none"/>
                    </w:rPr>
                  </w:pPr>
                  <w:r>
                    <w:rPr>
                      <w:rFonts w:hint="default" w:ascii="Times New Roman" w:hAnsi="Times New Roman" w:eastAsia="宋体" w:cs="Times New Roman"/>
                      <w:color w:val="auto"/>
                      <w:kern w:val="0"/>
                      <w:szCs w:val="21"/>
                      <w:u w:val="none"/>
                      <w:lang w:val="en-US" w:eastAsia="zh-CN"/>
                    </w:rPr>
                    <w:t>符合</w:t>
                  </w:r>
                </w:p>
              </w:tc>
            </w:tr>
            <w:tr w14:paraId="04D91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906" w:type="dxa"/>
                  <w:tcBorders>
                    <w:tl2br w:val="nil"/>
                    <w:tr2bl w:val="nil"/>
                  </w:tcBorders>
                  <w:shd w:val="clear" w:color="auto" w:fill="auto"/>
                  <w:noWrap/>
                  <w:vAlign w:val="center"/>
                </w:tcPr>
                <w:p w14:paraId="6336A3FA">
                  <w:pPr>
                    <w:autoSpaceDE w:val="0"/>
                    <w:autoSpaceDN w:val="0"/>
                    <w:spacing w:line="240" w:lineRule="exact"/>
                    <w:jc w:val="center"/>
                    <w:rPr>
                      <w:rFonts w:hint="default" w:ascii="Times New Roman" w:hAnsi="Times New Roman" w:eastAsia="宋体" w:cs="Times New Roman"/>
                      <w:color w:val="auto"/>
                      <w:kern w:val="0"/>
                      <w:szCs w:val="21"/>
                      <w:u w:val="none"/>
                    </w:rPr>
                  </w:pPr>
                  <w:r>
                    <w:rPr>
                      <w:rFonts w:hint="default" w:ascii="Times New Roman" w:hAnsi="Times New Roman" w:eastAsia="宋体" w:cs="Times New Roman"/>
                      <w:color w:val="auto"/>
                      <w:kern w:val="0"/>
                      <w:szCs w:val="21"/>
                      <w:u w:val="none"/>
                      <w:lang w:val="en-US" w:eastAsia="zh-CN"/>
                    </w:rPr>
                    <w:t>4</w:t>
                  </w:r>
                </w:p>
              </w:tc>
              <w:tc>
                <w:tcPr>
                  <w:tcW w:w="2662" w:type="dxa"/>
                  <w:tcBorders>
                    <w:tl2br w:val="nil"/>
                    <w:tr2bl w:val="nil"/>
                  </w:tcBorders>
                  <w:shd w:val="clear" w:color="auto" w:fill="auto"/>
                  <w:noWrap/>
                  <w:vAlign w:val="center"/>
                </w:tcPr>
                <w:p w14:paraId="4A23169E">
                  <w:pPr>
                    <w:autoSpaceDE w:val="0"/>
                    <w:autoSpaceDN w:val="0"/>
                    <w:spacing w:line="240" w:lineRule="exact"/>
                    <w:jc w:val="center"/>
                    <w:rPr>
                      <w:rFonts w:hint="default" w:ascii="Times New Roman" w:hAnsi="Times New Roman" w:eastAsia="宋体" w:cs="Times New Roman"/>
                      <w:color w:val="auto"/>
                      <w:kern w:val="0"/>
                      <w:szCs w:val="21"/>
                      <w:u w:val="none"/>
                    </w:rPr>
                  </w:pPr>
                  <w:r>
                    <w:rPr>
                      <w:rFonts w:hint="default" w:ascii="Times New Roman" w:hAnsi="Times New Roman" w:eastAsia="宋体" w:cs="Times New Roman"/>
                      <w:color w:val="auto"/>
                      <w:kern w:val="0"/>
                      <w:szCs w:val="21"/>
                      <w:u w:val="none"/>
                      <w:lang w:val="en-US" w:eastAsia="zh-CN"/>
                    </w:rPr>
                    <w:t>规范危废贮存，严格执行GB18597标准，完善危废台账、转运管理</w:t>
                  </w:r>
                </w:p>
              </w:tc>
              <w:tc>
                <w:tcPr>
                  <w:tcW w:w="2292" w:type="dxa"/>
                  <w:tcBorders>
                    <w:tl2br w:val="nil"/>
                    <w:tr2bl w:val="nil"/>
                  </w:tcBorders>
                  <w:shd w:val="clear" w:color="auto" w:fill="auto"/>
                  <w:noWrap/>
                  <w:vAlign w:val="center"/>
                </w:tcPr>
                <w:p w14:paraId="781748F7">
                  <w:pPr>
                    <w:autoSpaceDE w:val="0"/>
                    <w:autoSpaceDN w:val="0"/>
                    <w:spacing w:line="240" w:lineRule="exact"/>
                    <w:jc w:val="center"/>
                    <w:rPr>
                      <w:rFonts w:hint="default" w:ascii="Times New Roman" w:hAnsi="Times New Roman" w:eastAsia="宋体" w:cs="Times New Roman"/>
                      <w:color w:val="auto"/>
                      <w:kern w:val="0"/>
                      <w:szCs w:val="21"/>
                      <w:u w:val="none"/>
                    </w:rPr>
                  </w:pPr>
                  <w:r>
                    <w:rPr>
                      <w:rFonts w:hint="default" w:ascii="Times New Roman" w:hAnsi="Times New Roman" w:eastAsia="宋体" w:cs="Times New Roman"/>
                      <w:color w:val="auto"/>
                      <w:kern w:val="0"/>
                      <w:szCs w:val="21"/>
                      <w:u w:val="none"/>
                      <w:lang w:val="en-US" w:eastAsia="zh-CN"/>
                    </w:rPr>
                    <w:t>危废暂存间防渗、防雨、收集废液沟，分区存放，建立完整危废产生、贮存、转运台账</w:t>
                  </w:r>
                </w:p>
              </w:tc>
              <w:tc>
                <w:tcPr>
                  <w:tcW w:w="1278" w:type="dxa"/>
                  <w:tcBorders>
                    <w:tl2br w:val="nil"/>
                    <w:tr2bl w:val="nil"/>
                  </w:tcBorders>
                  <w:shd w:val="clear" w:color="auto" w:fill="auto"/>
                  <w:noWrap/>
                  <w:vAlign w:val="center"/>
                </w:tcPr>
                <w:p w14:paraId="162DDADD">
                  <w:pPr>
                    <w:autoSpaceDE w:val="0"/>
                    <w:autoSpaceDN w:val="0"/>
                    <w:spacing w:line="240" w:lineRule="exact"/>
                    <w:jc w:val="center"/>
                    <w:rPr>
                      <w:rFonts w:hint="default" w:ascii="Times New Roman" w:hAnsi="Times New Roman" w:eastAsia="宋体" w:cs="Times New Roman"/>
                      <w:color w:val="auto"/>
                      <w:kern w:val="0"/>
                      <w:szCs w:val="21"/>
                      <w:u w:val="none"/>
                    </w:rPr>
                  </w:pPr>
                  <w:r>
                    <w:rPr>
                      <w:rFonts w:hint="default" w:ascii="Times New Roman" w:hAnsi="Times New Roman" w:eastAsia="宋体" w:cs="Times New Roman"/>
                      <w:color w:val="auto"/>
                      <w:kern w:val="0"/>
                      <w:szCs w:val="21"/>
                      <w:u w:val="none"/>
                      <w:lang w:val="en-US" w:eastAsia="zh-CN"/>
                    </w:rPr>
                    <w:t>符合</w:t>
                  </w:r>
                </w:p>
              </w:tc>
            </w:tr>
            <w:tr w14:paraId="4CA62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906" w:type="dxa"/>
                  <w:tcBorders>
                    <w:tl2br w:val="nil"/>
                    <w:tr2bl w:val="nil"/>
                  </w:tcBorders>
                  <w:shd w:val="clear" w:color="auto" w:fill="auto"/>
                  <w:noWrap/>
                  <w:vAlign w:val="center"/>
                </w:tcPr>
                <w:p w14:paraId="700A3B6C">
                  <w:pPr>
                    <w:autoSpaceDE w:val="0"/>
                    <w:autoSpaceDN w:val="0"/>
                    <w:spacing w:line="240" w:lineRule="exact"/>
                    <w:jc w:val="center"/>
                    <w:rPr>
                      <w:rFonts w:hint="default" w:ascii="Times New Roman" w:hAnsi="Times New Roman" w:eastAsia="宋体" w:cs="Times New Roman"/>
                      <w:color w:val="auto"/>
                      <w:kern w:val="0"/>
                      <w:szCs w:val="21"/>
                      <w:u w:val="none"/>
                    </w:rPr>
                  </w:pPr>
                  <w:r>
                    <w:rPr>
                      <w:rFonts w:hint="default" w:ascii="Times New Roman" w:hAnsi="Times New Roman" w:eastAsia="宋体" w:cs="Times New Roman"/>
                      <w:color w:val="auto"/>
                      <w:kern w:val="0"/>
                      <w:szCs w:val="21"/>
                      <w:u w:val="none"/>
                      <w:lang w:val="en-US" w:eastAsia="zh-CN"/>
                    </w:rPr>
                    <w:t>5</w:t>
                  </w:r>
                </w:p>
              </w:tc>
              <w:tc>
                <w:tcPr>
                  <w:tcW w:w="2662" w:type="dxa"/>
                  <w:tcBorders>
                    <w:tl2br w:val="nil"/>
                    <w:tr2bl w:val="nil"/>
                  </w:tcBorders>
                  <w:shd w:val="clear" w:color="auto" w:fill="auto"/>
                  <w:noWrap/>
                  <w:vAlign w:val="center"/>
                </w:tcPr>
                <w:p w14:paraId="0BF4C72F">
                  <w:pPr>
                    <w:autoSpaceDE w:val="0"/>
                    <w:autoSpaceDN w:val="0"/>
                    <w:spacing w:line="240" w:lineRule="exact"/>
                    <w:jc w:val="center"/>
                    <w:rPr>
                      <w:rFonts w:hint="default" w:ascii="Times New Roman" w:hAnsi="Times New Roman" w:eastAsia="宋体" w:cs="Times New Roman"/>
                      <w:color w:val="auto"/>
                      <w:kern w:val="0"/>
                      <w:szCs w:val="21"/>
                      <w:u w:val="none"/>
                    </w:rPr>
                  </w:pPr>
                  <w:r>
                    <w:rPr>
                      <w:rFonts w:hint="default" w:ascii="Times New Roman" w:hAnsi="Times New Roman" w:eastAsia="宋体" w:cs="Times New Roman"/>
                      <w:color w:val="auto"/>
                      <w:kern w:val="0"/>
                      <w:szCs w:val="21"/>
                      <w:u w:val="none"/>
                      <w:lang w:val="en-US" w:eastAsia="zh-CN"/>
                    </w:rPr>
                    <w:t>定期开展土壤、地下水隐患排查，落实土壤污染防控要求</w:t>
                  </w:r>
                </w:p>
              </w:tc>
              <w:tc>
                <w:tcPr>
                  <w:tcW w:w="2292" w:type="dxa"/>
                  <w:tcBorders>
                    <w:tl2br w:val="nil"/>
                    <w:tr2bl w:val="nil"/>
                  </w:tcBorders>
                  <w:shd w:val="clear" w:color="auto" w:fill="auto"/>
                  <w:noWrap/>
                  <w:vAlign w:val="center"/>
                </w:tcPr>
                <w:p w14:paraId="341CC4E1">
                  <w:pPr>
                    <w:autoSpaceDE w:val="0"/>
                    <w:autoSpaceDN w:val="0"/>
                    <w:spacing w:line="240" w:lineRule="exact"/>
                    <w:jc w:val="center"/>
                    <w:rPr>
                      <w:rFonts w:hint="default" w:ascii="Times New Roman" w:hAnsi="Times New Roman" w:eastAsia="宋体" w:cs="Times New Roman"/>
                      <w:color w:val="auto"/>
                      <w:kern w:val="0"/>
                      <w:szCs w:val="21"/>
                      <w:u w:val="none"/>
                    </w:rPr>
                  </w:pPr>
                  <w:r>
                    <w:rPr>
                      <w:rFonts w:hint="default" w:ascii="Times New Roman" w:hAnsi="Times New Roman" w:eastAsia="宋体" w:cs="Times New Roman"/>
                      <w:color w:val="auto"/>
                      <w:kern w:val="0"/>
                      <w:szCs w:val="21"/>
                      <w:u w:val="none"/>
                      <w:lang w:val="en-US" w:eastAsia="zh-CN"/>
                    </w:rPr>
                    <w:t>厂区地面防渗，无跑冒滴漏风险；企业按要求定期开展土壤地下水隐患自查</w:t>
                  </w:r>
                </w:p>
              </w:tc>
              <w:tc>
                <w:tcPr>
                  <w:tcW w:w="1278" w:type="dxa"/>
                  <w:tcBorders>
                    <w:tl2br w:val="nil"/>
                    <w:tr2bl w:val="nil"/>
                  </w:tcBorders>
                  <w:shd w:val="clear" w:color="auto" w:fill="auto"/>
                  <w:noWrap/>
                  <w:vAlign w:val="center"/>
                </w:tcPr>
                <w:p w14:paraId="25E4961F">
                  <w:pPr>
                    <w:autoSpaceDE w:val="0"/>
                    <w:autoSpaceDN w:val="0"/>
                    <w:spacing w:line="240" w:lineRule="exact"/>
                    <w:jc w:val="center"/>
                    <w:rPr>
                      <w:rFonts w:hint="default" w:ascii="Times New Roman" w:hAnsi="Times New Roman" w:eastAsia="宋体" w:cs="Times New Roman"/>
                      <w:color w:val="auto"/>
                      <w:kern w:val="0"/>
                      <w:szCs w:val="21"/>
                      <w:u w:val="none"/>
                    </w:rPr>
                  </w:pPr>
                  <w:r>
                    <w:rPr>
                      <w:rFonts w:hint="default" w:ascii="Times New Roman" w:hAnsi="Times New Roman" w:eastAsia="宋体" w:cs="Times New Roman"/>
                      <w:color w:val="auto"/>
                      <w:kern w:val="0"/>
                      <w:szCs w:val="21"/>
                      <w:u w:val="none"/>
                      <w:lang w:val="en-US" w:eastAsia="zh-CN"/>
                    </w:rPr>
                    <w:t>符合</w:t>
                  </w:r>
                </w:p>
              </w:tc>
            </w:tr>
            <w:tr w14:paraId="1893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906" w:type="dxa"/>
                  <w:tcBorders>
                    <w:tl2br w:val="nil"/>
                    <w:tr2bl w:val="nil"/>
                  </w:tcBorders>
                  <w:shd w:val="clear" w:color="auto" w:fill="auto"/>
                  <w:noWrap/>
                  <w:vAlign w:val="center"/>
                </w:tcPr>
                <w:p w14:paraId="76873A9B">
                  <w:pPr>
                    <w:autoSpaceDE w:val="0"/>
                    <w:autoSpaceDN w:val="0"/>
                    <w:spacing w:line="240" w:lineRule="exact"/>
                    <w:jc w:val="center"/>
                    <w:rPr>
                      <w:rFonts w:hint="default" w:ascii="Times New Roman" w:hAnsi="Times New Roman" w:eastAsia="宋体" w:cs="Times New Roman"/>
                      <w:color w:val="auto"/>
                      <w:kern w:val="0"/>
                      <w:szCs w:val="21"/>
                      <w:u w:val="none"/>
                    </w:rPr>
                  </w:pPr>
                  <w:r>
                    <w:rPr>
                      <w:rFonts w:hint="default" w:ascii="Times New Roman" w:hAnsi="Times New Roman" w:eastAsia="宋体" w:cs="Times New Roman"/>
                      <w:color w:val="auto"/>
                      <w:kern w:val="0"/>
                      <w:szCs w:val="21"/>
                      <w:u w:val="none"/>
                      <w:lang w:val="en-US" w:eastAsia="zh-CN"/>
                    </w:rPr>
                    <w:t>6</w:t>
                  </w:r>
                </w:p>
              </w:tc>
              <w:tc>
                <w:tcPr>
                  <w:tcW w:w="2662" w:type="dxa"/>
                  <w:tcBorders>
                    <w:tl2br w:val="nil"/>
                    <w:tr2bl w:val="nil"/>
                  </w:tcBorders>
                  <w:shd w:val="clear" w:color="auto" w:fill="auto"/>
                  <w:noWrap/>
                  <w:vAlign w:val="center"/>
                </w:tcPr>
                <w:p w14:paraId="0A20D365">
                  <w:pPr>
                    <w:autoSpaceDE w:val="0"/>
                    <w:autoSpaceDN w:val="0"/>
                    <w:spacing w:line="240" w:lineRule="exact"/>
                    <w:jc w:val="center"/>
                    <w:rPr>
                      <w:rFonts w:hint="default" w:ascii="Times New Roman" w:hAnsi="Times New Roman" w:eastAsia="宋体" w:cs="Times New Roman"/>
                      <w:color w:val="auto"/>
                      <w:kern w:val="0"/>
                      <w:szCs w:val="21"/>
                      <w:u w:val="none"/>
                    </w:rPr>
                  </w:pPr>
                  <w:r>
                    <w:rPr>
                      <w:rFonts w:hint="default" w:ascii="Times New Roman" w:hAnsi="Times New Roman" w:eastAsia="宋体" w:cs="Times New Roman"/>
                      <w:color w:val="auto"/>
                      <w:kern w:val="0"/>
                      <w:szCs w:val="21"/>
                      <w:u w:val="none"/>
                      <w:lang w:val="en-US" w:eastAsia="zh-CN"/>
                    </w:rPr>
                    <w:t>完善园区环境风险防控，配套应急事故池、管网巡查，健全企业应急机制</w:t>
                  </w:r>
                </w:p>
              </w:tc>
              <w:tc>
                <w:tcPr>
                  <w:tcW w:w="2292" w:type="dxa"/>
                  <w:tcBorders>
                    <w:tl2br w:val="nil"/>
                    <w:tr2bl w:val="nil"/>
                  </w:tcBorders>
                  <w:shd w:val="clear" w:color="auto" w:fill="auto"/>
                  <w:noWrap/>
                  <w:vAlign w:val="center"/>
                </w:tcPr>
                <w:p w14:paraId="10EE1D30">
                  <w:pPr>
                    <w:autoSpaceDE w:val="0"/>
                    <w:autoSpaceDN w:val="0"/>
                    <w:spacing w:line="240" w:lineRule="exact"/>
                    <w:jc w:val="center"/>
                    <w:rPr>
                      <w:rFonts w:hint="default" w:ascii="Times New Roman" w:hAnsi="Times New Roman" w:eastAsia="宋体" w:cs="Times New Roman"/>
                      <w:color w:val="auto"/>
                      <w:kern w:val="0"/>
                      <w:szCs w:val="21"/>
                      <w:u w:val="none"/>
                    </w:rPr>
                  </w:pPr>
                  <w:r>
                    <w:rPr>
                      <w:rFonts w:hint="default" w:ascii="Times New Roman" w:hAnsi="Times New Roman" w:eastAsia="宋体" w:cs="Times New Roman"/>
                      <w:color w:val="auto"/>
                      <w:kern w:val="0"/>
                      <w:szCs w:val="21"/>
                      <w:u w:val="none"/>
                      <w:lang w:val="en-US" w:eastAsia="zh-CN"/>
                    </w:rPr>
                    <w:t>厂区设置应急收集沟、应急桶，编制专项应急预案，定期演练</w:t>
                  </w:r>
                </w:p>
              </w:tc>
              <w:tc>
                <w:tcPr>
                  <w:tcW w:w="1278" w:type="dxa"/>
                  <w:tcBorders>
                    <w:tl2br w:val="nil"/>
                    <w:tr2bl w:val="nil"/>
                  </w:tcBorders>
                  <w:shd w:val="clear" w:color="auto" w:fill="auto"/>
                  <w:noWrap/>
                  <w:vAlign w:val="center"/>
                </w:tcPr>
                <w:p w14:paraId="24831FCD">
                  <w:pPr>
                    <w:autoSpaceDE w:val="0"/>
                    <w:autoSpaceDN w:val="0"/>
                    <w:spacing w:line="240" w:lineRule="exact"/>
                    <w:jc w:val="center"/>
                    <w:rPr>
                      <w:rFonts w:hint="default" w:ascii="Times New Roman" w:hAnsi="Times New Roman" w:eastAsia="宋体" w:cs="Times New Roman"/>
                      <w:color w:val="auto"/>
                      <w:kern w:val="0"/>
                      <w:szCs w:val="21"/>
                      <w:u w:val="none"/>
                    </w:rPr>
                  </w:pPr>
                  <w:r>
                    <w:rPr>
                      <w:rFonts w:hint="default" w:ascii="Times New Roman" w:hAnsi="Times New Roman" w:eastAsia="宋体" w:cs="Times New Roman"/>
                      <w:color w:val="auto"/>
                      <w:kern w:val="0"/>
                      <w:szCs w:val="21"/>
                      <w:u w:val="none"/>
                      <w:lang w:val="en-US" w:eastAsia="zh-CN"/>
                    </w:rPr>
                    <w:t>符合</w:t>
                  </w:r>
                </w:p>
              </w:tc>
            </w:tr>
            <w:tr w14:paraId="16CB7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906" w:type="dxa"/>
                  <w:tcBorders>
                    <w:tl2br w:val="nil"/>
                    <w:tr2bl w:val="nil"/>
                  </w:tcBorders>
                  <w:shd w:val="clear" w:color="auto" w:fill="auto"/>
                  <w:noWrap/>
                  <w:vAlign w:val="center"/>
                </w:tcPr>
                <w:p w14:paraId="258669A0">
                  <w:pPr>
                    <w:autoSpaceDE w:val="0"/>
                    <w:autoSpaceDN w:val="0"/>
                    <w:spacing w:line="240" w:lineRule="exact"/>
                    <w:jc w:val="center"/>
                    <w:rPr>
                      <w:rFonts w:hint="default" w:ascii="Times New Roman" w:hAnsi="Times New Roman" w:eastAsia="宋体" w:cs="Times New Roman"/>
                      <w:color w:val="auto"/>
                      <w:kern w:val="0"/>
                      <w:szCs w:val="21"/>
                      <w:u w:val="none"/>
                    </w:rPr>
                  </w:pPr>
                  <w:r>
                    <w:rPr>
                      <w:rFonts w:hint="default" w:ascii="Times New Roman" w:hAnsi="Times New Roman" w:eastAsia="宋体" w:cs="Times New Roman"/>
                      <w:color w:val="auto"/>
                      <w:kern w:val="0"/>
                      <w:szCs w:val="21"/>
                      <w:u w:val="none"/>
                      <w:lang w:val="en-US" w:eastAsia="zh-CN"/>
                    </w:rPr>
                    <w:t>7</w:t>
                  </w:r>
                </w:p>
              </w:tc>
              <w:tc>
                <w:tcPr>
                  <w:tcW w:w="2662" w:type="dxa"/>
                  <w:tcBorders>
                    <w:tl2br w:val="nil"/>
                    <w:tr2bl w:val="nil"/>
                  </w:tcBorders>
                  <w:shd w:val="clear" w:color="auto" w:fill="auto"/>
                  <w:noWrap/>
                  <w:vAlign w:val="center"/>
                </w:tcPr>
                <w:p w14:paraId="4FC2F9D6">
                  <w:pPr>
                    <w:autoSpaceDE w:val="0"/>
                    <w:autoSpaceDN w:val="0"/>
                    <w:spacing w:line="240" w:lineRule="exact"/>
                    <w:jc w:val="center"/>
                    <w:rPr>
                      <w:rFonts w:hint="default" w:ascii="Times New Roman" w:hAnsi="Times New Roman" w:eastAsia="宋体" w:cs="Times New Roman"/>
                      <w:color w:val="auto"/>
                      <w:kern w:val="0"/>
                      <w:szCs w:val="21"/>
                      <w:u w:val="none"/>
                    </w:rPr>
                  </w:pPr>
                  <w:r>
                    <w:rPr>
                      <w:rFonts w:hint="default" w:ascii="Times New Roman" w:hAnsi="Times New Roman" w:eastAsia="宋体" w:cs="Times New Roman"/>
                      <w:color w:val="auto"/>
                      <w:kern w:val="0"/>
                      <w:szCs w:val="21"/>
                      <w:u w:val="none"/>
                      <w:lang w:val="en-US" w:eastAsia="zh-CN"/>
                    </w:rPr>
                    <w:t>重点排污企业落实自行监测、信息公开制度</w:t>
                  </w:r>
                </w:p>
              </w:tc>
              <w:tc>
                <w:tcPr>
                  <w:tcW w:w="2292" w:type="dxa"/>
                  <w:tcBorders>
                    <w:tl2br w:val="nil"/>
                    <w:tr2bl w:val="nil"/>
                  </w:tcBorders>
                  <w:shd w:val="clear" w:color="auto" w:fill="auto"/>
                  <w:noWrap/>
                  <w:vAlign w:val="center"/>
                </w:tcPr>
                <w:p w14:paraId="71388CB8">
                  <w:pPr>
                    <w:autoSpaceDE w:val="0"/>
                    <w:autoSpaceDN w:val="0"/>
                    <w:spacing w:line="240" w:lineRule="exact"/>
                    <w:jc w:val="center"/>
                    <w:rPr>
                      <w:rFonts w:hint="default" w:ascii="Times New Roman" w:hAnsi="Times New Roman" w:eastAsia="宋体" w:cs="Times New Roman"/>
                      <w:color w:val="auto"/>
                      <w:kern w:val="0"/>
                      <w:szCs w:val="21"/>
                      <w:u w:val="none"/>
                    </w:rPr>
                  </w:pPr>
                  <w:r>
                    <w:rPr>
                      <w:rFonts w:hint="default" w:ascii="Times New Roman" w:hAnsi="Times New Roman" w:eastAsia="宋体" w:cs="Times New Roman"/>
                      <w:color w:val="auto"/>
                      <w:kern w:val="0"/>
                      <w:szCs w:val="21"/>
                      <w:u w:val="none"/>
                      <w:lang w:val="en-US" w:eastAsia="zh-CN"/>
                    </w:rPr>
                    <w:t>项目按排污许可要求开展废气、废水自行监测，公示监测数据</w:t>
                  </w:r>
                </w:p>
              </w:tc>
              <w:tc>
                <w:tcPr>
                  <w:tcW w:w="1278" w:type="dxa"/>
                  <w:tcBorders>
                    <w:tl2br w:val="nil"/>
                    <w:tr2bl w:val="nil"/>
                  </w:tcBorders>
                  <w:shd w:val="clear" w:color="auto" w:fill="auto"/>
                  <w:noWrap/>
                  <w:vAlign w:val="center"/>
                </w:tcPr>
                <w:p w14:paraId="5A5E3712">
                  <w:pPr>
                    <w:autoSpaceDE w:val="0"/>
                    <w:autoSpaceDN w:val="0"/>
                    <w:spacing w:line="240" w:lineRule="exact"/>
                    <w:jc w:val="center"/>
                    <w:rPr>
                      <w:rFonts w:hint="default" w:ascii="Times New Roman" w:hAnsi="Times New Roman" w:eastAsia="宋体" w:cs="Times New Roman"/>
                      <w:color w:val="auto"/>
                      <w:kern w:val="0"/>
                      <w:szCs w:val="21"/>
                      <w:u w:val="none"/>
                    </w:rPr>
                  </w:pPr>
                  <w:r>
                    <w:rPr>
                      <w:rFonts w:hint="default" w:ascii="Times New Roman" w:hAnsi="Times New Roman" w:eastAsia="宋体" w:cs="Times New Roman"/>
                      <w:color w:val="auto"/>
                      <w:kern w:val="0"/>
                      <w:szCs w:val="21"/>
                      <w:u w:val="none"/>
                      <w:lang w:val="en-US" w:eastAsia="zh-CN"/>
                    </w:rPr>
                    <w:t>符合</w:t>
                  </w:r>
                </w:p>
              </w:tc>
            </w:tr>
            <w:tr w14:paraId="65C29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906" w:type="dxa"/>
                  <w:tcBorders>
                    <w:tl2br w:val="nil"/>
                    <w:tr2bl w:val="nil"/>
                  </w:tcBorders>
                  <w:shd w:val="clear" w:color="auto" w:fill="auto"/>
                  <w:noWrap/>
                  <w:vAlign w:val="center"/>
                </w:tcPr>
                <w:p w14:paraId="1AAB30B4">
                  <w:pPr>
                    <w:autoSpaceDE w:val="0"/>
                    <w:autoSpaceDN w:val="0"/>
                    <w:spacing w:line="240" w:lineRule="exact"/>
                    <w:jc w:val="center"/>
                    <w:rPr>
                      <w:rFonts w:hint="default" w:ascii="Times New Roman" w:hAnsi="Times New Roman" w:eastAsia="宋体" w:cs="Times New Roman"/>
                      <w:color w:val="auto"/>
                      <w:kern w:val="0"/>
                      <w:szCs w:val="21"/>
                      <w:u w:val="none"/>
                    </w:rPr>
                  </w:pPr>
                  <w:r>
                    <w:rPr>
                      <w:rFonts w:hint="default" w:ascii="Times New Roman" w:hAnsi="Times New Roman" w:eastAsia="宋体" w:cs="Times New Roman"/>
                      <w:color w:val="auto"/>
                      <w:kern w:val="0"/>
                      <w:szCs w:val="21"/>
                      <w:u w:val="none"/>
                      <w:lang w:val="en-US" w:eastAsia="zh-CN"/>
                    </w:rPr>
                    <w:t>8</w:t>
                  </w:r>
                </w:p>
              </w:tc>
              <w:tc>
                <w:tcPr>
                  <w:tcW w:w="2662" w:type="dxa"/>
                  <w:tcBorders>
                    <w:tl2br w:val="nil"/>
                    <w:tr2bl w:val="nil"/>
                  </w:tcBorders>
                  <w:shd w:val="clear" w:color="auto" w:fill="auto"/>
                  <w:noWrap/>
                  <w:vAlign w:val="center"/>
                </w:tcPr>
                <w:p w14:paraId="0646EF0B">
                  <w:pPr>
                    <w:autoSpaceDE w:val="0"/>
                    <w:autoSpaceDN w:val="0"/>
                    <w:spacing w:line="240" w:lineRule="exact"/>
                    <w:jc w:val="center"/>
                    <w:rPr>
                      <w:rFonts w:hint="default" w:ascii="Times New Roman" w:hAnsi="Times New Roman" w:eastAsia="宋体" w:cs="Times New Roman"/>
                      <w:color w:val="auto"/>
                      <w:kern w:val="0"/>
                      <w:szCs w:val="21"/>
                      <w:u w:val="none"/>
                    </w:rPr>
                  </w:pPr>
                  <w:r>
                    <w:rPr>
                      <w:rFonts w:hint="default" w:ascii="Times New Roman" w:hAnsi="Times New Roman" w:eastAsia="宋体" w:cs="Times New Roman"/>
                      <w:color w:val="auto"/>
                      <w:kern w:val="0"/>
                      <w:szCs w:val="21"/>
                      <w:u w:val="none"/>
                      <w:lang w:val="en-US" w:eastAsia="zh-CN"/>
                    </w:rPr>
                    <w:t>严控无组织粉尘：投料、破碎密闭，厂区道路洒水抑尘</w:t>
                  </w:r>
                </w:p>
              </w:tc>
              <w:tc>
                <w:tcPr>
                  <w:tcW w:w="2292" w:type="dxa"/>
                  <w:tcBorders>
                    <w:tl2br w:val="nil"/>
                    <w:tr2bl w:val="nil"/>
                  </w:tcBorders>
                  <w:shd w:val="clear" w:color="auto" w:fill="auto"/>
                  <w:noWrap/>
                  <w:vAlign w:val="center"/>
                </w:tcPr>
                <w:p w14:paraId="5C1A68F1">
                  <w:pPr>
                    <w:autoSpaceDE w:val="0"/>
                    <w:autoSpaceDN w:val="0"/>
                    <w:spacing w:line="240" w:lineRule="exact"/>
                    <w:jc w:val="center"/>
                    <w:rPr>
                      <w:rFonts w:hint="default" w:ascii="Times New Roman" w:hAnsi="Times New Roman" w:eastAsia="宋体" w:cs="Times New Roman"/>
                      <w:color w:val="auto"/>
                      <w:kern w:val="0"/>
                      <w:szCs w:val="21"/>
                      <w:u w:val="none"/>
                    </w:rPr>
                  </w:pPr>
                  <w:r>
                    <w:rPr>
                      <w:rFonts w:hint="default" w:ascii="Times New Roman" w:hAnsi="Times New Roman" w:eastAsia="宋体" w:cs="Times New Roman"/>
                      <w:color w:val="auto"/>
                      <w:kern w:val="0"/>
                      <w:szCs w:val="21"/>
                      <w:u w:val="none"/>
                      <w:lang w:val="en-US" w:eastAsia="zh-CN"/>
                    </w:rPr>
                    <w:t>粉料投料密闭操作，粉碎机全封闭；厂区道路定期清扫洒水</w:t>
                  </w:r>
                </w:p>
              </w:tc>
              <w:tc>
                <w:tcPr>
                  <w:tcW w:w="1278" w:type="dxa"/>
                  <w:tcBorders>
                    <w:tl2br w:val="nil"/>
                    <w:tr2bl w:val="nil"/>
                  </w:tcBorders>
                  <w:shd w:val="clear" w:color="auto" w:fill="auto"/>
                  <w:noWrap/>
                  <w:vAlign w:val="center"/>
                </w:tcPr>
                <w:p w14:paraId="6B27CB24">
                  <w:pPr>
                    <w:autoSpaceDE w:val="0"/>
                    <w:autoSpaceDN w:val="0"/>
                    <w:spacing w:line="240" w:lineRule="exact"/>
                    <w:jc w:val="center"/>
                    <w:rPr>
                      <w:rFonts w:hint="default" w:ascii="Times New Roman" w:hAnsi="Times New Roman" w:eastAsia="宋体" w:cs="Times New Roman"/>
                      <w:color w:val="auto"/>
                      <w:kern w:val="0"/>
                      <w:szCs w:val="21"/>
                      <w:u w:val="none"/>
                    </w:rPr>
                  </w:pPr>
                  <w:r>
                    <w:rPr>
                      <w:rFonts w:hint="default" w:ascii="Times New Roman" w:hAnsi="Times New Roman" w:eastAsia="宋体" w:cs="Times New Roman"/>
                      <w:color w:val="auto"/>
                      <w:kern w:val="0"/>
                      <w:szCs w:val="21"/>
                      <w:u w:val="none"/>
                      <w:lang w:val="en-US" w:eastAsia="zh-CN"/>
                    </w:rPr>
                    <w:t>符合</w:t>
                  </w:r>
                </w:p>
              </w:tc>
            </w:tr>
          </w:tbl>
          <w:p w14:paraId="73A6FB35">
            <w:pPr>
              <w:pStyle w:val="37"/>
              <w:ind w:left="0" w:leftChars="0" w:firstLine="0" w:firstLineChars="0"/>
              <w:rPr>
                <w:rFonts w:hint="default" w:ascii="Times New Roman" w:hAnsi="Times New Roman" w:cs="Times New Roman"/>
              </w:rPr>
            </w:pPr>
          </w:p>
        </w:tc>
      </w:tr>
      <w:tr w14:paraId="588EAE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36" w:type="pct"/>
            <w:vAlign w:val="center"/>
          </w:tcPr>
          <w:p w14:paraId="5EE2B6C1">
            <w:pPr>
              <w:autoSpaceDE w:val="0"/>
              <w:autoSpaceDN w:val="0"/>
              <w:adjustRightInd w:val="0"/>
              <w:snapToGrid w:val="0"/>
              <w:jc w:val="center"/>
              <w:rPr>
                <w:rFonts w:hint="default" w:ascii="Times New Roman" w:hAnsi="Times New Roman" w:cs="Times New Roman"/>
                <w:color w:val="auto"/>
                <w:kern w:val="0"/>
                <w:sz w:val="24"/>
                <w:u w:val="none"/>
              </w:rPr>
            </w:pPr>
            <w:r>
              <w:rPr>
                <w:rFonts w:hint="default" w:ascii="Times New Roman" w:hAnsi="Times New Roman" w:cs="Times New Roman"/>
                <w:color w:val="auto"/>
                <w:kern w:val="0"/>
                <w:sz w:val="24"/>
                <w:u w:val="none"/>
              </w:rPr>
              <w:t>其他符合性分析</w:t>
            </w:r>
          </w:p>
        </w:tc>
        <w:tc>
          <w:tcPr>
            <w:tcW w:w="4263" w:type="pct"/>
            <w:gridSpan w:val="3"/>
            <w:vAlign w:val="center"/>
          </w:tcPr>
          <w:p w14:paraId="0C1D6409">
            <w:pPr>
              <w:widowControl/>
              <w:spacing w:line="520" w:lineRule="exact"/>
              <w:ind w:firstLine="482" w:firstLineChars="200"/>
              <w:rPr>
                <w:rFonts w:hint="default" w:ascii="Times New Roman" w:hAnsi="Times New Roman" w:cs="Times New Roman"/>
                <w:color w:val="auto"/>
                <w:kern w:val="0"/>
                <w:sz w:val="24"/>
                <w:u w:val="none"/>
                <w:lang w:bidi="ar"/>
              </w:rPr>
            </w:pPr>
            <w:r>
              <w:rPr>
                <w:rFonts w:hint="default" w:ascii="Times New Roman" w:hAnsi="Times New Roman" w:cs="Times New Roman"/>
                <w:b/>
                <w:bCs/>
                <w:color w:val="auto"/>
                <w:kern w:val="0"/>
                <w:sz w:val="24"/>
                <w:u w:val="none"/>
                <w:lang w:bidi="ar"/>
              </w:rPr>
              <w:t>（一）产业政策符合性分析</w:t>
            </w:r>
          </w:p>
          <w:p w14:paraId="45AEBD6F">
            <w:pPr>
              <w:widowControl/>
              <w:spacing w:line="520" w:lineRule="exact"/>
              <w:ind w:firstLine="452" w:firstLineChars="200"/>
              <w:rPr>
                <w:rFonts w:hint="default" w:ascii="Times New Roman" w:hAnsi="Times New Roman" w:cs="Times New Roman"/>
                <w:color w:val="auto"/>
                <w:u w:val="none"/>
              </w:rPr>
            </w:pPr>
            <w:r>
              <w:rPr>
                <w:rFonts w:hint="default" w:ascii="Times New Roman" w:hAnsi="Times New Roman" w:cs="Times New Roman"/>
                <w:spacing w:val="-7"/>
                <w:sz w:val="24"/>
              </w:rPr>
              <w:t>本项目行业类别为</w:t>
            </w:r>
            <w:r>
              <w:rPr>
                <w:rFonts w:hint="default" w:ascii="Times New Roman" w:hAnsi="Times New Roman" w:eastAsia="Times New Roman" w:cs="Times New Roman"/>
                <w:sz w:val="24"/>
              </w:rPr>
              <w:t>C2929</w:t>
            </w:r>
            <w:r>
              <w:rPr>
                <w:rFonts w:hint="default" w:ascii="Times New Roman" w:hAnsi="Times New Roman" w:cs="Times New Roman"/>
                <w:spacing w:val="-2"/>
                <w:sz w:val="24"/>
              </w:rPr>
              <w:t>塑料零件及其他</w:t>
            </w:r>
            <w:r>
              <w:rPr>
                <w:rFonts w:hint="default" w:ascii="Times New Roman" w:hAnsi="Times New Roman" w:cs="Times New Roman"/>
                <w:spacing w:val="-8"/>
                <w:sz w:val="24"/>
              </w:rPr>
              <w:t>塑料制品制造</w:t>
            </w:r>
            <w:r>
              <w:rPr>
                <w:rFonts w:hint="default" w:cs="Times New Roman"/>
                <w:spacing w:val="-8"/>
                <w:sz w:val="24"/>
                <w:lang w:eastAsia="zh-CN"/>
              </w:rPr>
              <w:t>，</w:t>
            </w:r>
            <w:r>
              <w:rPr>
                <w:rFonts w:hint="default" w:ascii="Times New Roman" w:hAnsi="Times New Roman" w:eastAsia="宋体" w:cs="Times New Roman"/>
                <w:sz w:val="24"/>
                <w:szCs w:val="24"/>
              </w:rPr>
              <w:t>对照《产业结构调整指导目录（2024年本）》（2024年2月1日实施）进行核查，本项目生产内容、生产设备及生产工艺均未列入限制类、淘汰类条目，符合国家现行产业政策相关要求</w:t>
            </w:r>
            <w:r>
              <w:rPr>
                <w:rFonts w:hint="default" w:ascii="Times New Roman" w:hAnsi="Times New Roman" w:cs="Times New Roman"/>
                <w:color w:val="auto"/>
                <w:kern w:val="0"/>
                <w:sz w:val="24"/>
                <w:u w:val="none"/>
                <w:lang w:bidi="ar"/>
              </w:rPr>
              <w:t>。</w:t>
            </w:r>
          </w:p>
          <w:p w14:paraId="1F983EE3">
            <w:pPr>
              <w:widowControl/>
              <w:spacing w:line="520" w:lineRule="exact"/>
              <w:ind w:firstLine="482" w:firstLineChars="200"/>
              <w:rPr>
                <w:rFonts w:hint="default" w:ascii="Times New Roman" w:hAnsi="Times New Roman" w:cs="Times New Roman"/>
                <w:b/>
                <w:bCs/>
                <w:color w:val="auto"/>
                <w:kern w:val="0"/>
                <w:sz w:val="24"/>
                <w:u w:val="none"/>
                <w:lang w:bidi="ar"/>
              </w:rPr>
            </w:pPr>
            <w:r>
              <w:rPr>
                <w:rFonts w:hint="default" w:ascii="Times New Roman" w:hAnsi="Times New Roman" w:cs="Times New Roman"/>
                <w:b/>
                <w:bCs/>
                <w:color w:val="auto"/>
                <w:kern w:val="0"/>
                <w:sz w:val="24"/>
                <w:u w:val="none"/>
                <w:lang w:bidi="ar"/>
              </w:rPr>
              <w:t>（二）与《长江经济带发展负面清单指南》（试行，2022版）的符合性分析</w:t>
            </w:r>
          </w:p>
          <w:p w14:paraId="09B559C2">
            <w:pPr>
              <w:widowControl/>
              <w:spacing w:line="360" w:lineRule="auto"/>
              <w:ind w:firstLine="480" w:firstLineChars="200"/>
              <w:rPr>
                <w:rFonts w:hint="default" w:ascii="Times New Roman" w:hAnsi="Times New Roman" w:cs="Times New Roman"/>
                <w:color w:val="auto"/>
                <w:sz w:val="24"/>
                <w:u w:val="none"/>
              </w:rPr>
            </w:pPr>
            <w:r>
              <w:rPr>
                <w:rFonts w:hint="default" w:ascii="Times New Roman" w:hAnsi="Times New Roman" w:cs="Times New Roman"/>
                <w:color w:val="auto"/>
                <w:sz w:val="24"/>
                <w:u w:val="none"/>
              </w:rPr>
              <w:t>项目与《长江经济带发展负面清单指南》（试行，</w:t>
            </w:r>
            <w:r>
              <w:rPr>
                <w:rFonts w:hint="default" w:ascii="Times New Roman" w:hAnsi="Times New Roman" w:eastAsia="Times New Roman" w:cs="Times New Roman"/>
                <w:color w:val="auto"/>
                <w:sz w:val="24"/>
                <w:u w:val="none"/>
              </w:rPr>
              <w:t>2022</w:t>
            </w:r>
            <w:r>
              <w:rPr>
                <w:rFonts w:hint="default" w:ascii="Times New Roman" w:hAnsi="Times New Roman" w:cs="Times New Roman"/>
                <w:color w:val="auto"/>
                <w:sz w:val="24"/>
                <w:u w:val="none"/>
              </w:rPr>
              <w:t>版）中禁止项目的符合性分析见表</w:t>
            </w:r>
            <w:r>
              <w:rPr>
                <w:rFonts w:hint="default" w:ascii="Times New Roman" w:hAnsi="Times New Roman" w:eastAsia="Times New Roman" w:cs="Times New Roman"/>
                <w:color w:val="auto"/>
                <w:sz w:val="24"/>
                <w:u w:val="none"/>
              </w:rPr>
              <w:t>1-4</w:t>
            </w:r>
            <w:r>
              <w:rPr>
                <w:rFonts w:hint="default" w:ascii="Times New Roman" w:hAnsi="Times New Roman" w:cs="Times New Roman"/>
                <w:color w:val="auto"/>
                <w:sz w:val="24"/>
                <w:u w:val="none"/>
              </w:rPr>
              <w:t>。</w:t>
            </w:r>
          </w:p>
          <w:p w14:paraId="18BF54D6">
            <w:pPr>
              <w:pStyle w:val="48"/>
              <w:rPr>
                <w:rFonts w:hint="default" w:ascii="Times New Roman" w:hAnsi="Times New Roman" w:cs="Times New Roman"/>
                <w:b/>
                <w:bCs/>
                <w:color w:val="auto"/>
                <w:sz w:val="21"/>
                <w:szCs w:val="21"/>
                <w:u w:val="none"/>
                <w:lang w:val="en-GB"/>
              </w:rPr>
            </w:pPr>
            <w:r>
              <w:rPr>
                <w:rFonts w:hint="default" w:ascii="Times New Roman" w:hAnsi="Times New Roman" w:cs="Times New Roman"/>
                <w:b/>
                <w:bCs/>
                <w:color w:val="auto"/>
                <w:spacing w:val="0"/>
                <w:sz w:val="21"/>
                <w:szCs w:val="21"/>
                <w:u w:val="none"/>
                <w:lang w:val="en-GB"/>
              </w:rPr>
              <w:t>表</w:t>
            </w:r>
            <w:r>
              <w:rPr>
                <w:rFonts w:hint="default" w:ascii="Times New Roman" w:hAnsi="Times New Roman" w:eastAsia="宋体" w:cs="Times New Roman"/>
                <w:b/>
                <w:bCs/>
                <w:color w:val="auto"/>
                <w:sz w:val="21"/>
                <w:szCs w:val="21"/>
                <w:u w:val="none"/>
                <w:lang w:val="en-GB"/>
              </w:rPr>
              <w:t>1</w:t>
            </w:r>
            <w:r>
              <w:rPr>
                <w:rFonts w:hint="default" w:ascii="Times New Roman" w:hAnsi="Times New Roman" w:eastAsia="宋体" w:cs="Times New Roman"/>
                <w:b/>
                <w:bCs/>
                <w:color w:val="auto"/>
                <w:sz w:val="21"/>
                <w:szCs w:val="21"/>
                <w:u w:val="none"/>
                <w:lang w:val="en-GB" w:eastAsia="zh-CN"/>
              </w:rPr>
              <w:t>-4</w:t>
            </w:r>
            <w:r>
              <w:rPr>
                <w:rFonts w:hint="default" w:ascii="Times New Roman" w:hAnsi="Times New Roman" w:eastAsia="宋体" w:cs="Times New Roman"/>
                <w:b/>
                <w:bCs/>
                <w:color w:val="auto"/>
                <w:sz w:val="21"/>
                <w:szCs w:val="21"/>
                <w:u w:val="none"/>
                <w:lang w:val="en-GB"/>
              </w:rPr>
              <w:t xml:space="preserve"> </w:t>
            </w:r>
            <w:r>
              <w:rPr>
                <w:rFonts w:hint="default" w:ascii="Times New Roman" w:hAnsi="Times New Roman" w:cs="Times New Roman"/>
                <w:b/>
                <w:bCs/>
                <w:color w:val="auto"/>
                <w:spacing w:val="0"/>
                <w:sz w:val="21"/>
                <w:szCs w:val="21"/>
                <w:u w:val="none"/>
                <w:lang w:val="en-GB"/>
              </w:rPr>
              <w:t>项目与《长江经济带发展负面清单指南》</w:t>
            </w:r>
            <w:r>
              <w:rPr>
                <w:rFonts w:hint="default" w:ascii="Times New Roman" w:hAnsi="Times New Roman" w:cs="Times New Roman"/>
                <w:b/>
                <w:bCs/>
                <w:color w:val="auto"/>
                <w:sz w:val="21"/>
                <w:szCs w:val="21"/>
                <w:u w:val="none"/>
                <w:lang w:val="en-GB"/>
              </w:rPr>
              <w:t>（试行，</w:t>
            </w:r>
            <w:r>
              <w:rPr>
                <w:rFonts w:hint="default" w:ascii="Times New Roman" w:hAnsi="Times New Roman" w:eastAsia="宋体" w:cs="Times New Roman"/>
                <w:b/>
                <w:bCs/>
                <w:color w:val="auto"/>
                <w:sz w:val="21"/>
                <w:szCs w:val="21"/>
                <w:u w:val="none"/>
                <w:lang w:val="en-GB"/>
              </w:rPr>
              <w:t>2022</w:t>
            </w:r>
            <w:r>
              <w:rPr>
                <w:rFonts w:hint="default" w:ascii="Times New Roman" w:hAnsi="Times New Roman" w:cs="Times New Roman"/>
                <w:b/>
                <w:bCs/>
                <w:color w:val="auto"/>
                <w:sz w:val="21"/>
                <w:szCs w:val="21"/>
                <w:u w:val="none"/>
                <w:lang w:val="en-GB"/>
              </w:rPr>
              <w:t>版）符合性对照表</w:t>
            </w:r>
          </w:p>
          <w:tbl>
            <w:tblPr>
              <w:tblStyle w:val="38"/>
              <w:tblW w:w="7289" w:type="dxa"/>
              <w:tblInd w:w="8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06"/>
              <w:gridCol w:w="3656"/>
              <w:gridCol w:w="34"/>
              <w:gridCol w:w="1724"/>
              <w:gridCol w:w="50"/>
              <w:gridCol w:w="1419"/>
            </w:tblGrid>
            <w:tr w14:paraId="3D9591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09" w:hRule="atLeast"/>
              </w:trPr>
              <w:tc>
                <w:tcPr>
                  <w:tcW w:w="406" w:type="dxa"/>
                  <w:tcBorders>
                    <w:top w:val="single" w:color="000000" w:sz="4" w:space="0"/>
                    <w:left w:val="single" w:color="000000" w:sz="4" w:space="0"/>
                    <w:bottom w:val="single" w:color="000000" w:sz="4" w:space="0"/>
                    <w:right w:val="single" w:color="000000" w:sz="4" w:space="0"/>
                  </w:tcBorders>
                  <w:vAlign w:val="center"/>
                </w:tcPr>
                <w:p w14:paraId="3D29AEA3">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编</w:t>
                  </w:r>
                </w:p>
                <w:p w14:paraId="44A5492C">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号</w:t>
                  </w:r>
                </w:p>
              </w:tc>
              <w:tc>
                <w:tcPr>
                  <w:tcW w:w="3656" w:type="dxa"/>
                  <w:tcBorders>
                    <w:top w:val="single" w:color="000000" w:sz="4" w:space="0"/>
                    <w:left w:val="single" w:color="000000" w:sz="4" w:space="0"/>
                    <w:bottom w:val="single" w:color="000000" w:sz="4" w:space="0"/>
                    <w:right w:val="single" w:color="000000" w:sz="4" w:space="0"/>
                  </w:tcBorders>
                  <w:vAlign w:val="center"/>
                </w:tcPr>
                <w:p w14:paraId="5291044B">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《长江经济带发展负面清单指南》（试行，2022版）（长江办〔2022〕7号）准入规定</w:t>
                  </w:r>
                </w:p>
              </w:tc>
              <w:tc>
                <w:tcPr>
                  <w:tcW w:w="1758" w:type="dxa"/>
                  <w:gridSpan w:val="2"/>
                  <w:tcBorders>
                    <w:top w:val="single" w:color="000000" w:sz="4" w:space="0"/>
                    <w:left w:val="single" w:color="000000" w:sz="4" w:space="0"/>
                    <w:bottom w:val="single" w:color="000000" w:sz="4" w:space="0"/>
                    <w:right w:val="single" w:color="000000" w:sz="4" w:space="0"/>
                  </w:tcBorders>
                  <w:vAlign w:val="center"/>
                </w:tcPr>
                <w:p w14:paraId="09613688">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建设项目相关情况</w:t>
                  </w:r>
                </w:p>
              </w:tc>
              <w:tc>
                <w:tcPr>
                  <w:tcW w:w="1469" w:type="dxa"/>
                  <w:gridSpan w:val="2"/>
                  <w:tcBorders>
                    <w:top w:val="single" w:color="000000" w:sz="4" w:space="0"/>
                    <w:left w:val="single" w:color="000000" w:sz="4" w:space="0"/>
                    <w:bottom w:val="single" w:color="000000" w:sz="4" w:space="0"/>
                    <w:right w:val="single" w:color="000000" w:sz="4" w:space="0"/>
                  </w:tcBorders>
                  <w:vAlign w:val="center"/>
                </w:tcPr>
                <w:p w14:paraId="7C9AE7C6">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项目符合性</w:t>
                  </w:r>
                </w:p>
              </w:tc>
            </w:tr>
            <w:tr w14:paraId="7C3A10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85" w:hRule="atLeast"/>
              </w:trPr>
              <w:tc>
                <w:tcPr>
                  <w:tcW w:w="406" w:type="dxa"/>
                  <w:tcBorders>
                    <w:top w:val="single" w:color="000000" w:sz="4" w:space="0"/>
                    <w:left w:val="single" w:color="000000" w:sz="4" w:space="0"/>
                    <w:bottom w:val="single" w:color="000000" w:sz="4" w:space="0"/>
                    <w:right w:val="single" w:color="000000" w:sz="4" w:space="0"/>
                  </w:tcBorders>
                  <w:vAlign w:val="center"/>
                </w:tcPr>
                <w:p w14:paraId="46BFAB50">
                  <w:pPr>
                    <w:autoSpaceDE w:val="0"/>
                    <w:autoSpaceDN w:val="0"/>
                    <w:spacing w:line="240" w:lineRule="exact"/>
                    <w:jc w:val="center"/>
                    <w:rPr>
                      <w:rFonts w:hint="default" w:ascii="Times New Roman" w:hAnsi="Times New Roman" w:cs="Times New Roman"/>
                      <w:color w:val="auto"/>
                      <w:kern w:val="0"/>
                      <w:szCs w:val="21"/>
                      <w:u w:val="none"/>
                    </w:rPr>
                  </w:pPr>
                </w:p>
                <w:p w14:paraId="4DCC4F36">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1</w:t>
                  </w:r>
                </w:p>
              </w:tc>
              <w:tc>
                <w:tcPr>
                  <w:tcW w:w="3656" w:type="dxa"/>
                  <w:tcBorders>
                    <w:top w:val="single" w:color="000000" w:sz="4" w:space="0"/>
                    <w:left w:val="single" w:color="000000" w:sz="4" w:space="0"/>
                    <w:bottom w:val="single" w:color="000000" w:sz="4" w:space="0"/>
                    <w:right w:val="single" w:color="000000" w:sz="4" w:space="0"/>
                  </w:tcBorders>
                  <w:vAlign w:val="center"/>
                </w:tcPr>
                <w:p w14:paraId="616C14B8">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1.禁止建设不符合全国和省级港口布局规划以及港口总体规划的码头项目，禁止建设不符合《长江干线过江通道布局规划》的过长江通道项目。</w:t>
                  </w:r>
                </w:p>
              </w:tc>
              <w:tc>
                <w:tcPr>
                  <w:tcW w:w="1758" w:type="dxa"/>
                  <w:gridSpan w:val="2"/>
                  <w:tcBorders>
                    <w:top w:val="single" w:color="000000" w:sz="4" w:space="0"/>
                    <w:left w:val="single" w:color="000000" w:sz="4" w:space="0"/>
                    <w:bottom w:val="single" w:color="000000" w:sz="4" w:space="0"/>
                    <w:right w:val="single" w:color="000000" w:sz="4" w:space="0"/>
                  </w:tcBorders>
                  <w:vAlign w:val="center"/>
                </w:tcPr>
                <w:p w14:paraId="7FDDB08C">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项目位于东安经济开发区，不属于码头项目也不属于长江通道项目。</w:t>
                  </w:r>
                </w:p>
              </w:tc>
              <w:tc>
                <w:tcPr>
                  <w:tcW w:w="1469" w:type="dxa"/>
                  <w:gridSpan w:val="2"/>
                  <w:tcBorders>
                    <w:top w:val="single" w:color="000000" w:sz="4" w:space="0"/>
                    <w:left w:val="single" w:color="000000" w:sz="4" w:space="0"/>
                    <w:bottom w:val="single" w:color="000000" w:sz="4" w:space="0"/>
                    <w:right w:val="single" w:color="000000" w:sz="4" w:space="0"/>
                  </w:tcBorders>
                  <w:vAlign w:val="center"/>
                </w:tcPr>
                <w:p w14:paraId="6ECCF0F6">
                  <w:pPr>
                    <w:autoSpaceDE w:val="0"/>
                    <w:autoSpaceDN w:val="0"/>
                    <w:spacing w:line="240" w:lineRule="exact"/>
                    <w:jc w:val="center"/>
                    <w:rPr>
                      <w:rFonts w:hint="default" w:ascii="Times New Roman" w:hAnsi="Times New Roman" w:cs="Times New Roman"/>
                      <w:color w:val="auto"/>
                      <w:kern w:val="0"/>
                      <w:szCs w:val="21"/>
                      <w:u w:val="none"/>
                    </w:rPr>
                  </w:pPr>
                </w:p>
                <w:p w14:paraId="3C814FF8">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符合</w:t>
                  </w:r>
                </w:p>
              </w:tc>
            </w:tr>
            <w:tr w14:paraId="5EC905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752" w:hRule="atLeast"/>
              </w:trPr>
              <w:tc>
                <w:tcPr>
                  <w:tcW w:w="406" w:type="dxa"/>
                  <w:tcBorders>
                    <w:top w:val="single" w:color="000000" w:sz="4" w:space="0"/>
                    <w:left w:val="single" w:color="000000" w:sz="4" w:space="0"/>
                    <w:bottom w:val="single" w:color="000000" w:sz="4" w:space="0"/>
                    <w:right w:val="single" w:color="000000" w:sz="4" w:space="0"/>
                  </w:tcBorders>
                  <w:vAlign w:val="center"/>
                </w:tcPr>
                <w:p w14:paraId="74768F73">
                  <w:pPr>
                    <w:autoSpaceDE w:val="0"/>
                    <w:autoSpaceDN w:val="0"/>
                    <w:spacing w:line="240" w:lineRule="exact"/>
                    <w:jc w:val="center"/>
                    <w:rPr>
                      <w:rFonts w:hint="default" w:ascii="Times New Roman" w:hAnsi="Times New Roman" w:cs="Times New Roman"/>
                      <w:color w:val="auto"/>
                      <w:kern w:val="0"/>
                      <w:szCs w:val="21"/>
                      <w:u w:val="none"/>
                    </w:rPr>
                  </w:pPr>
                </w:p>
                <w:p w14:paraId="0A899200">
                  <w:pPr>
                    <w:autoSpaceDE w:val="0"/>
                    <w:autoSpaceDN w:val="0"/>
                    <w:spacing w:line="240" w:lineRule="exact"/>
                    <w:jc w:val="center"/>
                    <w:rPr>
                      <w:rFonts w:hint="default" w:ascii="Times New Roman" w:hAnsi="Times New Roman" w:cs="Times New Roman"/>
                      <w:color w:val="auto"/>
                      <w:kern w:val="0"/>
                      <w:szCs w:val="21"/>
                      <w:u w:val="none"/>
                    </w:rPr>
                  </w:pPr>
                </w:p>
                <w:p w14:paraId="53343896">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2</w:t>
                  </w:r>
                </w:p>
              </w:tc>
              <w:tc>
                <w:tcPr>
                  <w:tcW w:w="3656" w:type="dxa"/>
                  <w:tcBorders>
                    <w:top w:val="single" w:color="000000" w:sz="4" w:space="0"/>
                    <w:left w:val="single" w:color="000000" w:sz="4" w:space="0"/>
                    <w:bottom w:val="single" w:color="000000" w:sz="4" w:space="0"/>
                    <w:right w:val="single" w:color="000000" w:sz="4" w:space="0"/>
                  </w:tcBorders>
                  <w:vAlign w:val="center"/>
                </w:tcPr>
                <w:p w14:paraId="481D0E4A">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2.禁止在自然保护区核心区、缓冲区的岸线和河段范围内投资建设旅游和生产经营项目。禁止在风景名胜区核心景区的岸线和河段范围内投资建设与风景名胜资源保护无关的项目。</w:t>
                  </w:r>
                </w:p>
              </w:tc>
              <w:tc>
                <w:tcPr>
                  <w:tcW w:w="1758" w:type="dxa"/>
                  <w:gridSpan w:val="2"/>
                  <w:tcBorders>
                    <w:top w:val="single" w:color="000000" w:sz="4" w:space="0"/>
                    <w:left w:val="single" w:color="000000" w:sz="4" w:space="0"/>
                    <w:bottom w:val="single" w:color="000000" w:sz="4" w:space="0"/>
                    <w:right w:val="single" w:color="000000" w:sz="4" w:space="0"/>
                  </w:tcBorders>
                  <w:vAlign w:val="center"/>
                </w:tcPr>
                <w:p w14:paraId="119FA154">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项目位于东安经济开发区，不涉及自然保护区核心区、缓冲区的岸线和河段范围。</w:t>
                  </w:r>
                </w:p>
              </w:tc>
              <w:tc>
                <w:tcPr>
                  <w:tcW w:w="1469" w:type="dxa"/>
                  <w:gridSpan w:val="2"/>
                  <w:tcBorders>
                    <w:top w:val="single" w:color="000000" w:sz="4" w:space="0"/>
                    <w:left w:val="single" w:color="000000" w:sz="4" w:space="0"/>
                    <w:bottom w:val="single" w:color="000000" w:sz="4" w:space="0"/>
                    <w:right w:val="single" w:color="000000" w:sz="4" w:space="0"/>
                  </w:tcBorders>
                  <w:vAlign w:val="center"/>
                </w:tcPr>
                <w:p w14:paraId="296C66C0">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符合</w:t>
                  </w:r>
                </w:p>
              </w:tc>
            </w:tr>
            <w:tr w14:paraId="288E10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72" w:hRule="atLeast"/>
              </w:trPr>
              <w:tc>
                <w:tcPr>
                  <w:tcW w:w="406" w:type="dxa"/>
                  <w:tcBorders>
                    <w:top w:val="single" w:color="000000" w:sz="4" w:space="0"/>
                    <w:left w:val="single" w:color="000000" w:sz="4" w:space="0"/>
                    <w:bottom w:val="single" w:color="000000" w:sz="4" w:space="0"/>
                    <w:right w:val="single" w:color="000000" w:sz="4" w:space="0"/>
                  </w:tcBorders>
                  <w:vAlign w:val="center"/>
                </w:tcPr>
                <w:p w14:paraId="3F66D4C7">
                  <w:pPr>
                    <w:autoSpaceDE w:val="0"/>
                    <w:autoSpaceDN w:val="0"/>
                    <w:spacing w:line="240" w:lineRule="exact"/>
                    <w:jc w:val="center"/>
                    <w:rPr>
                      <w:rFonts w:hint="default" w:ascii="Times New Roman" w:hAnsi="Times New Roman" w:cs="Times New Roman"/>
                      <w:color w:val="auto"/>
                      <w:kern w:val="0"/>
                      <w:szCs w:val="21"/>
                      <w:u w:val="none"/>
                    </w:rPr>
                  </w:pPr>
                </w:p>
                <w:p w14:paraId="69C3AAFA">
                  <w:pPr>
                    <w:autoSpaceDE w:val="0"/>
                    <w:autoSpaceDN w:val="0"/>
                    <w:spacing w:line="240" w:lineRule="exact"/>
                    <w:jc w:val="center"/>
                    <w:rPr>
                      <w:rFonts w:hint="default" w:ascii="Times New Roman" w:hAnsi="Times New Roman" w:cs="Times New Roman"/>
                      <w:color w:val="auto"/>
                      <w:kern w:val="0"/>
                      <w:szCs w:val="21"/>
                      <w:u w:val="none"/>
                    </w:rPr>
                  </w:pPr>
                </w:p>
                <w:p w14:paraId="5AFF3BFF">
                  <w:pPr>
                    <w:autoSpaceDE w:val="0"/>
                    <w:autoSpaceDN w:val="0"/>
                    <w:spacing w:line="240" w:lineRule="exact"/>
                    <w:jc w:val="center"/>
                    <w:rPr>
                      <w:rFonts w:hint="default" w:ascii="Times New Roman" w:hAnsi="Times New Roman" w:cs="Times New Roman"/>
                      <w:color w:val="auto"/>
                      <w:kern w:val="0"/>
                      <w:szCs w:val="21"/>
                      <w:u w:val="none"/>
                    </w:rPr>
                  </w:pPr>
                </w:p>
                <w:p w14:paraId="15B0AF4A">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3</w:t>
                  </w:r>
                </w:p>
              </w:tc>
              <w:tc>
                <w:tcPr>
                  <w:tcW w:w="3656" w:type="dxa"/>
                  <w:tcBorders>
                    <w:top w:val="single" w:color="000000" w:sz="4" w:space="0"/>
                    <w:left w:val="single" w:color="000000" w:sz="4" w:space="0"/>
                    <w:bottom w:val="single" w:color="000000" w:sz="4" w:space="0"/>
                    <w:right w:val="single" w:color="000000" w:sz="4" w:space="0"/>
                  </w:tcBorders>
                  <w:vAlign w:val="center"/>
                </w:tcPr>
                <w:p w14:paraId="4927FFB0">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3.禁止在饮用水水源一级保护区的岸线和河段范围内新建、改建、扩建与供水设施和保护水源无关的项目。以及网箱养殖、畜禽养殖、旅游等可能污染饮用水水体的投资建设项目。禁止在饮用水水源二级保护区的岸线和河段范围内新建、改建、扩建排放污染物的投资建设项目。</w:t>
                  </w:r>
                </w:p>
              </w:tc>
              <w:tc>
                <w:tcPr>
                  <w:tcW w:w="1758" w:type="dxa"/>
                  <w:gridSpan w:val="2"/>
                  <w:tcBorders>
                    <w:top w:val="single" w:color="000000" w:sz="4" w:space="0"/>
                    <w:left w:val="single" w:color="000000" w:sz="4" w:space="0"/>
                    <w:bottom w:val="single" w:color="000000" w:sz="4" w:space="0"/>
                    <w:right w:val="single" w:color="000000" w:sz="4" w:space="0"/>
                  </w:tcBorders>
                  <w:vAlign w:val="center"/>
                </w:tcPr>
                <w:p w14:paraId="33C11ED0">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项目位于东安经济开发区，不涉及饮用水水源保护区。</w:t>
                  </w:r>
                </w:p>
              </w:tc>
              <w:tc>
                <w:tcPr>
                  <w:tcW w:w="1469" w:type="dxa"/>
                  <w:gridSpan w:val="2"/>
                  <w:tcBorders>
                    <w:top w:val="single" w:color="000000" w:sz="4" w:space="0"/>
                    <w:left w:val="single" w:color="000000" w:sz="4" w:space="0"/>
                    <w:bottom w:val="single" w:color="000000" w:sz="4" w:space="0"/>
                    <w:right w:val="single" w:color="000000" w:sz="4" w:space="0"/>
                  </w:tcBorders>
                  <w:vAlign w:val="center"/>
                </w:tcPr>
                <w:p w14:paraId="56109ABF">
                  <w:pPr>
                    <w:autoSpaceDE w:val="0"/>
                    <w:autoSpaceDN w:val="0"/>
                    <w:spacing w:line="240" w:lineRule="exact"/>
                    <w:jc w:val="center"/>
                    <w:rPr>
                      <w:rFonts w:hint="default" w:ascii="Times New Roman" w:hAnsi="Times New Roman" w:cs="Times New Roman"/>
                      <w:color w:val="auto"/>
                      <w:kern w:val="0"/>
                      <w:szCs w:val="21"/>
                      <w:u w:val="none"/>
                    </w:rPr>
                  </w:pPr>
                </w:p>
                <w:p w14:paraId="4E7E08CA">
                  <w:pPr>
                    <w:autoSpaceDE w:val="0"/>
                    <w:autoSpaceDN w:val="0"/>
                    <w:spacing w:line="240" w:lineRule="exact"/>
                    <w:jc w:val="center"/>
                    <w:rPr>
                      <w:rFonts w:hint="default" w:ascii="Times New Roman" w:hAnsi="Times New Roman" w:cs="Times New Roman"/>
                      <w:color w:val="auto"/>
                      <w:kern w:val="0"/>
                      <w:szCs w:val="21"/>
                      <w:u w:val="none"/>
                    </w:rPr>
                  </w:pPr>
                </w:p>
                <w:p w14:paraId="025E1FE2">
                  <w:pPr>
                    <w:autoSpaceDE w:val="0"/>
                    <w:autoSpaceDN w:val="0"/>
                    <w:spacing w:line="240" w:lineRule="exact"/>
                    <w:jc w:val="center"/>
                    <w:rPr>
                      <w:rFonts w:hint="default" w:ascii="Times New Roman" w:hAnsi="Times New Roman" w:cs="Times New Roman"/>
                      <w:color w:val="auto"/>
                      <w:kern w:val="0"/>
                      <w:szCs w:val="21"/>
                      <w:u w:val="none"/>
                    </w:rPr>
                  </w:pPr>
                </w:p>
                <w:p w14:paraId="38C0F686">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符合</w:t>
                  </w:r>
                </w:p>
              </w:tc>
            </w:tr>
            <w:tr w14:paraId="6DBAA8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19" w:hRule="atLeast"/>
              </w:trPr>
              <w:tc>
                <w:tcPr>
                  <w:tcW w:w="406" w:type="dxa"/>
                  <w:tcBorders>
                    <w:top w:val="single" w:color="000000" w:sz="4" w:space="0"/>
                    <w:left w:val="single" w:color="000000" w:sz="4" w:space="0"/>
                    <w:bottom w:val="single" w:color="000000" w:sz="4" w:space="0"/>
                    <w:right w:val="single" w:color="000000" w:sz="4" w:space="0"/>
                  </w:tcBorders>
                  <w:vAlign w:val="center"/>
                </w:tcPr>
                <w:p w14:paraId="4714C22B">
                  <w:pPr>
                    <w:autoSpaceDE w:val="0"/>
                    <w:autoSpaceDN w:val="0"/>
                    <w:spacing w:line="240" w:lineRule="exact"/>
                    <w:jc w:val="center"/>
                    <w:rPr>
                      <w:rFonts w:hint="default" w:ascii="Times New Roman" w:hAnsi="Times New Roman" w:cs="Times New Roman"/>
                      <w:color w:val="auto"/>
                      <w:kern w:val="0"/>
                      <w:szCs w:val="21"/>
                      <w:u w:val="none"/>
                    </w:rPr>
                  </w:pPr>
                </w:p>
                <w:p w14:paraId="07DE8BDA">
                  <w:pPr>
                    <w:autoSpaceDE w:val="0"/>
                    <w:autoSpaceDN w:val="0"/>
                    <w:spacing w:line="240" w:lineRule="exact"/>
                    <w:jc w:val="center"/>
                    <w:rPr>
                      <w:rFonts w:hint="default" w:ascii="Times New Roman" w:hAnsi="Times New Roman" w:cs="Times New Roman"/>
                      <w:color w:val="auto"/>
                      <w:kern w:val="0"/>
                      <w:szCs w:val="21"/>
                      <w:u w:val="none"/>
                    </w:rPr>
                  </w:pPr>
                </w:p>
                <w:p w14:paraId="179C11C1">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4</w:t>
                  </w:r>
                </w:p>
              </w:tc>
              <w:tc>
                <w:tcPr>
                  <w:tcW w:w="3656" w:type="dxa"/>
                  <w:tcBorders>
                    <w:top w:val="single" w:color="000000" w:sz="4" w:space="0"/>
                    <w:left w:val="single" w:color="000000" w:sz="4" w:space="0"/>
                    <w:bottom w:val="single" w:color="000000" w:sz="4" w:space="0"/>
                    <w:right w:val="single" w:color="000000" w:sz="4" w:space="0"/>
                  </w:tcBorders>
                  <w:vAlign w:val="center"/>
                </w:tcPr>
                <w:p w14:paraId="24DA64C4">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4.禁止在水产种质资源保护区的岸线和河段范围内新建围湖造田、围海造地或围填海等投资建设项目。禁止在国家湿地公园的岸线和河段范围内挖沙、采矿，以及任何不符合主体功能定位的投资建设项目。</w:t>
                  </w:r>
                </w:p>
              </w:tc>
              <w:tc>
                <w:tcPr>
                  <w:tcW w:w="1758" w:type="dxa"/>
                  <w:gridSpan w:val="2"/>
                  <w:tcBorders>
                    <w:top w:val="single" w:color="000000" w:sz="4" w:space="0"/>
                    <w:left w:val="single" w:color="000000" w:sz="4" w:space="0"/>
                    <w:bottom w:val="single" w:color="000000" w:sz="4" w:space="0"/>
                    <w:right w:val="single" w:color="000000" w:sz="4" w:space="0"/>
                  </w:tcBorders>
                  <w:vAlign w:val="center"/>
                </w:tcPr>
                <w:p w14:paraId="06880BC4">
                  <w:pPr>
                    <w:autoSpaceDE w:val="0"/>
                    <w:autoSpaceDN w:val="0"/>
                    <w:spacing w:line="240" w:lineRule="exact"/>
                    <w:jc w:val="center"/>
                    <w:rPr>
                      <w:rFonts w:hint="default" w:ascii="Times New Roman" w:hAnsi="Times New Roman" w:cs="Times New Roman"/>
                      <w:color w:val="auto"/>
                      <w:kern w:val="0"/>
                      <w:szCs w:val="21"/>
                      <w:u w:val="none"/>
                    </w:rPr>
                  </w:pPr>
                </w:p>
                <w:p w14:paraId="105941DC">
                  <w:pPr>
                    <w:autoSpaceDE w:val="0"/>
                    <w:autoSpaceDN w:val="0"/>
                    <w:spacing w:line="240" w:lineRule="exact"/>
                    <w:jc w:val="center"/>
                    <w:rPr>
                      <w:rFonts w:hint="default" w:ascii="Times New Roman" w:hAnsi="Times New Roman" w:cs="Times New Roman"/>
                      <w:color w:val="auto"/>
                      <w:kern w:val="0"/>
                      <w:szCs w:val="21"/>
                      <w:u w:val="none"/>
                    </w:rPr>
                  </w:pPr>
                </w:p>
                <w:p w14:paraId="097344E2">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不涉及</w:t>
                  </w:r>
                </w:p>
              </w:tc>
              <w:tc>
                <w:tcPr>
                  <w:tcW w:w="1469" w:type="dxa"/>
                  <w:gridSpan w:val="2"/>
                  <w:tcBorders>
                    <w:top w:val="single" w:color="000000" w:sz="4" w:space="0"/>
                    <w:left w:val="single" w:color="000000" w:sz="4" w:space="0"/>
                    <w:bottom w:val="single" w:color="000000" w:sz="4" w:space="0"/>
                    <w:right w:val="single" w:color="000000" w:sz="4" w:space="0"/>
                  </w:tcBorders>
                  <w:vAlign w:val="center"/>
                </w:tcPr>
                <w:p w14:paraId="6CAD1478">
                  <w:pPr>
                    <w:autoSpaceDE w:val="0"/>
                    <w:autoSpaceDN w:val="0"/>
                    <w:spacing w:line="240" w:lineRule="exact"/>
                    <w:jc w:val="center"/>
                    <w:rPr>
                      <w:rFonts w:hint="default" w:ascii="Times New Roman" w:hAnsi="Times New Roman" w:cs="Times New Roman"/>
                      <w:color w:val="auto"/>
                      <w:kern w:val="0"/>
                      <w:szCs w:val="21"/>
                      <w:u w:val="none"/>
                    </w:rPr>
                  </w:pPr>
                </w:p>
                <w:p w14:paraId="4E8B098B">
                  <w:pPr>
                    <w:autoSpaceDE w:val="0"/>
                    <w:autoSpaceDN w:val="0"/>
                    <w:spacing w:line="240" w:lineRule="exact"/>
                    <w:jc w:val="center"/>
                    <w:rPr>
                      <w:rFonts w:hint="default" w:ascii="Times New Roman" w:hAnsi="Times New Roman" w:cs="Times New Roman"/>
                      <w:color w:val="auto"/>
                      <w:kern w:val="0"/>
                      <w:szCs w:val="21"/>
                      <w:u w:val="none"/>
                    </w:rPr>
                  </w:pPr>
                </w:p>
                <w:p w14:paraId="63EAFF59">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符合</w:t>
                  </w:r>
                </w:p>
              </w:tc>
            </w:tr>
            <w:tr w14:paraId="56580C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42" w:hRule="atLeast"/>
              </w:trPr>
              <w:tc>
                <w:tcPr>
                  <w:tcW w:w="406" w:type="dxa"/>
                  <w:tcBorders>
                    <w:top w:val="single" w:color="000000" w:sz="4" w:space="0"/>
                    <w:left w:val="single" w:color="000000" w:sz="4" w:space="0"/>
                    <w:bottom w:val="single" w:color="000000" w:sz="4" w:space="0"/>
                    <w:right w:val="single" w:color="000000" w:sz="4" w:space="0"/>
                  </w:tcBorders>
                  <w:vAlign w:val="center"/>
                </w:tcPr>
                <w:p w14:paraId="088A90D6">
                  <w:pPr>
                    <w:autoSpaceDE w:val="0"/>
                    <w:autoSpaceDN w:val="0"/>
                    <w:spacing w:line="240" w:lineRule="exact"/>
                    <w:jc w:val="center"/>
                    <w:rPr>
                      <w:rFonts w:hint="default" w:ascii="Times New Roman" w:hAnsi="Times New Roman" w:cs="Times New Roman"/>
                      <w:color w:val="auto"/>
                      <w:kern w:val="0"/>
                      <w:szCs w:val="21"/>
                      <w:u w:val="none"/>
                    </w:rPr>
                  </w:pPr>
                </w:p>
                <w:p w14:paraId="1F155703">
                  <w:pPr>
                    <w:autoSpaceDE w:val="0"/>
                    <w:autoSpaceDN w:val="0"/>
                    <w:spacing w:line="240" w:lineRule="exact"/>
                    <w:jc w:val="center"/>
                    <w:rPr>
                      <w:rFonts w:hint="default" w:ascii="Times New Roman" w:hAnsi="Times New Roman" w:cs="Times New Roman"/>
                      <w:color w:val="auto"/>
                      <w:kern w:val="0"/>
                      <w:szCs w:val="21"/>
                      <w:u w:val="none"/>
                    </w:rPr>
                  </w:pPr>
                </w:p>
                <w:p w14:paraId="293E363B">
                  <w:pPr>
                    <w:autoSpaceDE w:val="0"/>
                    <w:autoSpaceDN w:val="0"/>
                    <w:spacing w:line="240" w:lineRule="exact"/>
                    <w:jc w:val="center"/>
                    <w:rPr>
                      <w:rFonts w:hint="default" w:ascii="Times New Roman" w:hAnsi="Times New Roman" w:cs="Times New Roman"/>
                      <w:color w:val="auto"/>
                      <w:kern w:val="0"/>
                      <w:szCs w:val="21"/>
                      <w:u w:val="none"/>
                    </w:rPr>
                  </w:pPr>
                </w:p>
                <w:p w14:paraId="1FE71E39">
                  <w:pPr>
                    <w:autoSpaceDE w:val="0"/>
                    <w:autoSpaceDN w:val="0"/>
                    <w:spacing w:line="240" w:lineRule="exact"/>
                    <w:jc w:val="center"/>
                    <w:rPr>
                      <w:rFonts w:hint="default" w:ascii="Times New Roman" w:hAnsi="Times New Roman" w:cs="Times New Roman"/>
                      <w:color w:val="auto"/>
                      <w:kern w:val="0"/>
                      <w:szCs w:val="21"/>
                      <w:u w:val="none"/>
                    </w:rPr>
                  </w:pPr>
                </w:p>
                <w:p w14:paraId="6D9DD856">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5</w:t>
                  </w:r>
                </w:p>
              </w:tc>
              <w:tc>
                <w:tcPr>
                  <w:tcW w:w="3656" w:type="dxa"/>
                  <w:tcBorders>
                    <w:top w:val="single" w:color="000000" w:sz="4" w:space="0"/>
                    <w:left w:val="single" w:color="000000" w:sz="4" w:space="0"/>
                    <w:bottom w:val="single" w:color="000000" w:sz="4" w:space="0"/>
                    <w:right w:val="single" w:color="000000" w:sz="4" w:space="0"/>
                  </w:tcBorders>
                  <w:vAlign w:val="center"/>
                </w:tcPr>
                <w:p w14:paraId="6ADCC6E7">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5.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禁止在《全国重要江河湖泊水功能区划》划定的河段及湖泊保护区、保留区内投资建设不利于水资源及自然生态保护的项目。</w:t>
                  </w:r>
                </w:p>
              </w:tc>
              <w:tc>
                <w:tcPr>
                  <w:tcW w:w="1758" w:type="dxa"/>
                  <w:gridSpan w:val="2"/>
                  <w:tcBorders>
                    <w:top w:val="single" w:color="000000" w:sz="4" w:space="0"/>
                    <w:left w:val="single" w:color="000000" w:sz="4" w:space="0"/>
                    <w:bottom w:val="single" w:color="000000" w:sz="4" w:space="0"/>
                    <w:right w:val="single" w:color="000000" w:sz="4" w:space="0"/>
                  </w:tcBorders>
                  <w:vAlign w:val="center"/>
                </w:tcPr>
                <w:p w14:paraId="29D3A96D">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不涉及</w:t>
                  </w:r>
                </w:p>
              </w:tc>
              <w:tc>
                <w:tcPr>
                  <w:tcW w:w="1469" w:type="dxa"/>
                  <w:gridSpan w:val="2"/>
                  <w:tcBorders>
                    <w:top w:val="single" w:color="000000" w:sz="4" w:space="0"/>
                    <w:left w:val="single" w:color="000000" w:sz="4" w:space="0"/>
                    <w:bottom w:val="single" w:color="000000" w:sz="4" w:space="0"/>
                    <w:right w:val="single" w:color="000000" w:sz="4" w:space="0"/>
                  </w:tcBorders>
                  <w:vAlign w:val="center"/>
                </w:tcPr>
                <w:p w14:paraId="60BCE3CA">
                  <w:pPr>
                    <w:autoSpaceDE w:val="0"/>
                    <w:autoSpaceDN w:val="0"/>
                    <w:spacing w:line="240" w:lineRule="exact"/>
                    <w:jc w:val="center"/>
                    <w:rPr>
                      <w:rFonts w:hint="default" w:ascii="Times New Roman" w:hAnsi="Times New Roman" w:cs="Times New Roman"/>
                      <w:color w:val="auto"/>
                      <w:kern w:val="0"/>
                      <w:szCs w:val="21"/>
                      <w:u w:val="none"/>
                    </w:rPr>
                  </w:pPr>
                </w:p>
                <w:p w14:paraId="76784AFA">
                  <w:pPr>
                    <w:autoSpaceDE w:val="0"/>
                    <w:autoSpaceDN w:val="0"/>
                    <w:spacing w:line="240" w:lineRule="exact"/>
                    <w:jc w:val="center"/>
                    <w:rPr>
                      <w:rFonts w:hint="default" w:ascii="Times New Roman" w:hAnsi="Times New Roman" w:cs="Times New Roman"/>
                      <w:color w:val="auto"/>
                      <w:kern w:val="0"/>
                      <w:szCs w:val="21"/>
                      <w:u w:val="none"/>
                    </w:rPr>
                  </w:pPr>
                </w:p>
                <w:p w14:paraId="2CBBC2BC">
                  <w:pPr>
                    <w:autoSpaceDE w:val="0"/>
                    <w:autoSpaceDN w:val="0"/>
                    <w:spacing w:line="240" w:lineRule="exact"/>
                    <w:jc w:val="center"/>
                    <w:rPr>
                      <w:rFonts w:hint="default" w:ascii="Times New Roman" w:hAnsi="Times New Roman" w:cs="Times New Roman"/>
                      <w:color w:val="auto"/>
                      <w:kern w:val="0"/>
                      <w:szCs w:val="21"/>
                      <w:u w:val="none"/>
                    </w:rPr>
                  </w:pPr>
                </w:p>
                <w:p w14:paraId="3DD3E2B9">
                  <w:pPr>
                    <w:autoSpaceDE w:val="0"/>
                    <w:autoSpaceDN w:val="0"/>
                    <w:spacing w:line="240" w:lineRule="exact"/>
                    <w:jc w:val="center"/>
                    <w:rPr>
                      <w:rFonts w:hint="default" w:ascii="Times New Roman" w:hAnsi="Times New Roman" w:cs="Times New Roman"/>
                      <w:color w:val="auto"/>
                      <w:kern w:val="0"/>
                      <w:szCs w:val="21"/>
                      <w:u w:val="none"/>
                    </w:rPr>
                  </w:pPr>
                </w:p>
                <w:p w14:paraId="0B149A98">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符合</w:t>
                  </w:r>
                </w:p>
              </w:tc>
            </w:tr>
            <w:tr w14:paraId="5E47D1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82" w:hRule="atLeast"/>
              </w:trPr>
              <w:tc>
                <w:tcPr>
                  <w:tcW w:w="406" w:type="dxa"/>
                  <w:tcBorders>
                    <w:top w:val="single" w:color="000000" w:sz="4" w:space="0"/>
                    <w:left w:val="single" w:color="000000" w:sz="4" w:space="0"/>
                    <w:bottom w:val="single" w:color="000000" w:sz="4" w:space="0"/>
                    <w:right w:val="single" w:color="000000" w:sz="4" w:space="0"/>
                  </w:tcBorders>
                  <w:vAlign w:val="center"/>
                </w:tcPr>
                <w:p w14:paraId="2719CF28">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6</w:t>
                  </w:r>
                </w:p>
              </w:tc>
              <w:tc>
                <w:tcPr>
                  <w:tcW w:w="3656" w:type="dxa"/>
                  <w:tcBorders>
                    <w:top w:val="single" w:color="000000" w:sz="4" w:space="0"/>
                    <w:left w:val="single" w:color="000000" w:sz="4" w:space="0"/>
                    <w:bottom w:val="single" w:color="000000" w:sz="4" w:space="0"/>
                    <w:right w:val="single" w:color="000000" w:sz="4" w:space="0"/>
                  </w:tcBorders>
                  <w:vAlign w:val="center"/>
                </w:tcPr>
                <w:p w14:paraId="76606AF4">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6.禁止未经许可在长江干支流及湖泊新设、改设或扩大排污口。</w:t>
                  </w:r>
                </w:p>
              </w:tc>
              <w:tc>
                <w:tcPr>
                  <w:tcW w:w="1758" w:type="dxa"/>
                  <w:gridSpan w:val="2"/>
                  <w:tcBorders>
                    <w:top w:val="single" w:color="000000" w:sz="4" w:space="0"/>
                    <w:left w:val="single" w:color="000000" w:sz="4" w:space="0"/>
                    <w:bottom w:val="single" w:color="000000" w:sz="4" w:space="0"/>
                    <w:right w:val="single" w:color="000000" w:sz="4" w:space="0"/>
                  </w:tcBorders>
                  <w:vAlign w:val="center"/>
                </w:tcPr>
                <w:p w14:paraId="1B8561CE">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不涉及</w:t>
                  </w:r>
                </w:p>
              </w:tc>
              <w:tc>
                <w:tcPr>
                  <w:tcW w:w="1469" w:type="dxa"/>
                  <w:gridSpan w:val="2"/>
                  <w:tcBorders>
                    <w:top w:val="single" w:color="000000" w:sz="4" w:space="0"/>
                    <w:left w:val="single" w:color="000000" w:sz="4" w:space="0"/>
                    <w:bottom w:val="single" w:color="000000" w:sz="4" w:space="0"/>
                    <w:right w:val="single" w:color="000000" w:sz="4" w:space="0"/>
                  </w:tcBorders>
                  <w:vAlign w:val="center"/>
                </w:tcPr>
                <w:p w14:paraId="313A4112">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符合</w:t>
                  </w:r>
                </w:p>
              </w:tc>
            </w:tr>
            <w:tr w14:paraId="793792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96" w:hRule="atLeast"/>
              </w:trPr>
              <w:tc>
                <w:tcPr>
                  <w:tcW w:w="406" w:type="dxa"/>
                  <w:tcBorders>
                    <w:top w:val="single" w:color="000000" w:sz="4" w:space="0"/>
                    <w:left w:val="single" w:color="000000" w:sz="4" w:space="0"/>
                    <w:bottom w:val="single" w:color="000000" w:sz="4" w:space="0"/>
                    <w:right w:val="single" w:color="000000" w:sz="4" w:space="0"/>
                  </w:tcBorders>
                  <w:vAlign w:val="center"/>
                </w:tcPr>
                <w:p w14:paraId="16F06B87">
                  <w:pPr>
                    <w:autoSpaceDE w:val="0"/>
                    <w:autoSpaceDN w:val="0"/>
                    <w:spacing w:line="240" w:lineRule="exact"/>
                    <w:jc w:val="center"/>
                    <w:rPr>
                      <w:rFonts w:hint="default" w:ascii="Times New Roman" w:hAnsi="Times New Roman" w:cs="Times New Roman"/>
                      <w:color w:val="auto"/>
                      <w:kern w:val="0"/>
                      <w:szCs w:val="21"/>
                      <w:u w:val="none"/>
                    </w:rPr>
                  </w:pPr>
                </w:p>
                <w:p w14:paraId="3D516ADB">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7</w:t>
                  </w:r>
                </w:p>
              </w:tc>
              <w:tc>
                <w:tcPr>
                  <w:tcW w:w="3656" w:type="dxa"/>
                  <w:tcBorders>
                    <w:top w:val="single" w:color="000000" w:sz="4" w:space="0"/>
                    <w:left w:val="single" w:color="000000" w:sz="4" w:space="0"/>
                    <w:bottom w:val="single" w:color="000000" w:sz="4" w:space="0"/>
                    <w:right w:val="single" w:color="000000" w:sz="4" w:space="0"/>
                  </w:tcBorders>
                  <w:vAlign w:val="center"/>
                </w:tcPr>
                <w:p w14:paraId="733CFD55">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7.禁止在“一江一口两湖七河”和332个水生生物保护区开展生产性捕捞。</w:t>
                  </w:r>
                </w:p>
              </w:tc>
              <w:tc>
                <w:tcPr>
                  <w:tcW w:w="1758" w:type="dxa"/>
                  <w:gridSpan w:val="2"/>
                  <w:tcBorders>
                    <w:top w:val="single" w:color="000000" w:sz="4" w:space="0"/>
                    <w:left w:val="single" w:color="000000" w:sz="4" w:space="0"/>
                    <w:bottom w:val="single" w:color="000000" w:sz="4" w:space="0"/>
                    <w:right w:val="single" w:color="000000" w:sz="4" w:space="0"/>
                  </w:tcBorders>
                  <w:vAlign w:val="center"/>
                </w:tcPr>
                <w:p w14:paraId="14A08954">
                  <w:pPr>
                    <w:autoSpaceDE w:val="0"/>
                    <w:autoSpaceDN w:val="0"/>
                    <w:spacing w:line="240" w:lineRule="exact"/>
                    <w:jc w:val="center"/>
                    <w:rPr>
                      <w:rFonts w:hint="default" w:ascii="Times New Roman" w:hAnsi="Times New Roman" w:cs="Times New Roman"/>
                      <w:color w:val="auto"/>
                      <w:kern w:val="0"/>
                      <w:szCs w:val="21"/>
                      <w:u w:val="none"/>
                    </w:rPr>
                  </w:pPr>
                </w:p>
                <w:p w14:paraId="4FF9D4D2">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不涉及</w:t>
                  </w:r>
                </w:p>
              </w:tc>
              <w:tc>
                <w:tcPr>
                  <w:tcW w:w="1469" w:type="dxa"/>
                  <w:gridSpan w:val="2"/>
                  <w:tcBorders>
                    <w:top w:val="single" w:color="000000" w:sz="4" w:space="0"/>
                    <w:left w:val="single" w:color="000000" w:sz="4" w:space="0"/>
                    <w:bottom w:val="single" w:color="000000" w:sz="4" w:space="0"/>
                    <w:right w:val="single" w:color="000000" w:sz="4" w:space="0"/>
                  </w:tcBorders>
                  <w:vAlign w:val="center"/>
                </w:tcPr>
                <w:p w14:paraId="696DA686">
                  <w:pPr>
                    <w:autoSpaceDE w:val="0"/>
                    <w:autoSpaceDN w:val="0"/>
                    <w:spacing w:line="240" w:lineRule="exact"/>
                    <w:jc w:val="center"/>
                    <w:rPr>
                      <w:rFonts w:hint="default" w:ascii="Times New Roman" w:hAnsi="Times New Roman" w:cs="Times New Roman"/>
                      <w:color w:val="auto"/>
                      <w:kern w:val="0"/>
                      <w:szCs w:val="21"/>
                      <w:u w:val="none"/>
                    </w:rPr>
                  </w:pPr>
                </w:p>
                <w:p w14:paraId="398360EA">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符合</w:t>
                  </w:r>
                </w:p>
              </w:tc>
            </w:tr>
            <w:tr w14:paraId="472543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136" w:hRule="atLeast"/>
              </w:trPr>
              <w:tc>
                <w:tcPr>
                  <w:tcW w:w="406" w:type="dxa"/>
                  <w:tcBorders>
                    <w:top w:val="single" w:color="000000" w:sz="4" w:space="0"/>
                    <w:left w:val="single" w:color="000000" w:sz="4" w:space="0"/>
                    <w:bottom w:val="single" w:color="000000" w:sz="4" w:space="0"/>
                    <w:right w:val="single" w:color="000000" w:sz="4" w:space="0"/>
                  </w:tcBorders>
                  <w:vAlign w:val="center"/>
                </w:tcPr>
                <w:p w14:paraId="0868332C">
                  <w:pPr>
                    <w:autoSpaceDE w:val="0"/>
                    <w:autoSpaceDN w:val="0"/>
                    <w:spacing w:line="240" w:lineRule="exact"/>
                    <w:jc w:val="center"/>
                    <w:rPr>
                      <w:rFonts w:hint="default" w:ascii="Times New Roman" w:hAnsi="Times New Roman" w:cs="Times New Roman"/>
                      <w:color w:val="auto"/>
                      <w:kern w:val="0"/>
                      <w:szCs w:val="21"/>
                      <w:u w:val="none"/>
                    </w:rPr>
                  </w:pPr>
                </w:p>
                <w:p w14:paraId="479F6B18">
                  <w:pPr>
                    <w:autoSpaceDE w:val="0"/>
                    <w:autoSpaceDN w:val="0"/>
                    <w:spacing w:line="240" w:lineRule="exact"/>
                    <w:jc w:val="center"/>
                    <w:rPr>
                      <w:rFonts w:hint="default" w:ascii="Times New Roman" w:hAnsi="Times New Roman" w:cs="Times New Roman"/>
                      <w:color w:val="auto"/>
                      <w:kern w:val="0"/>
                      <w:szCs w:val="21"/>
                      <w:u w:val="none"/>
                    </w:rPr>
                  </w:pPr>
                </w:p>
                <w:p w14:paraId="5F7369A5">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8</w:t>
                  </w:r>
                </w:p>
              </w:tc>
              <w:tc>
                <w:tcPr>
                  <w:tcW w:w="3656" w:type="dxa"/>
                  <w:tcBorders>
                    <w:top w:val="single" w:color="000000" w:sz="4" w:space="0"/>
                    <w:left w:val="single" w:color="000000" w:sz="4" w:space="0"/>
                    <w:bottom w:val="single" w:color="000000" w:sz="4" w:space="0"/>
                    <w:right w:val="single" w:color="000000" w:sz="4" w:space="0"/>
                  </w:tcBorders>
                  <w:vAlign w:val="center"/>
                </w:tcPr>
                <w:p w14:paraId="284F3C3A">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8.禁止在长江干支流、重要湖泊岸线一公里范围内新建、扩建化工园区和化工项目。禁止在长江干流岸线三公里范围内和重要支流岸线一公里范围内新建、改建、扩建尾矿库、冶炼渣库和磷石膏库，以提升安全、生态环境保护水平为目的的改建除外。</w:t>
                  </w:r>
                </w:p>
              </w:tc>
              <w:tc>
                <w:tcPr>
                  <w:tcW w:w="1758" w:type="dxa"/>
                  <w:gridSpan w:val="2"/>
                  <w:tcBorders>
                    <w:top w:val="single" w:color="000000" w:sz="4" w:space="0"/>
                    <w:left w:val="single" w:color="000000" w:sz="4" w:space="0"/>
                    <w:bottom w:val="single" w:color="000000" w:sz="4" w:space="0"/>
                    <w:right w:val="single" w:color="000000" w:sz="4" w:space="0"/>
                  </w:tcBorders>
                  <w:vAlign w:val="center"/>
                </w:tcPr>
                <w:p w14:paraId="2FB58438">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本项目不属于化工项目，不涉及尾矿库、冶炼渣库和磷石膏库</w:t>
                  </w:r>
                </w:p>
              </w:tc>
              <w:tc>
                <w:tcPr>
                  <w:tcW w:w="1469" w:type="dxa"/>
                  <w:gridSpan w:val="2"/>
                  <w:tcBorders>
                    <w:top w:val="single" w:color="000000" w:sz="4" w:space="0"/>
                    <w:left w:val="single" w:color="000000" w:sz="4" w:space="0"/>
                    <w:bottom w:val="single" w:color="000000" w:sz="4" w:space="0"/>
                    <w:right w:val="single" w:color="000000" w:sz="4" w:space="0"/>
                  </w:tcBorders>
                  <w:vAlign w:val="center"/>
                </w:tcPr>
                <w:p w14:paraId="7ACC51FC">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符合</w:t>
                  </w:r>
                </w:p>
              </w:tc>
            </w:tr>
            <w:tr w14:paraId="315448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54" w:hRule="atLeast"/>
              </w:trPr>
              <w:tc>
                <w:tcPr>
                  <w:tcW w:w="406" w:type="dxa"/>
                  <w:tcBorders>
                    <w:top w:val="single" w:color="000000" w:sz="4" w:space="0"/>
                    <w:left w:val="single" w:color="000000" w:sz="4" w:space="0"/>
                    <w:bottom w:val="single" w:color="000000" w:sz="4" w:space="0"/>
                    <w:right w:val="single" w:color="000000" w:sz="4" w:space="0"/>
                  </w:tcBorders>
                  <w:vAlign w:val="center"/>
                </w:tcPr>
                <w:p w14:paraId="2837E8FD">
                  <w:pPr>
                    <w:autoSpaceDE w:val="0"/>
                    <w:autoSpaceDN w:val="0"/>
                    <w:spacing w:line="240" w:lineRule="exact"/>
                    <w:jc w:val="center"/>
                    <w:rPr>
                      <w:rFonts w:hint="default" w:ascii="Times New Roman" w:hAnsi="Times New Roman" w:cs="Times New Roman"/>
                      <w:color w:val="auto"/>
                      <w:kern w:val="0"/>
                      <w:szCs w:val="21"/>
                      <w:u w:val="none"/>
                    </w:rPr>
                  </w:pPr>
                </w:p>
                <w:p w14:paraId="031A1B68">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9</w:t>
                  </w:r>
                </w:p>
              </w:tc>
              <w:tc>
                <w:tcPr>
                  <w:tcW w:w="3656" w:type="dxa"/>
                  <w:tcBorders>
                    <w:top w:val="single" w:color="000000" w:sz="4" w:space="0"/>
                    <w:left w:val="single" w:color="000000" w:sz="4" w:space="0"/>
                    <w:bottom w:val="single" w:color="000000" w:sz="4" w:space="0"/>
                    <w:right w:val="single" w:color="000000" w:sz="4" w:space="0"/>
                  </w:tcBorders>
                  <w:vAlign w:val="center"/>
                </w:tcPr>
                <w:p w14:paraId="2BE916D8">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9.禁止在合规园区外新建、扩建钢铁、石化、化工、焦化、建材、有色、制浆造纸等高污染项目。</w:t>
                  </w:r>
                </w:p>
              </w:tc>
              <w:tc>
                <w:tcPr>
                  <w:tcW w:w="1758" w:type="dxa"/>
                  <w:gridSpan w:val="2"/>
                  <w:tcBorders>
                    <w:top w:val="single" w:color="000000" w:sz="4" w:space="0"/>
                    <w:left w:val="single" w:color="000000" w:sz="4" w:space="0"/>
                    <w:bottom w:val="single" w:color="000000" w:sz="4" w:space="0"/>
                    <w:right w:val="single" w:color="000000" w:sz="4" w:space="0"/>
                  </w:tcBorders>
                  <w:vAlign w:val="center"/>
                </w:tcPr>
                <w:p w14:paraId="0BDA3E74">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不属于上述高污染项目</w:t>
                  </w:r>
                </w:p>
              </w:tc>
              <w:tc>
                <w:tcPr>
                  <w:tcW w:w="1469" w:type="dxa"/>
                  <w:gridSpan w:val="2"/>
                  <w:tcBorders>
                    <w:top w:val="single" w:color="000000" w:sz="4" w:space="0"/>
                    <w:left w:val="single" w:color="000000" w:sz="4" w:space="0"/>
                    <w:bottom w:val="single" w:color="000000" w:sz="4" w:space="0"/>
                    <w:right w:val="single" w:color="000000" w:sz="4" w:space="0"/>
                  </w:tcBorders>
                  <w:vAlign w:val="center"/>
                </w:tcPr>
                <w:p w14:paraId="6485824A">
                  <w:pPr>
                    <w:autoSpaceDE w:val="0"/>
                    <w:autoSpaceDN w:val="0"/>
                    <w:spacing w:line="240" w:lineRule="exact"/>
                    <w:jc w:val="center"/>
                    <w:rPr>
                      <w:rFonts w:hint="default" w:ascii="Times New Roman" w:hAnsi="Times New Roman" w:cs="Times New Roman"/>
                      <w:color w:val="auto"/>
                      <w:kern w:val="0"/>
                      <w:szCs w:val="21"/>
                      <w:u w:val="none"/>
                    </w:rPr>
                  </w:pPr>
                </w:p>
                <w:p w14:paraId="48D94F8A">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符合</w:t>
                  </w:r>
                </w:p>
              </w:tc>
            </w:tr>
            <w:tr w14:paraId="4D689B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91" w:hRule="atLeast"/>
              </w:trPr>
              <w:tc>
                <w:tcPr>
                  <w:tcW w:w="406" w:type="dxa"/>
                  <w:tcBorders>
                    <w:top w:val="single" w:color="000000" w:sz="4" w:space="0"/>
                    <w:left w:val="single" w:color="000000" w:sz="4" w:space="0"/>
                    <w:bottom w:val="thickThinMediumGap" w:color="000000" w:sz="4" w:space="0"/>
                    <w:right w:val="single" w:color="000000" w:sz="4" w:space="0"/>
                  </w:tcBorders>
                  <w:vAlign w:val="center"/>
                </w:tcPr>
                <w:p w14:paraId="748540BA">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10</w:t>
                  </w:r>
                </w:p>
              </w:tc>
              <w:tc>
                <w:tcPr>
                  <w:tcW w:w="3656" w:type="dxa"/>
                  <w:tcBorders>
                    <w:top w:val="single" w:color="000000" w:sz="4" w:space="0"/>
                    <w:left w:val="single" w:color="000000" w:sz="4" w:space="0"/>
                    <w:bottom w:val="thickThinMediumGap" w:color="000000" w:sz="4" w:space="0"/>
                    <w:right w:val="single" w:color="000000" w:sz="4" w:space="0"/>
                  </w:tcBorders>
                  <w:vAlign w:val="center"/>
                </w:tcPr>
                <w:p w14:paraId="6C55DF74">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10.禁止新建、扩建不符合国家石化、现代煤化工等产业布局规划的项目。</w:t>
                  </w:r>
                </w:p>
              </w:tc>
              <w:tc>
                <w:tcPr>
                  <w:tcW w:w="1758" w:type="dxa"/>
                  <w:gridSpan w:val="2"/>
                  <w:tcBorders>
                    <w:top w:val="single" w:color="000000" w:sz="4" w:space="0"/>
                    <w:left w:val="single" w:color="000000" w:sz="4" w:space="0"/>
                    <w:bottom w:val="thickThinMediumGap" w:color="000000" w:sz="4" w:space="0"/>
                    <w:right w:val="single" w:color="000000" w:sz="4" w:space="0"/>
                  </w:tcBorders>
                  <w:vAlign w:val="center"/>
                </w:tcPr>
                <w:p w14:paraId="2EC8F549">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不涉及</w:t>
                  </w:r>
                </w:p>
              </w:tc>
              <w:tc>
                <w:tcPr>
                  <w:tcW w:w="1469" w:type="dxa"/>
                  <w:gridSpan w:val="2"/>
                  <w:tcBorders>
                    <w:top w:val="single" w:color="000000" w:sz="4" w:space="0"/>
                    <w:left w:val="single" w:color="000000" w:sz="4" w:space="0"/>
                    <w:bottom w:val="thickThinMediumGap" w:color="000000" w:sz="4" w:space="0"/>
                    <w:right w:val="single" w:color="000000" w:sz="4" w:space="0"/>
                  </w:tcBorders>
                  <w:vAlign w:val="center"/>
                </w:tcPr>
                <w:p w14:paraId="4E170083">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符合</w:t>
                  </w:r>
                </w:p>
              </w:tc>
            </w:tr>
            <w:tr w14:paraId="3A7965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608" w:hRule="atLeast"/>
              </w:trPr>
              <w:tc>
                <w:tcPr>
                  <w:tcW w:w="406" w:type="dxa"/>
                  <w:tcBorders>
                    <w:left w:val="single" w:color="000000" w:sz="4" w:space="0"/>
                    <w:bottom w:val="single" w:color="000000" w:sz="4" w:space="0"/>
                    <w:right w:val="single" w:color="000000" w:sz="4" w:space="0"/>
                  </w:tcBorders>
                  <w:vAlign w:val="center"/>
                </w:tcPr>
                <w:p w14:paraId="06236631">
                  <w:pPr>
                    <w:autoSpaceDE w:val="0"/>
                    <w:autoSpaceDN w:val="0"/>
                    <w:spacing w:line="240" w:lineRule="exact"/>
                    <w:jc w:val="center"/>
                    <w:rPr>
                      <w:rFonts w:hint="default" w:ascii="Times New Roman" w:hAnsi="Times New Roman" w:cs="Times New Roman"/>
                      <w:color w:val="auto"/>
                      <w:kern w:val="0"/>
                      <w:szCs w:val="21"/>
                      <w:u w:val="none"/>
                    </w:rPr>
                  </w:pPr>
                </w:p>
                <w:p w14:paraId="364F77FB">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11</w:t>
                  </w:r>
                </w:p>
              </w:tc>
              <w:tc>
                <w:tcPr>
                  <w:tcW w:w="3690" w:type="dxa"/>
                  <w:gridSpan w:val="2"/>
                  <w:tcBorders>
                    <w:left w:val="single" w:color="000000" w:sz="4" w:space="0"/>
                    <w:bottom w:val="single" w:color="000000" w:sz="4" w:space="0"/>
                    <w:right w:val="single" w:color="000000" w:sz="4" w:space="0"/>
                  </w:tcBorders>
                  <w:vAlign w:val="center"/>
                </w:tcPr>
                <w:p w14:paraId="2D702C5E">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11.禁止新建、扩建法律法规和相关政策明令禁止的落后产能项目。禁止新建、扩建不符合国家产能置换要求的严重过剩产能行业的项目。禁止新建、扩建不符合要求的高耗能高排放项目。</w:t>
                  </w:r>
                </w:p>
              </w:tc>
              <w:tc>
                <w:tcPr>
                  <w:tcW w:w="1774" w:type="dxa"/>
                  <w:gridSpan w:val="2"/>
                  <w:tcBorders>
                    <w:left w:val="single" w:color="000000" w:sz="4" w:space="0"/>
                    <w:bottom w:val="single" w:color="000000" w:sz="4" w:space="0"/>
                    <w:right w:val="single" w:color="000000" w:sz="4" w:space="0"/>
                  </w:tcBorders>
                  <w:vAlign w:val="center"/>
                </w:tcPr>
                <w:p w14:paraId="682B4088">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本项目不属于落后产能项目，不属于不符合要求的高耗能高排放项目。</w:t>
                  </w:r>
                </w:p>
              </w:tc>
              <w:tc>
                <w:tcPr>
                  <w:tcW w:w="1419" w:type="dxa"/>
                  <w:tcBorders>
                    <w:left w:val="single" w:color="000000" w:sz="4" w:space="0"/>
                    <w:bottom w:val="single" w:color="000000" w:sz="4" w:space="0"/>
                    <w:right w:val="single" w:color="000000" w:sz="4" w:space="0"/>
                  </w:tcBorders>
                  <w:vAlign w:val="center"/>
                </w:tcPr>
                <w:p w14:paraId="362CEF5F">
                  <w:pPr>
                    <w:autoSpaceDE w:val="0"/>
                    <w:autoSpaceDN w:val="0"/>
                    <w:spacing w:line="240" w:lineRule="exact"/>
                    <w:jc w:val="center"/>
                    <w:rPr>
                      <w:rFonts w:hint="default" w:ascii="Times New Roman" w:hAnsi="Times New Roman" w:cs="Times New Roman"/>
                      <w:color w:val="auto"/>
                      <w:kern w:val="0"/>
                      <w:szCs w:val="21"/>
                      <w:u w:val="none"/>
                    </w:rPr>
                  </w:pPr>
                </w:p>
                <w:p w14:paraId="05B6EB45">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符合</w:t>
                  </w:r>
                </w:p>
              </w:tc>
            </w:tr>
            <w:tr w14:paraId="26E2E3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51" w:hRule="atLeast"/>
              </w:trPr>
              <w:tc>
                <w:tcPr>
                  <w:tcW w:w="406" w:type="dxa"/>
                  <w:tcBorders>
                    <w:top w:val="single" w:color="000000" w:sz="4" w:space="0"/>
                    <w:left w:val="single" w:color="000000" w:sz="4" w:space="0"/>
                    <w:bottom w:val="single" w:color="000000" w:sz="4" w:space="0"/>
                    <w:right w:val="single" w:color="000000" w:sz="4" w:space="0"/>
                  </w:tcBorders>
                  <w:vAlign w:val="center"/>
                </w:tcPr>
                <w:p w14:paraId="57BCE7AC">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12</w:t>
                  </w:r>
                </w:p>
              </w:tc>
              <w:tc>
                <w:tcPr>
                  <w:tcW w:w="3690" w:type="dxa"/>
                  <w:gridSpan w:val="2"/>
                  <w:tcBorders>
                    <w:top w:val="single" w:color="000000" w:sz="4" w:space="0"/>
                    <w:left w:val="single" w:color="000000" w:sz="4" w:space="0"/>
                    <w:bottom w:val="single" w:color="000000" w:sz="4" w:space="0"/>
                    <w:right w:val="single" w:color="000000" w:sz="4" w:space="0"/>
                  </w:tcBorders>
                  <w:vAlign w:val="center"/>
                </w:tcPr>
                <w:p w14:paraId="729DFFE5">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12.法律法规及相关政策文件有更加严格规定的从其规定。</w:t>
                  </w:r>
                </w:p>
              </w:tc>
              <w:tc>
                <w:tcPr>
                  <w:tcW w:w="1774" w:type="dxa"/>
                  <w:gridSpan w:val="2"/>
                  <w:tcBorders>
                    <w:top w:val="single" w:color="000000" w:sz="4" w:space="0"/>
                    <w:left w:val="single" w:color="000000" w:sz="4" w:space="0"/>
                    <w:bottom w:val="single" w:color="000000" w:sz="4" w:space="0"/>
                    <w:right w:val="single" w:color="000000" w:sz="4" w:space="0"/>
                  </w:tcBorders>
                  <w:vAlign w:val="center"/>
                </w:tcPr>
                <w:p w14:paraId="247033B9">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不涉及</w:t>
                  </w:r>
                </w:p>
              </w:tc>
              <w:tc>
                <w:tcPr>
                  <w:tcW w:w="1419" w:type="dxa"/>
                  <w:tcBorders>
                    <w:top w:val="single" w:color="000000" w:sz="4" w:space="0"/>
                    <w:left w:val="single" w:color="000000" w:sz="4" w:space="0"/>
                    <w:bottom w:val="single" w:color="000000" w:sz="4" w:space="0"/>
                    <w:right w:val="single" w:color="000000" w:sz="4" w:space="0"/>
                  </w:tcBorders>
                  <w:vAlign w:val="center"/>
                </w:tcPr>
                <w:p w14:paraId="5E07D9A4">
                  <w:pPr>
                    <w:autoSpaceDE w:val="0"/>
                    <w:autoSpaceDN w:val="0"/>
                    <w:spacing w:line="240" w:lineRule="exact"/>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符合</w:t>
                  </w:r>
                </w:p>
              </w:tc>
            </w:tr>
          </w:tbl>
          <w:p w14:paraId="47C4EFFF">
            <w:pPr>
              <w:pStyle w:val="5"/>
              <w:spacing w:before="2"/>
              <w:ind w:firstLine="482" w:firstLineChars="200"/>
              <w:rPr>
                <w:rFonts w:hint="default" w:ascii="Times New Roman" w:hAnsi="Times New Roman" w:cs="Times New Roman"/>
              </w:rPr>
            </w:pPr>
            <w:r>
              <w:rPr>
                <w:rFonts w:hint="default" w:ascii="Times New Roman" w:hAnsi="Times New Roman" w:cs="Times New Roman"/>
                <w:b/>
                <w:bCs/>
                <w:color w:val="auto"/>
                <w:kern w:val="0"/>
                <w:sz w:val="24"/>
                <w:u w:val="none"/>
                <w:lang w:bidi="ar"/>
              </w:rPr>
              <w:t>（四）</w:t>
            </w:r>
            <w:r>
              <w:rPr>
                <w:rFonts w:hint="default" w:ascii="Times New Roman" w:hAnsi="Times New Roman" w:cs="Times New Roman"/>
              </w:rPr>
              <w:t>环境分区管控要求</w:t>
            </w:r>
          </w:p>
          <w:p w14:paraId="38055364">
            <w:pPr>
              <w:widowControl/>
              <w:numPr>
                <w:ilvl w:val="0"/>
                <w:numId w:val="0"/>
              </w:numPr>
              <w:spacing w:line="360" w:lineRule="auto"/>
              <w:ind w:firstLine="480" w:firstLineChars="200"/>
              <w:jc w:val="left"/>
              <w:rPr>
                <w:rFonts w:hint="default" w:ascii="Times New Roman" w:hAnsi="Times New Roman" w:eastAsia="宋体" w:cs="Times New Roman"/>
                <w:kern w:val="0"/>
                <w:sz w:val="24"/>
                <w:u w:val="none"/>
                <w:lang w:eastAsia="zh-CN" w:bidi="ar"/>
              </w:rPr>
            </w:pPr>
            <w:r>
              <w:rPr>
                <w:rFonts w:hint="default" w:ascii="Times New Roman" w:hAnsi="Times New Roman" w:eastAsia="宋体" w:cs="Times New Roman"/>
                <w:kern w:val="0"/>
                <w:sz w:val="24"/>
                <w:u w:val="none"/>
                <w:lang w:eastAsia="zh-CN" w:bidi="ar"/>
              </w:rPr>
              <w:t>本项目位于湖南省永州市东安县白牙市镇经开区</w:t>
            </w:r>
            <w:r>
              <w:rPr>
                <w:rFonts w:hint="default" w:ascii="Times New Roman" w:hAnsi="Times New Roman" w:eastAsia="宋体" w:cs="Times New Roman"/>
                <w:kern w:val="0"/>
                <w:sz w:val="24"/>
                <w:u w:val="none"/>
                <w:lang w:val="en-US" w:eastAsia="zh-CN" w:bidi="ar"/>
              </w:rPr>
              <w:t>金源路西</w:t>
            </w:r>
            <w:r>
              <w:rPr>
                <w:rFonts w:hint="default" w:ascii="Times New Roman" w:hAnsi="Times New Roman" w:eastAsia="宋体" w:cs="Times New Roman"/>
                <w:kern w:val="0"/>
                <w:sz w:val="24"/>
                <w:u w:val="none"/>
                <w:lang w:eastAsia="zh-CN" w:bidi="ar"/>
              </w:rPr>
              <w:t>侧，根据《湖南省生态环境分区管控总体管控要求暨省级以上产业园区生态环境准入清单》(2023版)，项目所在区属于重点管控单元。</w:t>
            </w:r>
          </w:p>
          <w:p w14:paraId="5FAD70A7">
            <w:pPr>
              <w:widowControl/>
              <w:numPr>
                <w:ilvl w:val="0"/>
                <w:numId w:val="0"/>
              </w:numPr>
              <w:spacing w:line="360" w:lineRule="auto"/>
              <w:ind w:firstLine="480" w:firstLineChars="200"/>
              <w:jc w:val="left"/>
              <w:rPr>
                <w:rFonts w:hint="default" w:ascii="Times New Roman" w:hAnsi="Times New Roman" w:eastAsia="宋体" w:cs="Times New Roman"/>
                <w:kern w:val="0"/>
                <w:sz w:val="24"/>
                <w:u w:val="none"/>
                <w:lang w:eastAsia="zh-CN" w:bidi="ar"/>
              </w:rPr>
            </w:pPr>
            <w:r>
              <w:rPr>
                <w:rFonts w:hint="default" w:ascii="Times New Roman" w:hAnsi="Times New Roman" w:eastAsia="宋体" w:cs="Times New Roman"/>
                <w:kern w:val="0"/>
                <w:sz w:val="24"/>
                <w:u w:val="none"/>
                <w:lang w:eastAsia="zh-CN" w:bidi="ar"/>
              </w:rPr>
              <w:t>1、生态红线</w:t>
            </w:r>
          </w:p>
          <w:p w14:paraId="5C68D07F">
            <w:pPr>
              <w:widowControl/>
              <w:numPr>
                <w:ilvl w:val="0"/>
                <w:numId w:val="0"/>
              </w:numPr>
              <w:spacing w:line="360" w:lineRule="auto"/>
              <w:ind w:firstLine="480" w:firstLineChars="200"/>
              <w:jc w:val="left"/>
              <w:rPr>
                <w:rFonts w:hint="default" w:ascii="Times New Roman" w:hAnsi="Times New Roman" w:eastAsia="宋体" w:cs="Times New Roman"/>
                <w:kern w:val="0"/>
                <w:sz w:val="24"/>
                <w:u w:val="none"/>
                <w:lang w:eastAsia="zh-CN" w:bidi="ar"/>
              </w:rPr>
            </w:pPr>
            <w:r>
              <w:rPr>
                <w:rFonts w:hint="default" w:ascii="Times New Roman" w:hAnsi="Times New Roman" w:eastAsia="宋体" w:cs="Times New Roman"/>
                <w:kern w:val="0"/>
                <w:sz w:val="24"/>
                <w:u w:val="none"/>
                <w:lang w:eastAsia="zh-CN" w:bidi="ar"/>
              </w:rPr>
              <w:t>“生态保护红线”是生态空间范围内具有特殊重要生态功能必须实行强制性严格保护的区域。经核实，本项目拟建地为工业园内，不在生态红线范围内，符合生态红线要求。</w:t>
            </w:r>
          </w:p>
          <w:p w14:paraId="11D33FF1">
            <w:pPr>
              <w:widowControl/>
              <w:numPr>
                <w:ilvl w:val="0"/>
                <w:numId w:val="0"/>
              </w:numPr>
              <w:spacing w:line="360" w:lineRule="auto"/>
              <w:ind w:firstLine="480" w:firstLineChars="200"/>
              <w:jc w:val="left"/>
              <w:rPr>
                <w:rFonts w:hint="default" w:ascii="Times New Roman" w:hAnsi="Times New Roman" w:eastAsia="宋体" w:cs="Times New Roman"/>
                <w:kern w:val="0"/>
                <w:sz w:val="24"/>
                <w:u w:val="none"/>
                <w:lang w:eastAsia="zh-CN" w:bidi="ar"/>
              </w:rPr>
            </w:pPr>
            <w:r>
              <w:rPr>
                <w:rFonts w:hint="default" w:ascii="Times New Roman" w:hAnsi="Times New Roman" w:eastAsia="宋体" w:cs="Times New Roman"/>
                <w:kern w:val="0"/>
                <w:sz w:val="24"/>
                <w:u w:val="none"/>
                <w:lang w:eastAsia="zh-CN" w:bidi="ar"/>
              </w:rPr>
              <w:t>2、环境质量底线</w:t>
            </w:r>
          </w:p>
          <w:p w14:paraId="2AD6ED51">
            <w:pPr>
              <w:widowControl/>
              <w:numPr>
                <w:ilvl w:val="0"/>
                <w:numId w:val="0"/>
              </w:numPr>
              <w:spacing w:line="360" w:lineRule="auto"/>
              <w:ind w:firstLine="480" w:firstLineChars="200"/>
              <w:jc w:val="left"/>
              <w:rPr>
                <w:rFonts w:hint="default" w:ascii="Times New Roman" w:hAnsi="Times New Roman" w:eastAsia="宋体" w:cs="Times New Roman"/>
                <w:kern w:val="0"/>
                <w:sz w:val="24"/>
                <w:u w:val="none"/>
                <w:lang w:eastAsia="zh-CN" w:bidi="ar"/>
              </w:rPr>
            </w:pPr>
            <w:r>
              <w:rPr>
                <w:rFonts w:hint="default" w:ascii="Times New Roman" w:hAnsi="Times New Roman" w:eastAsia="宋体" w:cs="Times New Roman"/>
                <w:kern w:val="0"/>
                <w:sz w:val="24"/>
                <w:u w:val="none"/>
                <w:lang w:eastAsia="zh-CN" w:bidi="ar"/>
              </w:rPr>
              <w:t>本项目所在区域地表水环境质量为《地表水环境质量标准》</w:t>
            </w:r>
          </w:p>
          <w:p w14:paraId="60EA344A">
            <w:pPr>
              <w:widowControl/>
              <w:numPr>
                <w:ilvl w:val="0"/>
                <w:numId w:val="0"/>
              </w:numPr>
              <w:spacing w:line="360" w:lineRule="auto"/>
              <w:jc w:val="left"/>
              <w:rPr>
                <w:rFonts w:hint="default" w:ascii="Times New Roman" w:hAnsi="Times New Roman" w:eastAsia="宋体" w:cs="Times New Roman"/>
                <w:kern w:val="0"/>
                <w:sz w:val="24"/>
                <w:u w:val="none"/>
                <w:lang w:eastAsia="zh-CN" w:bidi="ar"/>
              </w:rPr>
            </w:pPr>
            <w:r>
              <w:rPr>
                <w:rFonts w:hint="default" w:ascii="Times New Roman" w:hAnsi="Times New Roman" w:eastAsia="宋体" w:cs="Times New Roman"/>
                <w:kern w:val="0"/>
                <w:sz w:val="24"/>
                <w:u w:val="none"/>
                <w:lang w:eastAsia="zh-CN" w:bidi="ar"/>
              </w:rPr>
              <w:t>（GB3838-2002）Ⅲ类，声环境质量为《声环境质量标准》（GB3096-2008）2类。</w:t>
            </w:r>
            <w:r>
              <w:rPr>
                <w:rFonts w:ascii="Times New Roman" w:hAnsi="Times New Roman" w:eastAsia="宋体" w:cs="Times New Roman"/>
                <w:bCs w:val="0"/>
                <w:kern w:val="0"/>
                <w:sz w:val="24"/>
                <w:szCs w:val="24"/>
                <w:u w:val="none"/>
                <w:lang w:val="en-US" w:eastAsia="zh-CN" w:bidi="ar"/>
              </w:rPr>
              <w:t>根据</w:t>
            </w:r>
            <w:r>
              <w:rPr>
                <w:rFonts w:hint="default" w:ascii="Times New Roman" w:hAnsi="Times New Roman" w:eastAsia="宋体" w:cs="Times New Roman"/>
                <w:i w:val="0"/>
                <w:iCs w:val="0"/>
                <w:caps w:val="0"/>
                <w:spacing w:val="0"/>
                <w:kern w:val="0"/>
                <w:sz w:val="24"/>
                <w:szCs w:val="24"/>
                <w:u w:val="none"/>
                <w:lang w:val="en-US" w:eastAsia="zh-CN" w:bidi="ar"/>
              </w:rPr>
              <w:t>收集的</w:t>
            </w:r>
            <w:r>
              <w:rPr>
                <w:rFonts w:ascii="Times New Roman" w:hAnsi="Times New Roman" w:eastAsia="宋体" w:cs="Times New Roman"/>
                <w:i w:val="0"/>
                <w:iCs w:val="0"/>
                <w:caps w:val="0"/>
                <w:spacing w:val="0"/>
                <w:kern w:val="0"/>
                <w:sz w:val="24"/>
                <w:szCs w:val="24"/>
                <w:u w:val="none"/>
                <w:lang w:bidi="ar"/>
              </w:rPr>
              <w:t>2024东安县全年监测数据，2024年东安县常规大气污染物PM</w:t>
            </w:r>
            <w:r>
              <w:rPr>
                <w:rFonts w:ascii="Times New Roman" w:hAnsi="Times New Roman" w:eastAsia="宋体" w:cs="Times New Roman"/>
                <w:i w:val="0"/>
                <w:iCs w:val="0"/>
                <w:caps w:val="0"/>
                <w:spacing w:val="0"/>
                <w:kern w:val="0"/>
                <w:sz w:val="24"/>
                <w:szCs w:val="24"/>
                <w:u w:val="none"/>
                <w:vertAlign w:val="subscript"/>
                <w:lang w:bidi="ar"/>
              </w:rPr>
              <w:t>10</w:t>
            </w:r>
            <w:r>
              <w:rPr>
                <w:rFonts w:ascii="Times New Roman" w:hAnsi="Times New Roman" w:eastAsia="宋体" w:cs="Times New Roman"/>
                <w:i w:val="0"/>
                <w:iCs w:val="0"/>
                <w:caps w:val="0"/>
                <w:spacing w:val="0"/>
                <w:kern w:val="0"/>
                <w:sz w:val="24"/>
                <w:szCs w:val="24"/>
                <w:u w:val="none"/>
                <w:lang w:bidi="ar"/>
              </w:rPr>
              <w:t>、PM</w:t>
            </w:r>
            <w:r>
              <w:rPr>
                <w:rFonts w:ascii="Times New Roman" w:hAnsi="Times New Roman" w:eastAsia="宋体" w:cs="Times New Roman"/>
                <w:i w:val="0"/>
                <w:iCs w:val="0"/>
                <w:caps w:val="0"/>
                <w:spacing w:val="0"/>
                <w:kern w:val="0"/>
                <w:sz w:val="24"/>
                <w:szCs w:val="24"/>
                <w:u w:val="none"/>
                <w:vertAlign w:val="subscript"/>
                <w:lang w:bidi="ar"/>
              </w:rPr>
              <w:t>2.5</w:t>
            </w:r>
            <w:r>
              <w:rPr>
                <w:rFonts w:ascii="Times New Roman" w:hAnsi="Times New Roman" w:eastAsia="宋体" w:cs="Times New Roman"/>
                <w:i w:val="0"/>
                <w:iCs w:val="0"/>
                <w:caps w:val="0"/>
                <w:spacing w:val="0"/>
                <w:kern w:val="0"/>
                <w:sz w:val="24"/>
                <w:szCs w:val="24"/>
                <w:u w:val="none"/>
                <w:lang w:bidi="ar"/>
              </w:rPr>
              <w:t>、SO</w:t>
            </w:r>
            <w:r>
              <w:rPr>
                <w:rFonts w:ascii="Times New Roman" w:hAnsi="Times New Roman" w:eastAsia="宋体" w:cs="Times New Roman"/>
                <w:i w:val="0"/>
                <w:iCs w:val="0"/>
                <w:caps w:val="0"/>
                <w:spacing w:val="0"/>
                <w:kern w:val="0"/>
                <w:sz w:val="24"/>
                <w:szCs w:val="24"/>
                <w:u w:val="none"/>
                <w:vertAlign w:val="subscript"/>
                <w:lang w:bidi="ar"/>
              </w:rPr>
              <w:t>2</w:t>
            </w:r>
            <w:r>
              <w:rPr>
                <w:rFonts w:ascii="Times New Roman" w:hAnsi="Times New Roman" w:eastAsia="宋体" w:cs="Times New Roman"/>
                <w:i w:val="0"/>
                <w:iCs w:val="0"/>
                <w:caps w:val="0"/>
                <w:spacing w:val="0"/>
                <w:kern w:val="0"/>
                <w:sz w:val="24"/>
                <w:szCs w:val="24"/>
                <w:u w:val="none"/>
                <w:lang w:bidi="ar"/>
              </w:rPr>
              <w:t>、NO</w:t>
            </w:r>
            <w:r>
              <w:rPr>
                <w:rFonts w:ascii="Times New Roman" w:hAnsi="Times New Roman" w:eastAsia="宋体" w:cs="Times New Roman"/>
                <w:i w:val="0"/>
                <w:iCs w:val="0"/>
                <w:caps w:val="0"/>
                <w:spacing w:val="0"/>
                <w:kern w:val="0"/>
                <w:sz w:val="24"/>
                <w:szCs w:val="24"/>
                <w:u w:val="none"/>
                <w:vertAlign w:val="subscript"/>
                <w:lang w:bidi="ar"/>
              </w:rPr>
              <w:t>2</w:t>
            </w:r>
            <w:r>
              <w:rPr>
                <w:rFonts w:ascii="Times New Roman" w:hAnsi="Times New Roman" w:eastAsia="宋体" w:cs="Times New Roman"/>
                <w:i w:val="0"/>
                <w:iCs w:val="0"/>
                <w:caps w:val="0"/>
                <w:spacing w:val="0"/>
                <w:kern w:val="0"/>
                <w:sz w:val="24"/>
                <w:szCs w:val="24"/>
                <w:u w:val="none"/>
                <w:lang w:bidi="ar"/>
              </w:rPr>
              <w:t>、臭氧、一氧化碳监测因子的年评价指标满足《环境空气质量标准》（GB3095-20</w:t>
            </w:r>
            <w:r>
              <w:rPr>
                <w:rFonts w:hint="eastAsia" w:cs="Times New Roman"/>
                <w:i w:val="0"/>
                <w:iCs w:val="0"/>
                <w:caps w:val="0"/>
                <w:spacing w:val="0"/>
                <w:kern w:val="0"/>
                <w:sz w:val="24"/>
                <w:szCs w:val="24"/>
                <w:u w:val="none"/>
                <w:lang w:val="en-US" w:eastAsia="zh-CN" w:bidi="ar"/>
              </w:rPr>
              <w:t>26</w:t>
            </w:r>
            <w:r>
              <w:rPr>
                <w:rFonts w:ascii="Times New Roman" w:hAnsi="Times New Roman" w:eastAsia="宋体" w:cs="Times New Roman"/>
                <w:i w:val="0"/>
                <w:iCs w:val="0"/>
                <w:caps w:val="0"/>
                <w:spacing w:val="0"/>
                <w:kern w:val="0"/>
                <w:sz w:val="24"/>
                <w:szCs w:val="24"/>
                <w:u w:val="none"/>
                <w:lang w:bidi="ar"/>
              </w:rPr>
              <w:t>）</w:t>
            </w:r>
            <w:r>
              <w:rPr>
                <w:rFonts w:hint="eastAsia" w:cs="Times New Roman"/>
                <w:i w:val="0"/>
                <w:iCs w:val="0"/>
                <w:caps w:val="0"/>
                <w:spacing w:val="0"/>
                <w:kern w:val="0"/>
                <w:sz w:val="24"/>
                <w:szCs w:val="24"/>
                <w:u w:val="none"/>
                <w:lang w:val="en-US" w:eastAsia="zh-CN" w:bidi="ar"/>
              </w:rPr>
              <w:t>中过渡期</w:t>
            </w:r>
            <w:r>
              <w:rPr>
                <w:rFonts w:ascii="Times New Roman" w:hAnsi="Times New Roman" w:eastAsia="宋体" w:cs="Times New Roman"/>
                <w:i w:val="0"/>
                <w:iCs w:val="0"/>
                <w:caps w:val="0"/>
                <w:spacing w:val="0"/>
                <w:kern w:val="0"/>
                <w:sz w:val="24"/>
                <w:szCs w:val="24"/>
                <w:u w:val="none"/>
                <w:lang w:bidi="ar"/>
              </w:rPr>
              <w:t>二级标准年均值要求</w:t>
            </w:r>
            <w:r>
              <w:rPr>
                <w:rFonts w:ascii="Times New Roman" w:hAnsi="Times New Roman" w:eastAsia="宋体" w:cs="Times New Roman"/>
                <w:bCs w:val="0"/>
                <w:kern w:val="0"/>
                <w:sz w:val="24"/>
                <w:szCs w:val="24"/>
                <w:u w:val="none"/>
                <w:lang w:val="en-US" w:eastAsia="zh-CN" w:bidi="ar"/>
              </w:rPr>
              <w:t>。据此判定，本项目所在区域为环境空气质量达标区</w:t>
            </w:r>
            <w:r>
              <w:rPr>
                <w:rFonts w:hint="default" w:ascii="Times New Roman" w:hAnsi="Times New Roman" w:eastAsia="宋体" w:cs="Times New Roman"/>
                <w:bCs w:val="0"/>
                <w:kern w:val="0"/>
                <w:sz w:val="24"/>
                <w:szCs w:val="24"/>
                <w:u w:val="none"/>
                <w:lang w:val="en-US" w:eastAsia="zh-CN" w:bidi="ar"/>
              </w:rPr>
              <w:t>。</w:t>
            </w:r>
          </w:p>
          <w:p w14:paraId="7157A738">
            <w:pPr>
              <w:widowControl/>
              <w:numPr>
                <w:ilvl w:val="0"/>
                <w:numId w:val="0"/>
              </w:numPr>
              <w:spacing w:line="360" w:lineRule="auto"/>
              <w:ind w:firstLine="480" w:firstLineChars="200"/>
              <w:jc w:val="left"/>
              <w:rPr>
                <w:rFonts w:hint="default" w:ascii="Times New Roman" w:hAnsi="Times New Roman" w:eastAsia="宋体" w:cs="Times New Roman"/>
                <w:kern w:val="0"/>
                <w:sz w:val="24"/>
                <w:u w:val="none"/>
                <w:lang w:eastAsia="zh-CN" w:bidi="ar"/>
              </w:rPr>
            </w:pPr>
            <w:r>
              <w:rPr>
                <w:rFonts w:hint="default" w:ascii="Times New Roman" w:hAnsi="Times New Roman" w:eastAsia="宋体" w:cs="Times New Roman"/>
                <w:kern w:val="0"/>
                <w:sz w:val="24"/>
                <w:u w:val="none"/>
                <w:lang w:eastAsia="zh-CN" w:bidi="ar"/>
              </w:rPr>
              <w:t>3、资源利用上线</w:t>
            </w:r>
          </w:p>
          <w:p w14:paraId="74E8DD61">
            <w:pPr>
              <w:widowControl/>
              <w:numPr>
                <w:ilvl w:val="0"/>
                <w:numId w:val="0"/>
              </w:numPr>
              <w:spacing w:line="360" w:lineRule="auto"/>
              <w:ind w:firstLine="480" w:firstLineChars="200"/>
              <w:jc w:val="left"/>
              <w:rPr>
                <w:rFonts w:hint="default" w:ascii="Times New Roman" w:hAnsi="Times New Roman" w:eastAsia="宋体" w:cs="Times New Roman"/>
                <w:kern w:val="0"/>
                <w:sz w:val="24"/>
                <w:u w:val="none"/>
                <w:lang w:eastAsia="zh-CN" w:bidi="ar"/>
              </w:rPr>
            </w:pPr>
            <w:r>
              <w:rPr>
                <w:rFonts w:hint="default" w:ascii="Times New Roman" w:hAnsi="Times New Roman" w:eastAsia="宋体" w:cs="Times New Roman"/>
                <w:kern w:val="0"/>
                <w:sz w:val="24"/>
                <w:u w:val="none"/>
                <w:lang w:eastAsia="zh-CN" w:bidi="ar"/>
              </w:rPr>
              <w:t>资源是环境的载体，“资源利用上线”地区能源、水、土地等资源消耗不得突破的“天花板”。</w:t>
            </w:r>
          </w:p>
          <w:p w14:paraId="7BAA348F">
            <w:pPr>
              <w:widowControl/>
              <w:numPr>
                <w:ilvl w:val="0"/>
                <w:numId w:val="0"/>
              </w:numPr>
              <w:spacing w:line="360" w:lineRule="auto"/>
              <w:ind w:firstLine="480" w:firstLineChars="200"/>
              <w:jc w:val="left"/>
              <w:rPr>
                <w:rFonts w:hint="default" w:ascii="Times New Roman" w:hAnsi="Times New Roman" w:eastAsia="宋体" w:cs="Times New Roman"/>
                <w:kern w:val="0"/>
                <w:sz w:val="24"/>
                <w:u w:val="none"/>
                <w:lang w:eastAsia="zh-CN" w:bidi="ar"/>
              </w:rPr>
            </w:pPr>
            <w:r>
              <w:rPr>
                <w:rFonts w:hint="default" w:ascii="Times New Roman" w:hAnsi="Times New Roman" w:eastAsia="宋体" w:cs="Times New Roman"/>
                <w:kern w:val="0"/>
                <w:sz w:val="24"/>
                <w:u w:val="none"/>
                <w:lang w:eastAsia="zh-CN" w:bidi="ar"/>
              </w:rPr>
              <w:t>项目为C2929塑料零件及其他塑料制品制造，营运过程中消耗</w:t>
            </w:r>
            <w:r>
              <w:rPr>
                <w:rFonts w:hint="default" w:cs="Times New Roman"/>
                <w:kern w:val="0"/>
                <w:sz w:val="24"/>
                <w:u w:val="none"/>
                <w:lang w:eastAsia="zh-CN" w:bidi="ar"/>
              </w:rPr>
              <w:t>少量的水资</w:t>
            </w:r>
            <w:r>
              <w:rPr>
                <w:rFonts w:hint="default" w:ascii="Times New Roman" w:hAnsi="Times New Roman" w:eastAsia="宋体" w:cs="Times New Roman"/>
                <w:kern w:val="0"/>
                <w:sz w:val="24"/>
                <w:u w:val="none"/>
                <w:lang w:eastAsia="zh-CN" w:bidi="ar"/>
              </w:rPr>
              <w:t>源、电资源，区域内生产和生活用水均使用自来水，能源主要依托当地电网供电，项目资源消耗相对区域资源利用总量较小。</w:t>
            </w:r>
          </w:p>
          <w:p w14:paraId="00DF5AD8">
            <w:pPr>
              <w:widowControl/>
              <w:numPr>
                <w:ilvl w:val="0"/>
                <w:numId w:val="0"/>
              </w:numPr>
              <w:spacing w:line="360" w:lineRule="auto"/>
              <w:ind w:firstLine="480" w:firstLineChars="200"/>
              <w:jc w:val="left"/>
              <w:rPr>
                <w:rFonts w:hint="default" w:ascii="Times New Roman" w:hAnsi="Times New Roman" w:eastAsia="宋体" w:cs="Times New Roman"/>
                <w:kern w:val="0"/>
                <w:sz w:val="24"/>
                <w:u w:val="none"/>
                <w:lang w:eastAsia="zh-CN" w:bidi="ar"/>
              </w:rPr>
            </w:pPr>
            <w:r>
              <w:rPr>
                <w:rFonts w:hint="default" w:ascii="Times New Roman" w:hAnsi="Times New Roman" w:eastAsia="宋体" w:cs="Times New Roman"/>
                <w:kern w:val="0"/>
                <w:sz w:val="24"/>
                <w:u w:val="none"/>
                <w:lang w:eastAsia="zh-CN" w:bidi="ar"/>
              </w:rPr>
              <w:t>因此，项目资源利用满足要求。</w:t>
            </w:r>
          </w:p>
          <w:p w14:paraId="10AE1D4C">
            <w:pPr>
              <w:pStyle w:val="96"/>
              <w:spacing w:before="80"/>
              <w:ind w:left="588"/>
              <w:rPr>
                <w:rFonts w:hint="default" w:ascii="Times New Roman" w:hAnsi="Times New Roman" w:cs="Times New Roman"/>
                <w:sz w:val="24"/>
              </w:rPr>
            </w:pPr>
            <w:r>
              <w:rPr>
                <w:rFonts w:hint="default" w:ascii="Times New Roman" w:hAnsi="Times New Roman" w:eastAsia="Times New Roman" w:cs="Times New Roman"/>
                <w:sz w:val="24"/>
              </w:rPr>
              <w:t>4</w:t>
            </w:r>
            <w:r>
              <w:rPr>
                <w:rFonts w:hint="default" w:ascii="Times New Roman" w:hAnsi="Times New Roman" w:cs="Times New Roman"/>
                <w:sz w:val="24"/>
              </w:rPr>
              <w:t>、生态环境准入清单</w:t>
            </w:r>
          </w:p>
          <w:p w14:paraId="76DA8B7E">
            <w:pPr>
              <w:pStyle w:val="96"/>
              <w:spacing w:before="160" w:line="364" w:lineRule="auto"/>
              <w:ind w:left="108" w:right="96" w:firstLine="480"/>
              <w:jc w:val="both"/>
              <w:rPr>
                <w:rFonts w:hint="default" w:ascii="Times New Roman" w:hAnsi="Times New Roman" w:cs="Times New Roman"/>
                <w:sz w:val="24"/>
              </w:rPr>
            </w:pPr>
            <w:r>
              <w:rPr>
                <w:rFonts w:hint="default" w:ascii="Times New Roman" w:hAnsi="Times New Roman" w:cs="Times New Roman"/>
                <w:spacing w:val="-15"/>
                <w:sz w:val="24"/>
              </w:rPr>
              <w:t>项目为</w:t>
            </w:r>
            <w:r>
              <w:rPr>
                <w:rFonts w:hint="default" w:ascii="Times New Roman" w:hAnsi="Times New Roman" w:eastAsia="Times New Roman" w:cs="Times New Roman"/>
                <w:sz w:val="24"/>
              </w:rPr>
              <w:t>C2929</w:t>
            </w:r>
            <w:r>
              <w:rPr>
                <w:rFonts w:hint="default" w:ascii="Times New Roman" w:hAnsi="Times New Roman" w:cs="Times New Roman"/>
                <w:spacing w:val="-2"/>
                <w:sz w:val="24"/>
              </w:rPr>
              <w:t>塑料零件及其他塑料制品制</w:t>
            </w:r>
            <w:r>
              <w:rPr>
                <w:rFonts w:hint="default" w:ascii="Times New Roman" w:hAnsi="Times New Roman" w:cs="Times New Roman"/>
                <w:spacing w:val="-9"/>
                <w:sz w:val="24"/>
              </w:rPr>
              <w:t>造，根据《湖南东安经济开发区调区扩区规划环境影响报告书》，本</w:t>
            </w:r>
            <w:r>
              <w:rPr>
                <w:rFonts w:hint="default" w:ascii="Times New Roman" w:hAnsi="Times New Roman" w:cs="Times New Roman"/>
                <w:spacing w:val="-8"/>
                <w:sz w:val="24"/>
              </w:rPr>
              <w:t>项目所属行业、使用的工艺、生产的产品均未被列入环境准入负面清</w:t>
            </w:r>
            <w:r>
              <w:rPr>
                <w:rFonts w:hint="default" w:ascii="Times New Roman" w:hAnsi="Times New Roman" w:cs="Times New Roman"/>
                <w:sz w:val="24"/>
              </w:rPr>
              <w:t>单。</w:t>
            </w:r>
          </w:p>
          <w:p w14:paraId="3FEB4113">
            <w:pPr>
              <w:pStyle w:val="96"/>
              <w:spacing w:before="3" w:line="364" w:lineRule="auto"/>
              <w:ind w:left="108" w:right="-29" w:firstLine="480"/>
              <w:rPr>
                <w:rFonts w:hint="default" w:ascii="Times New Roman" w:hAnsi="Times New Roman" w:cs="Times New Roman"/>
                <w:spacing w:val="-4"/>
                <w:sz w:val="24"/>
              </w:rPr>
            </w:pPr>
            <w:r>
              <w:rPr>
                <w:rFonts w:hint="default" w:ascii="Times New Roman" w:hAnsi="Times New Roman" w:cs="Times New Roman"/>
                <w:spacing w:val="-7"/>
                <w:sz w:val="24"/>
              </w:rPr>
              <w:t>根据《湖南东安经济开发区调区扩区规划环境影响报告书》中调</w:t>
            </w:r>
            <w:r>
              <w:rPr>
                <w:rFonts w:hint="default" w:ascii="Times New Roman" w:hAnsi="Times New Roman" w:cs="Times New Roman"/>
                <w:spacing w:val="-11"/>
                <w:sz w:val="24"/>
              </w:rPr>
              <w:t>区扩区环评成果，《湖南省生态环境分区管控总体管控要求暨省级以</w:t>
            </w:r>
            <w:r>
              <w:rPr>
                <w:rFonts w:hint="default" w:ascii="Times New Roman" w:hAnsi="Times New Roman" w:cs="Times New Roman"/>
                <w:spacing w:val="-13"/>
                <w:sz w:val="24"/>
              </w:rPr>
              <w:t>上产业园区生态环境准入清单》</w:t>
            </w:r>
            <w:r>
              <w:rPr>
                <w:rFonts w:hint="default" w:ascii="Times New Roman" w:hAnsi="Times New Roman" w:cs="Times New Roman"/>
                <w:sz w:val="24"/>
              </w:rPr>
              <w:t>（</w:t>
            </w:r>
            <w:r>
              <w:rPr>
                <w:rFonts w:hint="default" w:ascii="Times New Roman" w:hAnsi="Times New Roman" w:eastAsia="Times New Roman" w:cs="Times New Roman"/>
                <w:sz w:val="24"/>
              </w:rPr>
              <w:t>2023</w:t>
            </w:r>
            <w:r>
              <w:rPr>
                <w:rFonts w:hint="default" w:ascii="Times New Roman" w:hAnsi="Times New Roman" w:cs="Times New Roman"/>
                <w:sz w:val="24"/>
              </w:rPr>
              <w:t>版</w:t>
            </w:r>
            <w:r>
              <w:rPr>
                <w:rFonts w:hint="default" w:ascii="Times New Roman" w:hAnsi="Times New Roman" w:cs="Times New Roman"/>
                <w:spacing w:val="-20"/>
                <w:sz w:val="24"/>
              </w:rPr>
              <w:t>）</w:t>
            </w:r>
            <w:r>
              <w:rPr>
                <w:rFonts w:hint="default" w:ascii="Times New Roman" w:hAnsi="Times New Roman" w:cs="Times New Roman"/>
                <w:spacing w:val="-8"/>
                <w:sz w:val="24"/>
              </w:rPr>
              <w:t>等文件可知，湖南东安经</w:t>
            </w:r>
            <w:r>
              <w:rPr>
                <w:rFonts w:hint="default" w:ascii="Times New Roman" w:hAnsi="Times New Roman" w:cs="Times New Roman"/>
                <w:spacing w:val="-11"/>
                <w:sz w:val="24"/>
              </w:rPr>
              <w:t>济开发区属于重点管控单元</w:t>
            </w:r>
            <w:r>
              <w:rPr>
                <w:rFonts w:hint="default" w:ascii="Times New Roman" w:hAnsi="Times New Roman" w:cs="Times New Roman"/>
                <w:spacing w:val="-8"/>
                <w:sz w:val="24"/>
              </w:rPr>
              <w:t>（</w:t>
            </w:r>
            <w:r>
              <w:rPr>
                <w:rFonts w:hint="default" w:ascii="Times New Roman" w:hAnsi="Times New Roman" w:cs="Times New Roman"/>
                <w:spacing w:val="-13"/>
                <w:sz w:val="24"/>
              </w:rPr>
              <w:t>环境管控单元编码为：</w:t>
            </w:r>
            <w:r>
              <w:rPr>
                <w:rFonts w:hint="default" w:ascii="Times New Roman" w:hAnsi="Times New Roman" w:eastAsia="Times New Roman" w:cs="Times New Roman"/>
                <w:spacing w:val="-3"/>
                <w:sz w:val="24"/>
              </w:rPr>
              <w:t>Z</w:t>
            </w:r>
            <w:r>
              <w:rPr>
                <w:rFonts w:hint="default" w:ascii="Times New Roman" w:hAnsi="Times New Roman" w:eastAsia="Times New Roman" w:cs="Times New Roman"/>
                <w:spacing w:val="-1"/>
                <w:sz w:val="24"/>
              </w:rPr>
              <w:t>H</w:t>
            </w:r>
            <w:r>
              <w:rPr>
                <w:rFonts w:hint="default" w:ascii="Times New Roman" w:hAnsi="Times New Roman" w:eastAsia="Times New Roman" w:cs="Times New Roman"/>
                <w:sz w:val="24"/>
              </w:rPr>
              <w:t>4</w:t>
            </w:r>
            <w:r>
              <w:rPr>
                <w:rFonts w:hint="default" w:ascii="Times New Roman" w:hAnsi="Times New Roman" w:eastAsia="Times New Roman" w:cs="Times New Roman"/>
                <w:spacing w:val="-3"/>
                <w:sz w:val="24"/>
              </w:rPr>
              <w:t>3</w:t>
            </w:r>
            <w:r>
              <w:rPr>
                <w:rFonts w:hint="default" w:ascii="Times New Roman" w:hAnsi="Times New Roman" w:eastAsia="Times New Roman" w:cs="Times New Roman"/>
                <w:spacing w:val="-10"/>
                <w:sz w:val="24"/>
              </w:rPr>
              <w:t>1</w:t>
            </w:r>
            <w:r>
              <w:rPr>
                <w:rFonts w:hint="default" w:ascii="Times New Roman" w:hAnsi="Times New Roman" w:eastAsia="Times New Roman" w:cs="Times New Roman"/>
                <w:spacing w:val="-3"/>
                <w:sz w:val="24"/>
              </w:rPr>
              <w:t>1222000</w:t>
            </w:r>
            <w:r>
              <w:rPr>
                <w:rFonts w:hint="default" w:ascii="Times New Roman" w:hAnsi="Times New Roman" w:eastAsia="Times New Roman" w:cs="Times New Roman"/>
                <w:sz w:val="24"/>
              </w:rPr>
              <w:t>4</w:t>
            </w:r>
            <w:r>
              <w:rPr>
                <w:rFonts w:hint="default" w:ascii="Times New Roman" w:hAnsi="Times New Roman" w:cs="Times New Roman"/>
                <w:spacing w:val="-123"/>
                <w:sz w:val="24"/>
              </w:rPr>
              <w:t>）</w:t>
            </w:r>
            <w:r>
              <w:rPr>
                <w:rFonts w:hint="default" w:eastAsia="宋体" w:cs="Times New Roman"/>
                <w:sz w:val="24"/>
                <w:lang w:eastAsia="zh-CN"/>
              </w:rPr>
              <w:t>），</w:t>
            </w:r>
            <w:r>
              <w:rPr>
                <w:rFonts w:hint="default" w:ascii="Times New Roman" w:hAnsi="Times New Roman" w:cs="Times New Roman"/>
                <w:spacing w:val="-3"/>
                <w:sz w:val="24"/>
              </w:rPr>
              <w:t>项目采取有效三废处理措施，符合区域总体规划、产业定位及环保规</w:t>
            </w:r>
            <w:r>
              <w:rPr>
                <w:rFonts w:hint="default" w:ascii="Times New Roman" w:hAnsi="Times New Roman" w:cs="Times New Roman"/>
                <w:spacing w:val="-4"/>
                <w:sz w:val="24"/>
              </w:rPr>
              <w:t>划要求。</w:t>
            </w:r>
          </w:p>
          <w:p w14:paraId="4936E1BD">
            <w:pPr>
              <w:pStyle w:val="48"/>
              <w:jc w:val="center"/>
              <w:rPr>
                <w:rFonts w:hint="default" w:ascii="Times New Roman" w:hAnsi="Times New Roman" w:cs="Times New Roman"/>
                <w:b/>
                <w:bCs/>
                <w:color w:val="auto"/>
                <w:sz w:val="21"/>
                <w:szCs w:val="21"/>
                <w:u w:val="none"/>
                <w:lang w:val="en-GB"/>
              </w:rPr>
            </w:pPr>
            <w:r>
              <w:rPr>
                <w:rFonts w:hint="default" w:ascii="Times New Roman" w:hAnsi="Times New Roman" w:cs="Times New Roman"/>
                <w:b/>
                <w:bCs/>
                <w:color w:val="auto"/>
                <w:sz w:val="21"/>
                <w:szCs w:val="21"/>
                <w:u w:val="none"/>
                <w:lang w:val="en-GB"/>
              </w:rPr>
              <w:t>表</w:t>
            </w:r>
            <w:r>
              <w:rPr>
                <w:rFonts w:hint="default" w:ascii="Times New Roman" w:hAnsi="Times New Roman" w:eastAsia="宋体" w:cs="Times New Roman"/>
                <w:b/>
                <w:bCs/>
                <w:color w:val="auto"/>
                <w:sz w:val="21"/>
                <w:szCs w:val="21"/>
                <w:u w:val="none"/>
                <w:lang w:val="en-GB"/>
              </w:rPr>
              <w:t>1-</w:t>
            </w:r>
            <w:r>
              <w:rPr>
                <w:rFonts w:hint="default" w:ascii="Times New Roman" w:hAnsi="Times New Roman" w:eastAsia="宋体" w:cs="Times New Roman"/>
                <w:b/>
                <w:bCs/>
                <w:color w:val="auto"/>
                <w:sz w:val="21"/>
                <w:szCs w:val="21"/>
                <w:u w:val="none"/>
                <w:lang w:val="en-GB" w:eastAsia="zh-CN"/>
              </w:rPr>
              <w:t>5</w:t>
            </w:r>
            <w:r>
              <w:rPr>
                <w:rFonts w:hint="default" w:ascii="Times New Roman" w:hAnsi="Times New Roman" w:eastAsia="宋体" w:cs="Times New Roman"/>
                <w:b/>
                <w:bCs/>
                <w:color w:val="auto"/>
                <w:sz w:val="21"/>
                <w:szCs w:val="21"/>
                <w:u w:val="none"/>
                <w:lang w:val="en-GB"/>
              </w:rPr>
              <w:tab/>
            </w:r>
            <w:r>
              <w:rPr>
                <w:rFonts w:hint="default" w:ascii="Times New Roman" w:hAnsi="Times New Roman" w:cs="Times New Roman"/>
                <w:b/>
                <w:bCs/>
                <w:color w:val="auto"/>
                <w:sz w:val="21"/>
                <w:szCs w:val="21"/>
                <w:u w:val="none"/>
                <w:lang w:val="en-GB"/>
              </w:rPr>
              <w:t>关于湖南东安经济开发区相关管控要求</w:t>
            </w:r>
          </w:p>
          <w:tbl>
            <w:tblPr>
              <w:tblStyle w:val="38"/>
              <w:tblW w:w="0" w:type="auto"/>
              <w:tblInd w:w="-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3220"/>
              <w:gridCol w:w="2326"/>
              <w:gridCol w:w="925"/>
            </w:tblGrid>
            <w:tr w14:paraId="4B48E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8" w:type="dxa"/>
                  <w:tcBorders>
                    <w:tl2br w:val="nil"/>
                    <w:tr2bl w:val="nil"/>
                  </w:tcBorders>
                  <w:noWrap w:val="0"/>
                  <w:vAlign w:val="center"/>
                </w:tcPr>
                <w:p w14:paraId="216FED03">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管控维度</w:t>
                  </w:r>
                </w:p>
              </w:tc>
              <w:tc>
                <w:tcPr>
                  <w:tcW w:w="3220" w:type="dxa"/>
                  <w:tcBorders>
                    <w:tl2br w:val="nil"/>
                    <w:tr2bl w:val="nil"/>
                  </w:tcBorders>
                  <w:noWrap w:val="0"/>
                  <w:vAlign w:val="center"/>
                </w:tcPr>
                <w:p w14:paraId="5DA99947">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管控要求</w:t>
                  </w:r>
                </w:p>
              </w:tc>
              <w:tc>
                <w:tcPr>
                  <w:tcW w:w="2326" w:type="dxa"/>
                  <w:tcBorders>
                    <w:tl2br w:val="nil"/>
                    <w:tr2bl w:val="nil"/>
                  </w:tcBorders>
                  <w:noWrap w:val="0"/>
                  <w:vAlign w:val="center"/>
                </w:tcPr>
                <w:p w14:paraId="54DBD152">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本项目情况</w:t>
                  </w:r>
                </w:p>
              </w:tc>
              <w:tc>
                <w:tcPr>
                  <w:tcW w:w="925" w:type="dxa"/>
                  <w:tcBorders>
                    <w:tl2br w:val="nil"/>
                    <w:tr2bl w:val="nil"/>
                  </w:tcBorders>
                  <w:noWrap w:val="0"/>
                  <w:vAlign w:val="center"/>
                </w:tcPr>
                <w:p w14:paraId="13795F4C">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符合性分析</w:t>
                  </w:r>
                </w:p>
              </w:tc>
            </w:tr>
            <w:tr w14:paraId="179D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8" w:type="dxa"/>
                  <w:tcBorders>
                    <w:tl2br w:val="nil"/>
                    <w:tr2bl w:val="nil"/>
                  </w:tcBorders>
                  <w:noWrap w:val="0"/>
                  <w:vAlign w:val="center"/>
                </w:tcPr>
                <w:p w14:paraId="3F69F523">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空间布局约束</w:t>
                  </w:r>
                </w:p>
              </w:tc>
              <w:tc>
                <w:tcPr>
                  <w:tcW w:w="3220" w:type="dxa"/>
                  <w:tcBorders>
                    <w:tl2br w:val="nil"/>
                    <w:tr2bl w:val="nil"/>
                  </w:tcBorders>
                  <w:noWrap w:val="0"/>
                  <w:vAlign w:val="center"/>
                </w:tcPr>
                <w:p w14:paraId="24D599BD">
                  <w:pPr>
                    <w:spacing w:beforeLines="0" w:afterLines="0"/>
                    <w:jc w:val="left"/>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区块一、二(白牙片区)：(1.1)禁止引进气型污染大的大型企业及涉重金属排放企业、选矿企业，资源节约综合利用产业仅在芦洪片区规划的三类工业用地上建设，电子信息产业不得引入电镀工序，园区避免引入大规模喷涂工艺。</w:t>
                  </w:r>
                </w:p>
              </w:tc>
              <w:tc>
                <w:tcPr>
                  <w:tcW w:w="2326" w:type="dxa"/>
                  <w:tcBorders>
                    <w:tl2br w:val="nil"/>
                    <w:tr2bl w:val="nil"/>
                  </w:tcBorders>
                  <w:noWrap w:val="0"/>
                  <w:vAlign w:val="center"/>
                </w:tcPr>
                <w:p w14:paraId="62481692">
                  <w:pPr>
                    <w:spacing w:beforeLines="0" w:afterLines="0"/>
                    <w:jc w:val="left"/>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本项目为热塑性弹性体注塑加工项目，不属于气型污染大的企业，不涉及重金属排放、选矿、电镀、大规模喷涂工艺，符合白牙片区空间布局管控要求。</w:t>
                  </w:r>
                </w:p>
              </w:tc>
              <w:tc>
                <w:tcPr>
                  <w:tcW w:w="925" w:type="dxa"/>
                  <w:tcBorders>
                    <w:tl2br w:val="nil"/>
                    <w:tr2bl w:val="nil"/>
                  </w:tcBorders>
                  <w:noWrap w:val="0"/>
                  <w:vAlign w:val="center"/>
                </w:tcPr>
                <w:p w14:paraId="2E1840A9">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符合</w:t>
                  </w:r>
                </w:p>
              </w:tc>
            </w:tr>
            <w:tr w14:paraId="70BCF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8" w:type="dxa"/>
                  <w:tcBorders>
                    <w:tl2br w:val="nil"/>
                    <w:tr2bl w:val="nil"/>
                  </w:tcBorders>
                  <w:noWrap w:val="0"/>
                  <w:vAlign w:val="center"/>
                </w:tcPr>
                <w:p w14:paraId="5E5DBD53">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污染物排放管控</w:t>
                  </w:r>
                </w:p>
              </w:tc>
              <w:tc>
                <w:tcPr>
                  <w:tcW w:w="3220" w:type="dxa"/>
                  <w:tcBorders>
                    <w:tl2br w:val="nil"/>
                    <w:tr2bl w:val="nil"/>
                  </w:tcBorders>
                  <w:noWrap w:val="0"/>
                  <w:vAlign w:val="center"/>
                </w:tcPr>
                <w:p w14:paraId="438C93E2">
                  <w:pPr>
                    <w:spacing w:beforeLines="0" w:afterLines="0"/>
                    <w:jc w:val="left"/>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2.1废水：区块一、二(白牙片区)：废污水经工业园污水处理厂处理达标后排入松江河。雨水随地形经周边小溪汇入紫水河。片区内企业废水排放执行《污水综合排放标准》(GB8978-1996)表4三级标准或相应行业间接排放标准限值要求进入县城污水处理厂处理。区块三、四、五(芦洪片区)：现有企业废水依托芦洪市镇污水处理厂处理达标后排入芦洪江。雨水随地形汇入芦洪市河。2.2废气：(2.2.1)对各企业有工艺废气产污节点，应配置废气收集与处理净化装置，做到达标排放；采取有效措施，减少工艺废气的无组织排放。(2.2.2)新、改、扩建涉及VOCs排放项目，大力推广使用低(无)VOCs含量的原辅材料，配套改进生产工艺。2.3固废：做好工业固体废物和生活垃圾的分类收集、转运、综合利用和无害化处理，建立统一的固废收集、贮存、运输、综合利用和安全处置的管理体系。推行清洁生产，减少固体废物产生量；规范固体废物处理措施，对危险固废按国家有关规定综合利用或妥善处置，严防二次污染。2.4高污染燃料禁燃区：区块一、二(白牙片区)涉及高污染燃料禁燃区范围，严格执行禁燃区相关要求。</w:t>
                  </w:r>
                </w:p>
              </w:tc>
              <w:tc>
                <w:tcPr>
                  <w:tcW w:w="2326" w:type="dxa"/>
                  <w:tcBorders>
                    <w:tl2br w:val="nil"/>
                    <w:tr2bl w:val="nil"/>
                  </w:tcBorders>
                  <w:noWrap w:val="0"/>
                  <w:vAlign w:val="center"/>
                </w:tcPr>
                <w:p w14:paraId="3F4B45D4">
                  <w:pPr>
                    <w:spacing w:beforeLines="0" w:afterLines="0"/>
                    <w:jc w:val="left"/>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本项目位于白牙片区，</w:t>
                  </w:r>
                  <w:r>
                    <w:rPr>
                      <w:rFonts w:hint="default" w:cs="Times New Roman"/>
                      <w:color w:val="000000"/>
                      <w:sz w:val="21"/>
                      <w:szCs w:val="21"/>
                      <w:lang w:val="en-US" w:eastAsia="zh-CN"/>
                    </w:rPr>
                    <w:t>项目无生产废水，</w:t>
                  </w:r>
                  <w:r>
                    <w:rPr>
                      <w:rFonts w:hint="default" w:ascii="Times New Roman" w:hAnsi="Times New Roman" w:eastAsia="宋体" w:cs="Times New Roman"/>
                      <w:color w:val="000000"/>
                      <w:sz w:val="21"/>
                      <w:szCs w:val="21"/>
                    </w:rPr>
                    <w:t>生</w:t>
                  </w:r>
                  <w:r>
                    <w:rPr>
                      <w:rFonts w:hint="default" w:cs="Times New Roman"/>
                      <w:color w:val="000000"/>
                      <w:sz w:val="21"/>
                      <w:szCs w:val="21"/>
                      <w:lang w:val="en-US" w:eastAsia="zh-CN"/>
                    </w:rPr>
                    <w:t>活污水</w:t>
                  </w:r>
                  <w:r>
                    <w:rPr>
                      <w:rFonts w:hint="default" w:ascii="Times New Roman" w:hAnsi="Times New Roman" w:eastAsia="宋体" w:cs="Times New Roman"/>
                      <w:color w:val="000000"/>
                      <w:sz w:val="21"/>
                      <w:szCs w:val="21"/>
                    </w:rPr>
                    <w:t>经化粪池预处理</w:t>
                  </w:r>
                  <w:r>
                    <w:rPr>
                      <w:rFonts w:hint="eastAsia" w:cs="Times New Roman"/>
                      <w:color w:val="000000"/>
                      <w:sz w:val="21"/>
                      <w:szCs w:val="21"/>
                      <w:lang w:eastAsia="zh-CN"/>
                    </w:rPr>
                    <w:t>达到</w:t>
                  </w:r>
                  <w:r>
                    <w:rPr>
                      <w:rFonts w:hint="default" w:ascii="Times New Roman" w:hAnsi="Times New Roman" w:eastAsia="宋体" w:cs="Times New Roman"/>
                      <w:color w:val="000000"/>
                      <w:sz w:val="21"/>
                      <w:szCs w:val="21"/>
                    </w:rPr>
                    <w:t>《污水综合排放标准》（GB8978-1996）表4三级</w:t>
                  </w:r>
                  <w:r>
                    <w:rPr>
                      <w:rFonts w:hint="default" w:ascii="Times New Roman" w:hAnsi="Times New Roman" w:eastAsia="宋体" w:cs="Times New Roman"/>
                      <w:color w:val="000000"/>
                      <w:sz w:val="21"/>
                      <w:szCs w:val="21"/>
                      <w:u w:val="none"/>
                      <w:lang w:val="en-GB"/>
                    </w:rPr>
                    <w:t>及园区污水处理厂纳管标准较严值</w:t>
                  </w:r>
                  <w:r>
                    <w:rPr>
                      <w:rFonts w:hint="default" w:ascii="Times New Roman" w:hAnsi="Times New Roman" w:eastAsia="宋体" w:cs="Times New Roman"/>
                      <w:color w:val="000000"/>
                      <w:sz w:val="21"/>
                      <w:szCs w:val="21"/>
                    </w:rPr>
                    <w:t>后，排入市政污水管网进入东安经济开发区污水处理厂处理；注塑工序产生的VOCs废气经密闭集气罩收集后，采用二级活性炭吸附装置处理，通过</w:t>
                  </w:r>
                  <w:r>
                    <w:rPr>
                      <w:rFonts w:hint="default" w:ascii="Times New Roman" w:hAnsi="Times New Roman" w:eastAsia="宋体" w:cs="Times New Roman"/>
                      <w:color w:val="000000"/>
                      <w:sz w:val="21"/>
                      <w:szCs w:val="21"/>
                      <w:lang w:val="en-US" w:eastAsia="zh-CN"/>
                    </w:rPr>
                    <w:t>15</w:t>
                  </w:r>
                  <w:r>
                    <w:rPr>
                      <w:rFonts w:hint="default" w:ascii="Times New Roman" w:hAnsi="Times New Roman" w:eastAsia="宋体" w:cs="Times New Roman"/>
                      <w:color w:val="000000"/>
                      <w:sz w:val="21"/>
                      <w:szCs w:val="21"/>
                    </w:rPr>
                    <w:t>m高排气筒高空排放；混料、破碎工序配套密闭抑尘措施，无组织废气排放可控；项目选用低VOCs含量的石蜡油原辅材料，符合源头替代要求。项目配套建设一般固废贮存间、规范危废暂存间，工业固体废物和生活垃圾分类收集、转运，危险废物在厂内规范暂存后，交由有资质单位合规处置，各类固废均妥善处置。项目全部使用电能清洁能源，不使用高污染燃料，符合禁燃区管控要求。</w:t>
                  </w:r>
                </w:p>
              </w:tc>
              <w:tc>
                <w:tcPr>
                  <w:tcW w:w="925" w:type="dxa"/>
                  <w:tcBorders>
                    <w:tl2br w:val="nil"/>
                    <w:tr2bl w:val="nil"/>
                  </w:tcBorders>
                  <w:noWrap w:val="0"/>
                  <w:vAlign w:val="center"/>
                </w:tcPr>
                <w:p w14:paraId="13C831D2">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符合</w:t>
                  </w:r>
                </w:p>
              </w:tc>
            </w:tr>
            <w:tr w14:paraId="05B0F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8" w:type="dxa"/>
                  <w:tcBorders>
                    <w:tl2br w:val="nil"/>
                    <w:tr2bl w:val="nil"/>
                  </w:tcBorders>
                  <w:noWrap w:val="0"/>
                  <w:vAlign w:val="center"/>
                </w:tcPr>
                <w:p w14:paraId="66ECC1F3">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环境风险防控</w:t>
                  </w:r>
                </w:p>
              </w:tc>
              <w:tc>
                <w:tcPr>
                  <w:tcW w:w="3220" w:type="dxa"/>
                  <w:tcBorders>
                    <w:tl2br w:val="nil"/>
                    <w:tr2bl w:val="nil"/>
                  </w:tcBorders>
                  <w:noWrap w:val="0"/>
                  <w:vAlign w:val="center"/>
                </w:tcPr>
                <w:p w14:paraId="01DFC98B">
                  <w:pPr>
                    <w:spacing w:beforeLines="0" w:afterLines="0"/>
                    <w:jc w:val="left"/>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(3.1)加强园区环境风险预警、防控和应急体系建设。经开区应组织落实《湖南东安经济开发区突发环境事件应急预案》的相关要求，建立环境风险防控管理工作长效机制，建立健全环境风险信息库和环境风险事故防范措施，全面提升园区风险防控和事故应急处置能力。在园区雨水排放口设置截留阀，有相应风险的企业应设置初期雨水池。(3.2)可能发生突发环境事件的污染物排放企业，生产、储存、运输、使用危险化学品的企业，产生、收集、贮存、运输危险废物的企业等应当编制和实施环境应急预案；(3.3)对各类涉及可能造成土壤污染的新(改、扩)建项目，依法进行环境影响评价，严格落实土壤污染防治具体措施，与主体工程同时设计、同时施工、同时投产使用。</w:t>
                  </w:r>
                </w:p>
              </w:tc>
              <w:tc>
                <w:tcPr>
                  <w:tcW w:w="2326" w:type="dxa"/>
                  <w:tcBorders>
                    <w:tl2br w:val="nil"/>
                    <w:tr2bl w:val="nil"/>
                  </w:tcBorders>
                  <w:noWrap w:val="0"/>
                  <w:vAlign w:val="center"/>
                </w:tcPr>
                <w:p w14:paraId="6312CD8A">
                  <w:pPr>
                    <w:spacing w:beforeLines="0" w:afterLines="0"/>
                    <w:jc w:val="left"/>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本项目严格落实环境风险防范及应急措施，车间地面全部做硬化防渗处理，设置应急收集沟、应急收集桶，按要求编制突发环境事件应急预案并备案；项目无土壤污染风险源，不会对土壤环境造成污染，符合土壤污染防控要求。</w:t>
                  </w:r>
                </w:p>
              </w:tc>
              <w:tc>
                <w:tcPr>
                  <w:tcW w:w="925" w:type="dxa"/>
                  <w:tcBorders>
                    <w:tl2br w:val="nil"/>
                    <w:tr2bl w:val="nil"/>
                  </w:tcBorders>
                  <w:noWrap w:val="0"/>
                  <w:vAlign w:val="center"/>
                </w:tcPr>
                <w:p w14:paraId="48364447">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符合</w:t>
                  </w:r>
                </w:p>
              </w:tc>
            </w:tr>
            <w:tr w14:paraId="08575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08" w:type="dxa"/>
                  <w:tcBorders>
                    <w:tl2br w:val="nil"/>
                    <w:tr2bl w:val="nil"/>
                  </w:tcBorders>
                  <w:noWrap w:val="0"/>
                  <w:vAlign w:val="center"/>
                </w:tcPr>
                <w:p w14:paraId="6A13DD2A">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资源开发效率要求</w:t>
                  </w:r>
                </w:p>
              </w:tc>
              <w:tc>
                <w:tcPr>
                  <w:tcW w:w="3220" w:type="dxa"/>
                  <w:tcBorders>
                    <w:tl2br w:val="nil"/>
                    <w:tr2bl w:val="nil"/>
                  </w:tcBorders>
                  <w:noWrap w:val="0"/>
                  <w:vAlign w:val="center"/>
                </w:tcPr>
                <w:p w14:paraId="0C5A9B7F">
                  <w:pPr>
                    <w:spacing w:beforeLines="0" w:afterLines="0"/>
                    <w:jc w:val="left"/>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(4.1)能源：加快天然气管网建设和清洁能源推广，各片区新引进企业必须采用天然气等清洁能源，对现有企业进行能源结构清洁化改造。(4.2)水资源：强化工业节水，淘汰落后的用水技术、工艺、产品和设备，大力推广工业水循环利用，推进节水型企业、节水型工业园区建设。(4.3)土地资源：促进园区土地高质量利用，全面推行工业项目建设用地引导指标和工业项目供地负面清单管理，落实工业用地固定资产投入强度、地均税收管控要求。</w:t>
                  </w:r>
                </w:p>
              </w:tc>
              <w:tc>
                <w:tcPr>
                  <w:tcW w:w="2326" w:type="dxa"/>
                  <w:tcBorders>
                    <w:tl2br w:val="nil"/>
                    <w:tr2bl w:val="nil"/>
                  </w:tcBorders>
                  <w:noWrap w:val="0"/>
                  <w:vAlign w:val="center"/>
                </w:tcPr>
                <w:p w14:paraId="5599B52A">
                  <w:pPr>
                    <w:spacing w:beforeLines="0" w:afterLines="0"/>
                    <w:jc w:val="left"/>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本项目不属于高污染、高耗能企业，全部使用电能清洁能源，符合能源管控要求；项目用水量较少，冷却水循环回用，符合节水管控要求；项目用地为工业用地，符合园区土地利用管控要求。</w:t>
                  </w:r>
                </w:p>
              </w:tc>
              <w:tc>
                <w:tcPr>
                  <w:tcW w:w="925" w:type="dxa"/>
                  <w:tcBorders>
                    <w:tl2br w:val="nil"/>
                    <w:tr2bl w:val="nil"/>
                  </w:tcBorders>
                  <w:noWrap w:val="0"/>
                  <w:vAlign w:val="center"/>
                </w:tcPr>
                <w:p w14:paraId="5AE21909">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符合</w:t>
                  </w:r>
                </w:p>
              </w:tc>
            </w:tr>
          </w:tbl>
          <w:p w14:paraId="0D7BAA0D">
            <w:pPr>
              <w:widowControl/>
              <w:numPr>
                <w:ilvl w:val="0"/>
                <w:numId w:val="2"/>
              </w:numPr>
              <w:spacing w:line="360" w:lineRule="auto"/>
              <w:ind w:firstLine="482" w:firstLineChars="200"/>
              <w:jc w:val="left"/>
              <w:rPr>
                <w:rFonts w:hint="default" w:ascii="Times New Roman" w:hAnsi="Times New Roman" w:eastAsia="宋体" w:cs="Times New Roman"/>
                <w:b/>
                <w:bCs/>
                <w:kern w:val="0"/>
                <w:sz w:val="24"/>
                <w:u w:val="none"/>
                <w:lang w:bidi="ar"/>
              </w:rPr>
            </w:pPr>
            <w:r>
              <w:rPr>
                <w:rFonts w:hint="default" w:ascii="Times New Roman" w:hAnsi="Times New Roman" w:eastAsia="宋体" w:cs="Times New Roman"/>
                <w:b/>
                <w:bCs/>
                <w:kern w:val="0"/>
                <w:sz w:val="24"/>
                <w:u w:val="none"/>
                <w:lang w:bidi="ar"/>
              </w:rPr>
              <w:t>项目与挥发性有机物相关环保政策相符性分析</w:t>
            </w:r>
          </w:p>
          <w:p w14:paraId="367D86AB">
            <w:pPr>
              <w:pStyle w:val="48"/>
              <w:jc w:val="center"/>
              <w:rPr>
                <w:rFonts w:hint="default" w:ascii="Times New Roman" w:hAnsi="Times New Roman" w:eastAsia="宋体" w:cs="Times New Roman"/>
                <w:b/>
                <w:bCs/>
                <w:color w:val="auto"/>
                <w:kern w:val="2"/>
                <w:sz w:val="21"/>
                <w:szCs w:val="21"/>
                <w:u w:val="none"/>
                <w:lang w:val="en-GB" w:bidi="ar"/>
              </w:rPr>
            </w:pPr>
            <w:r>
              <w:rPr>
                <w:rFonts w:hint="default" w:ascii="Times New Roman" w:hAnsi="Times New Roman" w:cs="Times New Roman"/>
                <w:b/>
                <w:bCs/>
                <w:color w:val="auto"/>
                <w:sz w:val="21"/>
                <w:szCs w:val="21"/>
                <w:u w:val="none"/>
                <w:lang w:val="en-GB"/>
              </w:rPr>
              <w:t>表</w:t>
            </w:r>
            <w:r>
              <w:rPr>
                <w:rFonts w:hint="default" w:ascii="Times New Roman" w:hAnsi="Times New Roman" w:eastAsia="宋体" w:cs="Times New Roman"/>
                <w:b/>
                <w:bCs/>
                <w:color w:val="auto"/>
                <w:sz w:val="21"/>
                <w:szCs w:val="21"/>
                <w:u w:val="none"/>
                <w:lang w:val="en-GB"/>
              </w:rPr>
              <w:t>1-</w:t>
            </w:r>
            <w:r>
              <w:rPr>
                <w:rFonts w:hint="default" w:ascii="Times New Roman" w:hAnsi="Times New Roman" w:eastAsia="宋体" w:cs="Times New Roman"/>
                <w:b/>
                <w:bCs/>
                <w:color w:val="auto"/>
                <w:sz w:val="21"/>
                <w:szCs w:val="21"/>
                <w:u w:val="none"/>
                <w:lang w:val="en-GB" w:eastAsia="zh-CN"/>
              </w:rPr>
              <w:t xml:space="preserve">6 </w:t>
            </w:r>
            <w:r>
              <w:rPr>
                <w:rFonts w:hint="default" w:ascii="Times New Roman" w:hAnsi="Times New Roman" w:cs="Times New Roman"/>
                <w:b/>
                <w:bCs/>
                <w:color w:val="auto"/>
                <w:sz w:val="21"/>
                <w:szCs w:val="21"/>
                <w:u w:val="none"/>
                <w:lang w:val="en-GB"/>
              </w:rPr>
              <w:t>挥发性有机物相关环保政策相符性一览表</w:t>
            </w:r>
          </w:p>
          <w:tbl>
            <w:tblPr>
              <w:tblStyle w:val="38"/>
              <w:tblW w:w="0" w:type="auto"/>
              <w:tblInd w:w="-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5"/>
              <w:gridCol w:w="1518"/>
              <w:gridCol w:w="2275"/>
              <w:gridCol w:w="1936"/>
              <w:gridCol w:w="936"/>
            </w:tblGrid>
            <w:tr w14:paraId="33B48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trPr>
              <w:tc>
                <w:tcPr>
                  <w:tcW w:w="515" w:type="dxa"/>
                  <w:tcBorders>
                    <w:tl2br w:val="nil"/>
                    <w:tr2bl w:val="nil"/>
                  </w:tcBorders>
                  <w:noWrap w:val="0"/>
                  <w:vAlign w:val="center"/>
                </w:tcPr>
                <w:p w14:paraId="1EADFE3B">
                  <w:pPr>
                    <w:spacing w:beforeLines="0" w:afterLine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序号</w:t>
                  </w:r>
                </w:p>
              </w:tc>
              <w:tc>
                <w:tcPr>
                  <w:tcW w:w="1518" w:type="dxa"/>
                  <w:tcBorders>
                    <w:tl2br w:val="nil"/>
                    <w:tr2bl w:val="nil"/>
                  </w:tcBorders>
                  <w:noWrap w:val="0"/>
                  <w:vAlign w:val="center"/>
                </w:tcPr>
                <w:p w14:paraId="7F0031C5">
                  <w:pPr>
                    <w:spacing w:beforeLines="0" w:afterLine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政策名称</w:t>
                  </w:r>
                </w:p>
              </w:tc>
              <w:tc>
                <w:tcPr>
                  <w:tcW w:w="2275" w:type="dxa"/>
                  <w:tcBorders>
                    <w:tl2br w:val="nil"/>
                    <w:tr2bl w:val="nil"/>
                  </w:tcBorders>
                  <w:noWrap w:val="0"/>
                  <w:vAlign w:val="center"/>
                </w:tcPr>
                <w:p w14:paraId="36BC82AB">
                  <w:pPr>
                    <w:spacing w:beforeLines="0" w:afterLines="0"/>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政策核心要求</w:t>
                  </w:r>
                </w:p>
              </w:tc>
              <w:tc>
                <w:tcPr>
                  <w:tcW w:w="1936" w:type="dxa"/>
                  <w:tcBorders>
                    <w:tl2br w:val="nil"/>
                    <w:tr2bl w:val="nil"/>
                  </w:tcBorders>
                  <w:noWrap w:val="0"/>
                  <w:vAlign w:val="center"/>
                </w:tcPr>
                <w:p w14:paraId="59714D5C">
                  <w:pPr>
                    <w:spacing w:beforeLines="0" w:afterLines="0"/>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本项目实际情况</w:t>
                  </w:r>
                </w:p>
              </w:tc>
              <w:tc>
                <w:tcPr>
                  <w:tcW w:w="936" w:type="dxa"/>
                  <w:tcBorders>
                    <w:tl2br w:val="nil"/>
                    <w:tr2bl w:val="nil"/>
                  </w:tcBorders>
                  <w:noWrap w:val="0"/>
                  <w:vAlign w:val="center"/>
                </w:tcPr>
                <w:p w14:paraId="7AA19130">
                  <w:pPr>
                    <w:spacing w:beforeLines="0" w:afterLine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相符性结论</w:t>
                  </w:r>
                </w:p>
              </w:tc>
            </w:tr>
            <w:tr w14:paraId="6730C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8" w:hRule="atLeast"/>
              </w:trPr>
              <w:tc>
                <w:tcPr>
                  <w:tcW w:w="515" w:type="dxa"/>
                  <w:tcBorders>
                    <w:tl2br w:val="nil"/>
                    <w:tr2bl w:val="nil"/>
                  </w:tcBorders>
                  <w:noWrap w:val="0"/>
                  <w:vAlign w:val="center"/>
                </w:tcPr>
                <w:p w14:paraId="1E225C52">
                  <w:pPr>
                    <w:spacing w:beforeLines="0" w:afterLine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w:t>
                  </w:r>
                </w:p>
              </w:tc>
              <w:tc>
                <w:tcPr>
                  <w:tcW w:w="1518" w:type="dxa"/>
                  <w:tcBorders>
                    <w:tl2br w:val="nil"/>
                    <w:tr2bl w:val="nil"/>
                  </w:tcBorders>
                  <w:noWrap w:val="0"/>
                  <w:vAlign w:val="center"/>
                </w:tcPr>
                <w:p w14:paraId="3E7A05EA">
                  <w:pPr>
                    <w:spacing w:beforeLines="0" w:afterLine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《湖南省“十四五”生态环境保护规划》</w:t>
                  </w:r>
                </w:p>
              </w:tc>
              <w:tc>
                <w:tcPr>
                  <w:tcW w:w="2275" w:type="dxa"/>
                  <w:tcBorders>
                    <w:tl2br w:val="nil"/>
                    <w:tr2bl w:val="nil"/>
                  </w:tcBorders>
                  <w:noWrap w:val="0"/>
                  <w:vAlign w:val="center"/>
                </w:tcPr>
                <w:p w14:paraId="6F3B12D1">
                  <w:pPr>
                    <w:numPr>
                      <w:ilvl w:val="0"/>
                      <w:numId w:val="3"/>
                    </w:numPr>
                    <w:spacing w:beforeLines="0" w:afterLines="0"/>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坚决遏制“两高”项目盲目发展，严格落实污染物排放区域削减要求，不符合规定的项目坚决停批、停建；</w:t>
                  </w:r>
                </w:p>
                <w:p w14:paraId="509C5EEC">
                  <w:pPr>
                    <w:numPr>
                      <w:ilvl w:val="0"/>
                      <w:numId w:val="0"/>
                    </w:numPr>
                    <w:spacing w:beforeLines="0" w:afterLines="0"/>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2.严格落实“三线一单”硬约束，以生态环境准入清单作为产业布局、项目选址的重要依据；3.以工业涂装、化工等行业为重点，实施VOCs原料替代、排放全过程控制，推广低VOCs含量原辅材料，从源头减少VOCs产生。</w:t>
                  </w:r>
                </w:p>
              </w:tc>
              <w:tc>
                <w:tcPr>
                  <w:tcW w:w="1936" w:type="dxa"/>
                  <w:tcBorders>
                    <w:tl2br w:val="nil"/>
                    <w:tr2bl w:val="nil"/>
                  </w:tcBorders>
                  <w:noWrap w:val="0"/>
                  <w:vAlign w:val="center"/>
                </w:tcPr>
                <w:p w14:paraId="1AD095DD">
                  <w:pPr>
                    <w:spacing w:beforeLines="0" w:afterLines="0"/>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根据《湖南省“两高”项目管理目录》，本项目不属于“两高”项目；2.项目选址不涉及生态保护红线，营运期污染物经处理后可达标排放，满足区域环境质量底线，资源利用不突破区域上线，符合湖南东安经济开发区生态环境准入清单管控要求；3.项目所用原辅材料不属于高挥发性有机物物料，注塑产生的VOCs废气经密闭收集+二级活性炭吸附装置高效处理，可实现达标排放。</w:t>
                  </w:r>
                </w:p>
              </w:tc>
              <w:tc>
                <w:tcPr>
                  <w:tcW w:w="936" w:type="dxa"/>
                  <w:tcBorders>
                    <w:tl2br w:val="nil"/>
                    <w:tr2bl w:val="nil"/>
                  </w:tcBorders>
                  <w:noWrap w:val="0"/>
                  <w:vAlign w:val="center"/>
                </w:tcPr>
                <w:p w14:paraId="00741E82">
                  <w:pPr>
                    <w:spacing w:beforeLines="0" w:afterLine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符合</w:t>
                  </w:r>
                </w:p>
              </w:tc>
            </w:tr>
            <w:tr w14:paraId="741A5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trPr>
              <w:tc>
                <w:tcPr>
                  <w:tcW w:w="515" w:type="dxa"/>
                  <w:tcBorders>
                    <w:tl2br w:val="nil"/>
                    <w:tr2bl w:val="nil"/>
                  </w:tcBorders>
                  <w:noWrap w:val="0"/>
                  <w:vAlign w:val="center"/>
                </w:tcPr>
                <w:p w14:paraId="2FB31561">
                  <w:pPr>
                    <w:spacing w:beforeLines="0" w:afterLine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2</w:t>
                  </w:r>
                </w:p>
              </w:tc>
              <w:tc>
                <w:tcPr>
                  <w:tcW w:w="1518" w:type="dxa"/>
                  <w:tcBorders>
                    <w:tl2br w:val="nil"/>
                    <w:tr2bl w:val="nil"/>
                  </w:tcBorders>
                  <w:noWrap w:val="0"/>
                  <w:vAlign w:val="center"/>
                </w:tcPr>
                <w:p w14:paraId="260D2D40">
                  <w:pPr>
                    <w:spacing w:beforeLines="0" w:afterLine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《永州市“十四五”生态环境保护规划》</w:t>
                  </w:r>
                </w:p>
              </w:tc>
              <w:tc>
                <w:tcPr>
                  <w:tcW w:w="2275" w:type="dxa"/>
                  <w:tcBorders>
                    <w:tl2br w:val="nil"/>
                    <w:tr2bl w:val="nil"/>
                  </w:tcBorders>
                  <w:noWrap w:val="0"/>
                  <w:vAlign w:val="center"/>
                </w:tcPr>
                <w:p w14:paraId="3EE7F000">
                  <w:pPr>
                    <w:numPr>
                      <w:ilvl w:val="0"/>
                      <w:numId w:val="4"/>
                    </w:numPr>
                    <w:spacing w:beforeLines="0" w:afterLines="0"/>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坚决遏制“两高”项目盲目发展，严格落实污染物排放区域削减要求；</w:t>
                  </w:r>
                </w:p>
                <w:p w14:paraId="3A255481">
                  <w:pPr>
                    <w:numPr>
                      <w:ilvl w:val="0"/>
                      <w:numId w:val="0"/>
                    </w:numPr>
                    <w:spacing w:beforeLines="0" w:afterLines="0"/>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2.涉VOCs行业实施综合治理，新、改、扩建涉VOCs排放项目，大力推广低（无）VOCs含量原辅材料，配套改进生产工艺，杜绝无组织排放；</w:t>
                  </w:r>
                </w:p>
                <w:p w14:paraId="5E9A7BD3">
                  <w:pPr>
                    <w:numPr>
                      <w:ilvl w:val="0"/>
                      <w:numId w:val="0"/>
                    </w:numPr>
                    <w:spacing w:beforeLines="0" w:afterLines="0"/>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3.企业需制定环境风险防范措施和突发环境事件应急预案，提升应急处置能力。</w:t>
                  </w:r>
                </w:p>
              </w:tc>
              <w:tc>
                <w:tcPr>
                  <w:tcW w:w="1936" w:type="dxa"/>
                  <w:tcBorders>
                    <w:tl2br w:val="nil"/>
                    <w:tr2bl w:val="nil"/>
                  </w:tcBorders>
                  <w:noWrap w:val="0"/>
                  <w:vAlign w:val="center"/>
                </w:tcPr>
                <w:p w14:paraId="5256A5C9">
                  <w:pPr>
                    <w:spacing w:beforeLines="0" w:afterLines="0"/>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1.本项目不属于湖南省“两高”项目管理目录内项目；</w:t>
                  </w:r>
                </w:p>
                <w:p w14:paraId="65BA0037">
                  <w:pPr>
                    <w:spacing w:beforeLines="0" w:afterLines="0"/>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2.项目注塑VOCs废气经集气罩密闭收集后，通过二级活性炭吸附装置处理，由</w:t>
                  </w:r>
                  <w:r>
                    <w:rPr>
                      <w:rFonts w:hint="default" w:cs="Times New Roman"/>
                      <w:color w:val="000000"/>
                      <w:sz w:val="21"/>
                      <w:szCs w:val="21"/>
                      <w:lang w:val="en-US" w:eastAsia="zh-CN"/>
                    </w:rPr>
                    <w:t>15</w:t>
                  </w:r>
                  <w:r>
                    <w:rPr>
                      <w:rFonts w:hint="default" w:ascii="Times New Roman" w:hAnsi="Times New Roman" w:cs="Times New Roman"/>
                      <w:color w:val="000000"/>
                      <w:sz w:val="21"/>
                      <w:szCs w:val="21"/>
                    </w:rPr>
                    <w:t>m高排气筒高空排放，所用原辅材料不属于高挥发性有机物物料，无露天作业、无组织直排情况；</w:t>
                  </w:r>
                </w:p>
                <w:p w14:paraId="0A73DCD7">
                  <w:pPr>
                    <w:spacing w:beforeLines="0" w:afterLines="0"/>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3.项目将严格落实环境风险防控措施，按要求编制突发环境事件应急预案并备案。</w:t>
                  </w:r>
                </w:p>
              </w:tc>
              <w:tc>
                <w:tcPr>
                  <w:tcW w:w="936" w:type="dxa"/>
                  <w:tcBorders>
                    <w:tl2br w:val="nil"/>
                    <w:tr2bl w:val="nil"/>
                  </w:tcBorders>
                  <w:noWrap w:val="0"/>
                  <w:vAlign w:val="center"/>
                </w:tcPr>
                <w:p w14:paraId="73845ECC">
                  <w:pPr>
                    <w:spacing w:beforeLines="0" w:afterLine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符合</w:t>
                  </w:r>
                </w:p>
              </w:tc>
            </w:tr>
            <w:tr w14:paraId="1DB64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9" w:hRule="atLeast"/>
              </w:trPr>
              <w:tc>
                <w:tcPr>
                  <w:tcW w:w="515" w:type="dxa"/>
                  <w:tcBorders>
                    <w:tl2br w:val="nil"/>
                    <w:tr2bl w:val="nil"/>
                  </w:tcBorders>
                  <w:noWrap w:val="0"/>
                  <w:vAlign w:val="center"/>
                </w:tcPr>
                <w:p w14:paraId="03117AC4">
                  <w:pPr>
                    <w:spacing w:beforeLines="0" w:afterLine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w:t>
                  </w:r>
                </w:p>
              </w:tc>
              <w:tc>
                <w:tcPr>
                  <w:tcW w:w="1518" w:type="dxa"/>
                  <w:tcBorders>
                    <w:tl2br w:val="nil"/>
                    <w:tr2bl w:val="nil"/>
                  </w:tcBorders>
                  <w:noWrap w:val="0"/>
                  <w:vAlign w:val="center"/>
                </w:tcPr>
                <w:p w14:paraId="648F6FB5">
                  <w:pPr>
                    <w:spacing w:beforeLines="0" w:afterLine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《挥发性有机物无组织排放控制标准》（GB37822—2019）</w:t>
                  </w:r>
                </w:p>
              </w:tc>
              <w:tc>
                <w:tcPr>
                  <w:tcW w:w="2275" w:type="dxa"/>
                  <w:tcBorders>
                    <w:tl2br w:val="nil"/>
                    <w:tr2bl w:val="nil"/>
                  </w:tcBorders>
                  <w:noWrap w:val="0"/>
                  <w:vAlign w:val="center"/>
                </w:tcPr>
                <w:p w14:paraId="610084A9">
                  <w:pPr>
                    <w:numPr>
                      <w:ilvl w:val="0"/>
                      <w:numId w:val="5"/>
                    </w:numPr>
                    <w:spacing w:beforeLines="0" w:afterLines="0"/>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VOCs物料应储存于密闭容器、包装袋中，非取用状态时加盖、封口，保持密闭；</w:t>
                  </w:r>
                </w:p>
                <w:p w14:paraId="54396CBE">
                  <w:pPr>
                    <w:numPr>
                      <w:ilvl w:val="0"/>
                      <w:numId w:val="5"/>
                    </w:numPr>
                    <w:spacing w:beforeLines="0" w:afterLines="0"/>
                    <w:ind w:left="0" w:leftChars="0" w:firstLine="0" w:firstLineChars="0"/>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粉状、粒状VOCs物料应采用密闭输送方式，或采用密闭包装袋、容器转移；</w:t>
                  </w:r>
                </w:p>
                <w:p w14:paraId="244E10D1">
                  <w:pPr>
                    <w:numPr>
                      <w:ilvl w:val="0"/>
                      <w:numId w:val="5"/>
                    </w:numPr>
                    <w:spacing w:beforeLines="0" w:afterLines="0"/>
                    <w:ind w:left="0" w:leftChars="0" w:firstLine="0" w:firstLineChars="0"/>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无法密闭投加的物料，应在密闭空间内操作，或进行局部气体收集，废气排至VOCs废气收集处理系统；</w:t>
                  </w:r>
                </w:p>
                <w:p w14:paraId="0B5D36BD">
                  <w:pPr>
                    <w:numPr>
                      <w:ilvl w:val="0"/>
                      <w:numId w:val="0"/>
                    </w:numPr>
                    <w:spacing w:beforeLines="0" w:afterLines="0"/>
                    <w:ind w:leftChars="0"/>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4.VOCs废气收集处理系统应与生产工艺设备同步运行，故障检修时对应生产设备应停止运行；</w:t>
                  </w:r>
                </w:p>
                <w:p w14:paraId="1CF61E6C">
                  <w:pPr>
                    <w:numPr>
                      <w:ilvl w:val="0"/>
                      <w:numId w:val="0"/>
                    </w:numPr>
                    <w:spacing w:beforeLines="0" w:afterLines="0"/>
                    <w:ind w:leftChars="0"/>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5.涉VOCs废气排气筒高度不低于15m，具体高度按环评文件确定。</w:t>
                  </w:r>
                </w:p>
              </w:tc>
              <w:tc>
                <w:tcPr>
                  <w:tcW w:w="1936" w:type="dxa"/>
                  <w:tcBorders>
                    <w:tl2br w:val="nil"/>
                    <w:tr2bl w:val="nil"/>
                  </w:tcBorders>
                  <w:noWrap w:val="0"/>
                  <w:vAlign w:val="center"/>
                </w:tcPr>
                <w:p w14:paraId="5A33DAD0">
                  <w:pPr>
                    <w:spacing w:beforeLines="0" w:afterLines="0"/>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1.项目SBS、SEBS粉料、TPE颗粒、石蜡油均采用密闭包装袋/容器储存，非取用状态时全程封口密闭；</w:t>
                  </w:r>
                </w:p>
                <w:p w14:paraId="5A3A2B95">
                  <w:pPr>
                    <w:spacing w:beforeLines="0" w:afterLines="0"/>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2.物料转移、投加均采用密闭方式操作，无敞口作业情况；</w:t>
                  </w:r>
                </w:p>
                <w:p w14:paraId="441BE662">
                  <w:pPr>
                    <w:spacing w:beforeLines="0" w:afterLines="0"/>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3.注塑、混料工序产生的VOCs废气经密闭集气罩全部收集，接入二级活性炭吸附装置处理后，通过</w:t>
                  </w:r>
                  <w:r>
                    <w:rPr>
                      <w:rFonts w:hint="default" w:ascii="Times New Roman" w:hAnsi="Times New Roman" w:cs="Times New Roman"/>
                      <w:color w:val="000000"/>
                      <w:sz w:val="21"/>
                      <w:szCs w:val="21"/>
                      <w:lang w:val="en-US" w:eastAsia="zh-CN"/>
                    </w:rPr>
                    <w:t>15</w:t>
                  </w:r>
                  <w:r>
                    <w:rPr>
                      <w:rFonts w:hint="default" w:ascii="Times New Roman" w:hAnsi="Times New Roman" w:cs="Times New Roman"/>
                      <w:color w:val="000000"/>
                      <w:sz w:val="21"/>
                      <w:szCs w:val="21"/>
                    </w:rPr>
                    <w:t>m高排气筒高空排放；</w:t>
                  </w:r>
                </w:p>
                <w:p w14:paraId="1517038C">
                  <w:pPr>
                    <w:spacing w:beforeLines="0" w:afterLines="0"/>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4.废气收集处理系统与生产设备同步运行，若处理系统故障检修，将同步停止生产作业；</w:t>
                  </w:r>
                </w:p>
                <w:p w14:paraId="50FF384F">
                  <w:pPr>
                    <w:spacing w:beforeLines="0" w:afterLines="0"/>
                    <w:jc w:val="left"/>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5.项目排气筒高度设置为</w:t>
                  </w:r>
                  <w:r>
                    <w:rPr>
                      <w:rFonts w:hint="default" w:ascii="Times New Roman" w:hAnsi="Times New Roman" w:cs="Times New Roman"/>
                      <w:color w:val="000000"/>
                      <w:sz w:val="21"/>
                      <w:szCs w:val="21"/>
                      <w:lang w:val="en-US" w:eastAsia="zh-CN"/>
                    </w:rPr>
                    <w:t>15</w:t>
                  </w:r>
                  <w:r>
                    <w:rPr>
                      <w:rFonts w:hint="default" w:ascii="Times New Roman" w:hAnsi="Times New Roman" w:cs="Times New Roman"/>
                      <w:color w:val="000000"/>
                      <w:sz w:val="21"/>
                      <w:szCs w:val="21"/>
                    </w:rPr>
                    <w:t>m，满足标准不低于15m的要求。</w:t>
                  </w:r>
                </w:p>
              </w:tc>
              <w:tc>
                <w:tcPr>
                  <w:tcW w:w="936" w:type="dxa"/>
                  <w:tcBorders>
                    <w:tl2br w:val="nil"/>
                    <w:tr2bl w:val="nil"/>
                  </w:tcBorders>
                  <w:noWrap w:val="0"/>
                  <w:vAlign w:val="center"/>
                </w:tcPr>
                <w:p w14:paraId="27095B32">
                  <w:pPr>
                    <w:spacing w:beforeLines="0" w:afterLine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符合</w:t>
                  </w:r>
                </w:p>
              </w:tc>
            </w:tr>
            <w:tr w14:paraId="32F10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515" w:type="dxa"/>
                  <w:tcBorders>
                    <w:tl2br w:val="nil"/>
                    <w:tr2bl w:val="nil"/>
                  </w:tcBorders>
                  <w:noWrap w:val="0"/>
                  <w:vAlign w:val="center"/>
                </w:tcPr>
                <w:p w14:paraId="69E9C44E">
                  <w:pPr>
                    <w:spacing w:beforeLines="0" w:afterLines="0"/>
                    <w:jc w:val="center"/>
                    <w:rPr>
                      <w:rFonts w:hint="default" w:ascii="Times New Roman" w:hAnsi="Times New Roman" w:eastAsia="宋体" w:cs="Times New Roman"/>
                      <w:color w:val="000000"/>
                      <w:sz w:val="21"/>
                      <w:szCs w:val="21"/>
                      <w:lang w:val="en-US" w:eastAsia="zh-CN"/>
                    </w:rPr>
                  </w:pPr>
                  <w:r>
                    <w:rPr>
                      <w:rFonts w:hint="default" w:cs="Times New Roman"/>
                      <w:color w:val="000000"/>
                      <w:sz w:val="21"/>
                      <w:szCs w:val="21"/>
                      <w:lang w:val="en-US" w:eastAsia="zh-CN"/>
                    </w:rPr>
                    <w:t>4</w:t>
                  </w:r>
                </w:p>
              </w:tc>
              <w:tc>
                <w:tcPr>
                  <w:tcW w:w="1518" w:type="dxa"/>
                  <w:tcBorders>
                    <w:tl2br w:val="nil"/>
                    <w:tr2bl w:val="nil"/>
                  </w:tcBorders>
                  <w:noWrap w:val="0"/>
                  <w:vAlign w:val="center"/>
                </w:tcPr>
                <w:p w14:paraId="78918EEE">
                  <w:pPr>
                    <w:numPr>
                      <w:ilvl w:val="-1"/>
                      <w:numId w:val="0"/>
                    </w:numPr>
                    <w:spacing w:beforeLines="0" w:afterLines="0"/>
                    <w:jc w:val="left"/>
                    <w:rPr>
                      <w:rFonts w:hint="default" w:ascii="Times New Roman" w:hAnsi="Times New Roman" w:eastAsia="宋体" w:cs="Times New Roman"/>
                      <w:color w:val="000000"/>
                      <w:sz w:val="21"/>
                      <w:szCs w:val="21"/>
                    </w:rPr>
                  </w:pPr>
                  <w:r>
                    <w:rPr>
                      <w:rFonts w:hint="default" w:ascii="Times New Roman" w:hAnsi="Times New Roman" w:eastAsia="宋体" w:cs="Times New Roman"/>
                      <w:b w:val="0"/>
                      <w:bCs w:val="0"/>
                      <w:i w:val="0"/>
                      <w:iCs w:val="0"/>
                      <w:caps w:val="0"/>
                      <w:color w:val="000000"/>
                      <w:spacing w:val="0"/>
                      <w:sz w:val="21"/>
                      <w:szCs w:val="21"/>
                      <w:shd w:val="clear"/>
                    </w:rPr>
                    <w:t>《湖南省空气质量持续改善行动计划实施方案》</w:t>
                  </w:r>
                  <w:r>
                    <w:rPr>
                      <w:rFonts w:hint="default" w:ascii="Times New Roman" w:hAnsi="Times New Roman" w:eastAsia="宋体" w:cs="Times New Roman"/>
                      <w:b w:val="0"/>
                      <w:bCs w:val="0"/>
                      <w:i w:val="0"/>
                      <w:iCs w:val="0"/>
                      <w:caps w:val="0"/>
                      <w:color w:val="000000"/>
                      <w:spacing w:val="0"/>
                      <w:sz w:val="21"/>
                      <w:szCs w:val="21"/>
                      <w:shd w:val="clear"/>
                      <w:lang w:val="en-US" w:eastAsia="zh-CN"/>
                    </w:rPr>
                    <w:t>(</w:t>
                  </w:r>
                  <w:r>
                    <w:rPr>
                      <w:rFonts w:ascii="Times New Roman" w:hAnsi="Times New Roman" w:eastAsia="宋体" w:cs="Times New Roman"/>
                      <w:i w:val="0"/>
                      <w:iCs w:val="0"/>
                      <w:caps w:val="0"/>
                      <w:color w:val="000000"/>
                      <w:spacing w:val="0"/>
                      <w:sz w:val="21"/>
                      <w:szCs w:val="21"/>
                      <w:shd w:val="clear"/>
                    </w:rPr>
                    <w:t>湘政办发〔</w:t>
                  </w:r>
                  <w:r>
                    <w:rPr>
                      <w:rFonts w:hint="default" w:ascii="Times New Roman" w:hAnsi="Times New Roman" w:eastAsia="宋体" w:cs="Times New Roman"/>
                      <w:i w:val="0"/>
                      <w:iCs w:val="0"/>
                      <w:caps w:val="0"/>
                      <w:color w:val="000000"/>
                      <w:spacing w:val="0"/>
                      <w:sz w:val="21"/>
                      <w:szCs w:val="21"/>
                      <w:shd w:val="clear"/>
                    </w:rPr>
                    <w:t>2024〕33号</w:t>
                  </w:r>
                  <w:r>
                    <w:rPr>
                      <w:rFonts w:hint="default" w:ascii="Times New Roman" w:hAnsi="Times New Roman" w:eastAsia="宋体" w:cs="Times New Roman"/>
                      <w:i w:val="0"/>
                      <w:iCs w:val="0"/>
                      <w:caps w:val="0"/>
                      <w:color w:val="000000"/>
                      <w:spacing w:val="0"/>
                      <w:sz w:val="21"/>
                      <w:szCs w:val="21"/>
                      <w:shd w:val="clear"/>
                      <w:lang w:val="en-US" w:eastAsia="zh-CN"/>
                    </w:rPr>
                    <w:t>)</w:t>
                  </w:r>
                </w:p>
              </w:tc>
              <w:tc>
                <w:tcPr>
                  <w:tcW w:w="2275" w:type="dxa"/>
                  <w:tcBorders>
                    <w:tl2br w:val="nil"/>
                    <w:tr2bl w:val="nil"/>
                  </w:tcBorders>
                  <w:noWrap w:val="0"/>
                  <w:vAlign w:val="center"/>
                </w:tcPr>
                <w:p w14:paraId="6942373F">
                  <w:pPr>
                    <w:numPr>
                      <w:ilvl w:val="-1"/>
                      <w:numId w:val="0"/>
                    </w:numPr>
                    <w:spacing w:beforeLines="0" w:afterLines="0"/>
                    <w:ind w:leftChars="0"/>
                    <w:jc w:val="left"/>
                    <w:rPr>
                      <w:rFonts w:hint="default" w:ascii="Times New Roman" w:hAnsi="Times New Roman" w:eastAsia="宋体" w:cs="Times New Roman"/>
                      <w:color w:val="000000"/>
                      <w:sz w:val="21"/>
                      <w:szCs w:val="21"/>
                    </w:rPr>
                  </w:pPr>
                  <w:r>
                    <w:rPr>
                      <w:rFonts w:ascii="Times New Roman" w:hAnsi="Times New Roman" w:eastAsia="宋体" w:cs="Times New Roman"/>
                      <w:color w:val="000000"/>
                      <w:sz w:val="21"/>
                      <w:szCs w:val="21"/>
                    </w:rPr>
                    <w:t>1.严控高VOC原辅材料新建项目，推行低VOC原料源头替代；2.涉VOC工序全密闭、高效收集，淘汰单一低效光催化/等离子治理设施；3.强化无组织全流程管控（储存、混料、成型、破碎）；4.废气治理设施与生产线同步启停，故障停机检修；5.落实自行监测，定期核查VOC治理运行成效</w:t>
                  </w:r>
                </w:p>
              </w:tc>
              <w:tc>
                <w:tcPr>
                  <w:tcW w:w="1936" w:type="dxa"/>
                  <w:tcBorders>
                    <w:tl2br w:val="nil"/>
                    <w:tr2bl w:val="nil"/>
                  </w:tcBorders>
                  <w:noWrap w:val="0"/>
                  <w:vAlign w:val="center"/>
                </w:tcPr>
                <w:p w14:paraId="1A9EB9F5">
                  <w:pPr>
                    <w:numPr>
                      <w:ilvl w:val="-1"/>
                      <w:numId w:val="0"/>
                    </w:numPr>
                    <w:spacing w:beforeLines="0" w:afterLines="0"/>
                    <w:jc w:val="left"/>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1.选用低挥发SBS/SEBS改性弹性体，石蜡油低芳烃、高温挥发量极低，无高VOC溶剂、助剂；</w:t>
                  </w:r>
                </w:p>
                <w:p w14:paraId="2178F84A">
                  <w:pPr>
                    <w:numPr>
                      <w:ilvl w:val="-1"/>
                      <w:numId w:val="0"/>
                    </w:numPr>
                    <w:spacing w:beforeLines="0" w:afterLines="0"/>
                    <w:jc w:val="left"/>
                    <w:rPr>
                      <w:rFonts w:hint="default" w:ascii="Times New Roman" w:hAnsi="Times New Roman" w:eastAsia="宋体" w:cs="Times New Roman"/>
                      <w:color w:val="000000"/>
                      <w:sz w:val="21"/>
                      <w:szCs w:val="21"/>
                    </w:rPr>
                  </w:pPr>
                  <w:r>
                    <w:rPr>
                      <w:rFonts w:ascii="Times New Roman" w:hAnsi="Times New Roman" w:eastAsia="宋体" w:cs="Times New Roman"/>
                      <w:color w:val="000000"/>
                      <w:sz w:val="21"/>
                      <w:szCs w:val="21"/>
                    </w:rPr>
                    <w:t>2.混料、破碎设备全密闭，注塑采用二级活性炭成熟吸附工艺，未使用低效单一光氧设备；3.原料储存、混炼、注塑、边角破碎全环节密闭，减少无组织逸散；4.活性炭装置与注塑机联动，设备故障同步停机；5.制定年度废气、厂界噪声自行监测计划，留存监测报告</w:t>
                  </w:r>
                </w:p>
              </w:tc>
              <w:tc>
                <w:tcPr>
                  <w:tcW w:w="936" w:type="dxa"/>
                  <w:tcBorders>
                    <w:tl2br w:val="nil"/>
                    <w:tr2bl w:val="nil"/>
                  </w:tcBorders>
                  <w:noWrap w:val="0"/>
                  <w:vAlign w:val="center"/>
                </w:tcPr>
                <w:p w14:paraId="39B8D6D1">
                  <w:pPr>
                    <w:spacing w:beforeLines="0" w:afterLine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符合</w:t>
                  </w:r>
                </w:p>
              </w:tc>
            </w:tr>
            <w:tr w14:paraId="01BCE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9" w:hRule="atLeast"/>
              </w:trPr>
              <w:tc>
                <w:tcPr>
                  <w:tcW w:w="515" w:type="dxa"/>
                  <w:tcBorders>
                    <w:tl2br w:val="nil"/>
                    <w:tr2bl w:val="nil"/>
                  </w:tcBorders>
                  <w:noWrap w:val="0"/>
                  <w:vAlign w:val="center"/>
                </w:tcPr>
                <w:p w14:paraId="567C0EB5">
                  <w:pPr>
                    <w:spacing w:beforeLines="0" w:afterLines="0"/>
                    <w:jc w:val="center"/>
                    <w:rPr>
                      <w:rFonts w:hint="default" w:cs="Times New Roman"/>
                      <w:color w:val="000000"/>
                      <w:sz w:val="21"/>
                      <w:szCs w:val="21"/>
                      <w:lang w:val="en-US" w:eastAsia="zh-CN"/>
                    </w:rPr>
                  </w:pPr>
                  <w:r>
                    <w:rPr>
                      <w:rFonts w:hint="default" w:cs="Times New Roman"/>
                      <w:color w:val="000000"/>
                      <w:sz w:val="21"/>
                      <w:szCs w:val="21"/>
                      <w:lang w:val="en-US" w:eastAsia="zh-CN"/>
                    </w:rPr>
                    <w:t>5</w:t>
                  </w:r>
                </w:p>
              </w:tc>
              <w:tc>
                <w:tcPr>
                  <w:tcW w:w="1518" w:type="dxa"/>
                  <w:tcBorders>
                    <w:tl2br w:val="nil"/>
                    <w:tr2bl w:val="nil"/>
                  </w:tcBorders>
                  <w:noWrap w:val="0"/>
                  <w:vAlign w:val="center"/>
                </w:tcPr>
                <w:p w14:paraId="5237F26A">
                  <w:pPr>
                    <w:numPr>
                      <w:ilvl w:val="-1"/>
                      <w:numId w:val="0"/>
                    </w:numPr>
                    <w:spacing w:beforeLines="0" w:afterLines="0"/>
                    <w:jc w:val="left"/>
                    <w:rPr>
                      <w:rFonts w:hint="default" w:ascii="Times New Roman" w:hAnsi="Times New Roman" w:eastAsia="宋体" w:cs="Times New Roman"/>
                      <w:b w:val="0"/>
                      <w:bCs w:val="0"/>
                      <w:i w:val="0"/>
                      <w:iCs w:val="0"/>
                      <w:caps w:val="0"/>
                      <w:color w:val="000000"/>
                      <w:spacing w:val="0"/>
                      <w:sz w:val="21"/>
                      <w:szCs w:val="21"/>
                      <w:shd w:val="clear"/>
                    </w:rPr>
                  </w:pPr>
                  <w:r>
                    <w:rPr>
                      <w:rFonts w:ascii="Times New Roman" w:hAnsi="Times New Roman" w:eastAsia="宋体" w:cs="Times New Roman"/>
                      <w:color w:val="000000"/>
                      <w:sz w:val="21"/>
                      <w:szCs w:val="21"/>
                    </w:rPr>
                    <w:t>《湖南省工业治理领域大气污染防治攻坚实施方案》（湘环发〔2023〕63号）</w:t>
                  </w:r>
                </w:p>
              </w:tc>
              <w:tc>
                <w:tcPr>
                  <w:tcW w:w="2275" w:type="dxa"/>
                  <w:tcBorders>
                    <w:tl2br w:val="nil"/>
                    <w:tr2bl w:val="nil"/>
                  </w:tcBorders>
                  <w:noWrap w:val="0"/>
                  <w:vAlign w:val="center"/>
                </w:tcPr>
                <w:p w14:paraId="4DB5CC34">
                  <w:pPr>
                    <w:numPr>
                      <w:ilvl w:val="-1"/>
                      <w:numId w:val="0"/>
                    </w:numPr>
                    <w:spacing w:beforeLines="0" w:afterLines="0"/>
                    <w:ind w:leftChars="0"/>
                    <w:jc w:val="left"/>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1.工业园区涉塑企业VOC深度治理，提升收集、去除双效率；2.规范无组织粉尘、VOC协同管控，同步治理颗粒物与有机废气；3.严控简易治理设施，要求多级吸附/高效处理工艺；4.建立危废规范化管理体系，吸附饱和活性炭合规处置；5.园区企业落实废气在线/定期监测，完善环保管理台账湖南省人民...</w:t>
                  </w:r>
                </w:p>
              </w:tc>
              <w:tc>
                <w:tcPr>
                  <w:tcW w:w="1936" w:type="dxa"/>
                  <w:tcBorders>
                    <w:tl2br w:val="nil"/>
                    <w:tr2bl w:val="nil"/>
                  </w:tcBorders>
                  <w:noWrap w:val="0"/>
                  <w:vAlign w:val="center"/>
                </w:tcPr>
                <w:p w14:paraId="71F66442">
                  <w:pPr>
                    <w:numPr>
                      <w:ilvl w:val="-1"/>
                      <w:numId w:val="0"/>
                    </w:numPr>
                    <w:spacing w:beforeLines="0" w:afterLines="0"/>
                    <w:jc w:val="left"/>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1.注塑VOC收集效率8</w:t>
                  </w:r>
                  <w:r>
                    <w:rPr>
                      <w:rFonts w:hint="default" w:cs="Times New Roman"/>
                      <w:color w:val="000000"/>
                      <w:sz w:val="21"/>
                      <w:szCs w:val="21"/>
                      <w:lang w:val="en-US" w:eastAsia="zh-CN"/>
                    </w:rPr>
                    <w:t>0</w:t>
                  </w:r>
                  <w:r>
                    <w:rPr>
                      <w:rFonts w:ascii="Times New Roman" w:hAnsi="Times New Roman" w:eastAsia="宋体" w:cs="Times New Roman"/>
                      <w:color w:val="000000"/>
                      <w:sz w:val="21"/>
                      <w:szCs w:val="21"/>
                    </w:rPr>
                    <w:t>%，二级活性炭综合去除率</w:t>
                  </w:r>
                  <w:r>
                    <w:rPr>
                      <w:rFonts w:hint="default" w:cs="Times New Roman"/>
                      <w:color w:val="000000"/>
                      <w:sz w:val="21"/>
                      <w:szCs w:val="21"/>
                      <w:lang w:eastAsia="zh-CN"/>
                    </w:rPr>
                    <w:t>2</w:t>
                  </w:r>
                  <w:r>
                    <w:rPr>
                      <w:rFonts w:hint="default" w:cs="Times New Roman"/>
                      <w:color w:val="000000"/>
                      <w:sz w:val="21"/>
                      <w:szCs w:val="21"/>
                      <w:lang w:val="en-US" w:eastAsia="zh-CN"/>
                    </w:rPr>
                    <w:t>7.75</w:t>
                  </w:r>
                  <w:r>
                    <w:rPr>
                      <w:rFonts w:ascii="Times New Roman" w:hAnsi="Times New Roman" w:eastAsia="宋体" w:cs="Times New Roman"/>
                      <w:color w:val="000000"/>
                      <w:sz w:val="21"/>
                      <w:szCs w:val="21"/>
                    </w:rPr>
                    <w:t>%，实现深度减排；2.混料、破碎密闭抑尘，有机废气同步收集处理，粉尘、VOC协同治理；3.采用两级颗粒活性炭串联吸附，属于行业成熟高效治理工艺；4.配套防渗危废暂存间，落实台账、转移联单、年度应急演练；5.按指南</w:t>
                  </w:r>
                  <w:r>
                    <w:rPr>
                      <w:rFonts w:hint="default" w:ascii="Times New Roman" w:hAnsi="Times New Roman" w:eastAsia="宋体" w:cs="Times New Roman"/>
                      <w:color w:val="000000"/>
                      <w:sz w:val="21"/>
                      <w:szCs w:val="21"/>
                      <w:lang w:val="en-US" w:eastAsia="zh-CN"/>
                    </w:rPr>
                    <w:t>定期</w:t>
                  </w:r>
                  <w:r>
                    <w:rPr>
                      <w:rFonts w:ascii="Times New Roman" w:hAnsi="Times New Roman" w:eastAsia="宋体" w:cs="Times New Roman"/>
                      <w:color w:val="000000"/>
                      <w:sz w:val="21"/>
                      <w:szCs w:val="21"/>
                    </w:rPr>
                    <w:t>委托CMA机构监测有组织、无组织废气，完整存档</w:t>
                  </w:r>
                </w:p>
              </w:tc>
              <w:tc>
                <w:tcPr>
                  <w:tcW w:w="936" w:type="dxa"/>
                  <w:tcBorders>
                    <w:tl2br w:val="nil"/>
                    <w:tr2bl w:val="nil"/>
                  </w:tcBorders>
                  <w:noWrap w:val="0"/>
                  <w:vAlign w:val="center"/>
                </w:tcPr>
                <w:p w14:paraId="1E0DABE2">
                  <w:pPr>
                    <w:spacing w:beforeLines="0" w:afterLine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符合</w:t>
                  </w:r>
                </w:p>
              </w:tc>
            </w:tr>
            <w:tr w14:paraId="28378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9" w:hRule="atLeast"/>
              </w:trPr>
              <w:tc>
                <w:tcPr>
                  <w:tcW w:w="515" w:type="dxa"/>
                  <w:tcBorders>
                    <w:tl2br w:val="nil"/>
                    <w:tr2bl w:val="nil"/>
                  </w:tcBorders>
                  <w:noWrap w:val="0"/>
                  <w:vAlign w:val="center"/>
                </w:tcPr>
                <w:p w14:paraId="3D58EA37">
                  <w:pPr>
                    <w:spacing w:beforeLines="0" w:afterLines="0"/>
                    <w:jc w:val="center"/>
                    <w:rPr>
                      <w:rFonts w:hint="default" w:cs="Times New Roman"/>
                      <w:color w:val="000000"/>
                      <w:sz w:val="21"/>
                      <w:szCs w:val="21"/>
                      <w:lang w:val="en-US" w:eastAsia="zh-CN"/>
                    </w:rPr>
                  </w:pPr>
                  <w:r>
                    <w:rPr>
                      <w:rFonts w:hint="default" w:cs="Times New Roman"/>
                      <w:color w:val="000000"/>
                      <w:sz w:val="21"/>
                      <w:szCs w:val="21"/>
                      <w:lang w:val="en-US" w:eastAsia="zh-CN"/>
                    </w:rPr>
                    <w:t>6</w:t>
                  </w:r>
                </w:p>
              </w:tc>
              <w:tc>
                <w:tcPr>
                  <w:tcW w:w="1518" w:type="dxa"/>
                  <w:tcBorders>
                    <w:tl2br w:val="nil"/>
                    <w:tr2bl w:val="nil"/>
                  </w:tcBorders>
                  <w:noWrap w:val="0"/>
                  <w:vAlign w:val="center"/>
                </w:tcPr>
                <w:p w14:paraId="0616C5C9">
                  <w:pPr>
                    <w:numPr>
                      <w:ilvl w:val="-1"/>
                      <w:numId w:val="0"/>
                    </w:numPr>
                    <w:spacing w:beforeLines="0" w:afterLines="0"/>
                    <w:jc w:val="left"/>
                    <w:rPr>
                      <w:rFonts w:hint="default" w:ascii="Times New Roman" w:hAnsi="Times New Roman" w:eastAsia="宋体" w:cs="Times New Roman"/>
                      <w:b w:val="0"/>
                      <w:bCs w:val="0"/>
                      <w:i w:val="0"/>
                      <w:iCs w:val="0"/>
                      <w:caps w:val="0"/>
                      <w:color w:val="000000"/>
                      <w:spacing w:val="0"/>
                      <w:sz w:val="21"/>
                      <w:szCs w:val="21"/>
                      <w:shd w:val="clear"/>
                    </w:rPr>
                  </w:pPr>
                  <w:r>
                    <w:rPr>
                      <w:rFonts w:ascii="Times New Roman" w:hAnsi="Times New Roman" w:eastAsia="宋体" w:cs="Times New Roman"/>
                      <w:color w:val="000000"/>
                      <w:sz w:val="21"/>
                      <w:szCs w:val="21"/>
                    </w:rPr>
                    <w:t>《湖南省大气污染防治“守护蓝天”攻坚行动计划（2026-2028年）》</w:t>
                  </w:r>
                </w:p>
              </w:tc>
              <w:tc>
                <w:tcPr>
                  <w:tcW w:w="2275" w:type="dxa"/>
                  <w:tcBorders>
                    <w:tl2br w:val="nil"/>
                    <w:tr2bl w:val="nil"/>
                  </w:tcBorders>
                  <w:noWrap w:val="0"/>
                  <w:vAlign w:val="center"/>
                </w:tcPr>
                <w:p w14:paraId="1348764A">
                  <w:pPr>
                    <w:numPr>
                      <w:ilvl w:val="-1"/>
                      <w:numId w:val="0"/>
                    </w:numPr>
                    <w:spacing w:beforeLines="0" w:afterLines="0"/>
                    <w:ind w:leftChars="0"/>
                    <w:jc w:val="left"/>
                    <w:rPr>
                      <w:rFonts w:ascii="Times New Roman" w:hAnsi="Times New Roman" w:eastAsia="宋体" w:cs="Times New Roman"/>
                      <w:color w:val="000000"/>
                      <w:sz w:val="21"/>
                      <w:szCs w:val="21"/>
                    </w:rPr>
                  </w:pPr>
                  <w:r>
                    <w:rPr>
                      <w:rFonts w:ascii="Times New Roman" w:hAnsi="Times New Roman" w:eastAsia="宋体" w:cs="Times New Roman"/>
                      <w:color w:val="000000"/>
                      <w:sz w:val="21"/>
                      <w:szCs w:val="21"/>
                    </w:rPr>
                    <w:t>1.持续推进工业VOC源头减量，限制高污染塑胶项目入园；2.园区涉塑企业强化注塑、混料工序密闭负压收集；3.常态化排查VOC治理设施运行，杜绝闲置、低效治理装置；4.推进企业清洁生产，边角料闭环回用减少原辅消耗与污染物；5.加强臭氧前体物（VOC）总量管控，新改扩建项目核算VOC排放量</w:t>
                  </w:r>
                </w:p>
              </w:tc>
              <w:tc>
                <w:tcPr>
                  <w:tcW w:w="1936" w:type="dxa"/>
                  <w:tcBorders>
                    <w:tl2br w:val="nil"/>
                    <w:tr2bl w:val="nil"/>
                  </w:tcBorders>
                  <w:noWrap w:val="0"/>
                  <w:vAlign w:val="center"/>
                </w:tcPr>
                <w:p w14:paraId="55863A64">
                  <w:pPr>
                    <w:numPr>
                      <w:ilvl w:val="-1"/>
                      <w:numId w:val="0"/>
                    </w:numPr>
                    <w:spacing w:beforeLines="0" w:afterLines="0"/>
                    <w:jc w:val="left"/>
                    <w:rPr>
                      <w:rFonts w:hint="default" w:ascii="Times New Roman" w:hAnsi="Times New Roman" w:eastAsia="宋体" w:cs="Times New Roman"/>
                      <w:color w:val="000000"/>
                      <w:sz w:val="21"/>
                      <w:szCs w:val="21"/>
                    </w:rPr>
                  </w:pPr>
                  <w:r>
                    <w:rPr>
                      <w:rFonts w:ascii="Times New Roman" w:hAnsi="Times New Roman" w:eastAsia="宋体" w:cs="Times New Roman"/>
                      <w:color w:val="000000"/>
                      <w:sz w:val="21"/>
                      <w:szCs w:val="21"/>
                    </w:rPr>
                    <w:t>1.本项目为低污染热塑性弹性体制品，无硫化、喷涂等高污染工序，符合园区低污染产业准入；2.全生产车间密闭，注塑工位定点集气，破碎、混料全封闭设备；3.配套专职环保管理员，每日巡检活性炭吸附装置，按时更换吸附材料；4.生产边角料全部密闭破碎回用于生产，减少原料消耗与新增产污；5.环评核算全厂VOC总排放</w:t>
                  </w:r>
                  <w:r>
                    <w:rPr>
                      <w:rFonts w:hint="default" w:cs="Times New Roman"/>
                      <w:color w:val="000000"/>
                      <w:sz w:val="21"/>
                      <w:szCs w:val="21"/>
                      <w:lang w:eastAsia="zh-CN"/>
                    </w:rPr>
                    <w:t>0.1881</w:t>
                  </w:r>
                  <w:r>
                    <w:rPr>
                      <w:rFonts w:ascii="Times New Roman" w:hAnsi="Times New Roman" w:eastAsia="宋体" w:cs="Times New Roman"/>
                      <w:color w:val="000000"/>
                      <w:sz w:val="21"/>
                      <w:szCs w:val="21"/>
                    </w:rPr>
                    <w:t>t/a，纳入区域VOC总量核定管控</w:t>
                  </w:r>
                  <w:r>
                    <w:rPr>
                      <w:rFonts w:hint="default" w:ascii="Times New Roman" w:hAnsi="Times New Roman" w:eastAsia="宋体" w:cs="Times New Roman"/>
                      <w:color w:val="000000"/>
                      <w:sz w:val="21"/>
                      <w:szCs w:val="21"/>
                      <w:lang w:eastAsia="zh-CN"/>
                    </w:rPr>
                    <w:t>。</w:t>
                  </w:r>
                </w:p>
              </w:tc>
              <w:tc>
                <w:tcPr>
                  <w:tcW w:w="936" w:type="dxa"/>
                  <w:tcBorders>
                    <w:tl2br w:val="nil"/>
                    <w:tr2bl w:val="nil"/>
                  </w:tcBorders>
                  <w:noWrap w:val="0"/>
                  <w:vAlign w:val="center"/>
                </w:tcPr>
                <w:p w14:paraId="1474149E">
                  <w:pPr>
                    <w:spacing w:beforeLines="0" w:afterLine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符合</w:t>
                  </w:r>
                </w:p>
              </w:tc>
            </w:tr>
          </w:tbl>
          <w:p w14:paraId="47D8B3E2">
            <w:pPr>
              <w:widowControl/>
              <w:numPr>
                <w:ilvl w:val="0"/>
                <w:numId w:val="2"/>
              </w:numPr>
              <w:spacing w:line="360" w:lineRule="auto"/>
              <w:ind w:firstLine="482" w:firstLineChars="200"/>
              <w:jc w:val="left"/>
              <w:rPr>
                <w:rFonts w:hint="default" w:ascii="Times New Roman" w:hAnsi="Times New Roman" w:cs="Times New Roman"/>
                <w:b/>
                <w:bCs/>
                <w:color w:val="auto"/>
                <w:kern w:val="0"/>
                <w:sz w:val="24"/>
                <w:u w:val="none"/>
                <w:lang w:bidi="ar"/>
              </w:rPr>
            </w:pPr>
            <w:r>
              <w:rPr>
                <w:rFonts w:hint="default" w:ascii="Times New Roman" w:hAnsi="Times New Roman" w:cs="Times New Roman"/>
                <w:b/>
                <w:bCs/>
                <w:color w:val="auto"/>
                <w:kern w:val="0"/>
                <w:sz w:val="24"/>
                <w:u w:val="none"/>
                <w:lang w:bidi="ar"/>
              </w:rPr>
              <w:t>选址合理性分析</w:t>
            </w:r>
          </w:p>
          <w:p w14:paraId="4ACAA21F">
            <w:pPr>
              <w:widowControl/>
              <w:numPr>
                <w:ilvl w:val="0"/>
                <w:numId w:val="0"/>
              </w:numPr>
              <w:spacing w:line="360" w:lineRule="auto"/>
              <w:ind w:firstLine="480" w:firstLineChars="200"/>
              <w:jc w:val="left"/>
              <w:rPr>
                <w:rFonts w:hint="default" w:ascii="Times New Roman" w:hAnsi="Times New Roman" w:eastAsia="宋体" w:cs="Times New Roman"/>
                <w:kern w:val="0"/>
                <w:sz w:val="24"/>
                <w:u w:val="none"/>
                <w:lang w:eastAsia="zh-CN" w:bidi="ar"/>
              </w:rPr>
            </w:pPr>
            <w:r>
              <w:rPr>
                <w:rFonts w:hint="default" w:ascii="Times New Roman" w:hAnsi="Times New Roman" w:eastAsia="宋体" w:cs="Times New Roman"/>
                <w:kern w:val="0"/>
                <w:sz w:val="24"/>
                <w:u w:val="none"/>
                <w:lang w:eastAsia="zh-CN" w:bidi="ar"/>
              </w:rPr>
              <w:t>本项目位于湖南省永州市东安县白牙市镇经开区</w:t>
            </w:r>
            <w:r>
              <w:rPr>
                <w:rFonts w:hint="default" w:ascii="Times New Roman" w:hAnsi="Times New Roman" w:eastAsia="宋体" w:cs="Times New Roman"/>
                <w:kern w:val="0"/>
                <w:sz w:val="24"/>
                <w:u w:val="none"/>
                <w:lang w:val="en-US" w:eastAsia="zh-CN" w:bidi="ar"/>
              </w:rPr>
              <w:t>金源路西</w:t>
            </w:r>
            <w:r>
              <w:rPr>
                <w:rFonts w:hint="default" w:ascii="Times New Roman" w:hAnsi="Times New Roman" w:eastAsia="宋体" w:cs="Times New Roman"/>
                <w:kern w:val="0"/>
                <w:sz w:val="24"/>
                <w:u w:val="none"/>
                <w:lang w:eastAsia="zh-CN" w:bidi="ar"/>
              </w:rPr>
              <w:t>侧，交通便利，地理位置优越。电力供应和水源供应均能保障，项目所在地属于工业用地，用地不占用基本农田、周边风景旅游区以及水源保护区。</w:t>
            </w:r>
          </w:p>
          <w:p w14:paraId="076901AC">
            <w:pPr>
              <w:widowControl/>
              <w:numPr>
                <w:ilvl w:val="0"/>
                <w:numId w:val="0"/>
              </w:numPr>
              <w:spacing w:line="360" w:lineRule="auto"/>
              <w:ind w:firstLine="480" w:firstLineChars="200"/>
              <w:jc w:val="left"/>
              <w:rPr>
                <w:rFonts w:hint="default" w:ascii="Times New Roman" w:hAnsi="Times New Roman" w:eastAsia="宋体" w:cs="Times New Roman"/>
                <w:kern w:val="0"/>
                <w:sz w:val="24"/>
                <w:u w:val="none"/>
                <w:lang w:eastAsia="zh-CN" w:bidi="ar"/>
              </w:rPr>
            </w:pPr>
            <w:r>
              <w:rPr>
                <w:rFonts w:ascii="Times New Roman" w:hAnsi="Times New Roman" w:eastAsia="宋体" w:cs="Times New Roman"/>
                <w:kern w:val="0"/>
                <w:sz w:val="24"/>
                <w:szCs w:val="24"/>
                <w:u w:val="none"/>
                <w:lang w:bidi="ar"/>
              </w:rPr>
              <w:t>根据现场勘察，在落实本报告提出的各项环保措施前提下，项目废水能够达标排放、外排废气稳定达标排放、生产固废得到妥善处置与综合利用、厂界噪声满足标准要求。本项目仅开展原料物理混料、注塑成型生产，无喷涂、电镀等高污染工序，废气产生量较小，废气采取密闭收集、二级活性炭吸附处理后高空排放。在严格落实VOCs全过程管控、保证污染治理设施稳定运行的条件下，项目</w:t>
            </w:r>
            <w:r>
              <w:rPr>
                <w:rFonts w:hint="default" w:cs="Times New Roman"/>
                <w:kern w:val="0"/>
                <w:sz w:val="24"/>
                <w:szCs w:val="24"/>
                <w:u w:val="none"/>
                <w:lang w:val="en-US" w:eastAsia="zh-CN" w:bidi="ar"/>
              </w:rPr>
              <w:t>周边现无农副食品加工企业，</w:t>
            </w:r>
            <w:r>
              <w:rPr>
                <w:rFonts w:hint="eastAsia" w:cs="Times New Roman"/>
                <w:kern w:val="0"/>
                <w:sz w:val="24"/>
                <w:szCs w:val="24"/>
                <w:u w:val="none"/>
                <w:lang w:val="en-US" w:eastAsia="zh-CN" w:bidi="ar"/>
              </w:rPr>
              <w:t>因此</w:t>
            </w:r>
            <w:r>
              <w:rPr>
                <w:rFonts w:ascii="Times New Roman" w:hAnsi="Times New Roman" w:eastAsia="宋体" w:cs="Times New Roman"/>
                <w:kern w:val="0"/>
                <w:sz w:val="24"/>
                <w:szCs w:val="24"/>
                <w:u w:val="none"/>
                <w:lang w:bidi="ar"/>
              </w:rPr>
              <w:t>与周边企业环境相容</w:t>
            </w:r>
            <w:r>
              <w:rPr>
                <w:rFonts w:hint="default" w:ascii="Times New Roman" w:hAnsi="Times New Roman" w:eastAsia="宋体" w:cs="Times New Roman"/>
                <w:kern w:val="0"/>
                <w:sz w:val="24"/>
                <w:u w:val="none"/>
                <w:lang w:eastAsia="zh-CN" w:bidi="ar"/>
              </w:rPr>
              <w:t>。</w:t>
            </w:r>
          </w:p>
          <w:p w14:paraId="66B6E641">
            <w:pPr>
              <w:widowControl/>
              <w:numPr>
                <w:ilvl w:val="0"/>
                <w:numId w:val="0"/>
              </w:numPr>
              <w:spacing w:line="360" w:lineRule="auto"/>
              <w:ind w:firstLine="480" w:firstLineChars="200"/>
              <w:jc w:val="left"/>
              <w:rPr>
                <w:rFonts w:hint="default" w:ascii="Times New Roman" w:hAnsi="Times New Roman" w:cs="Times New Roman"/>
                <w:color w:val="auto"/>
                <w:sz w:val="24"/>
                <w:u w:val="none"/>
                <w:lang w:val="en-US"/>
              </w:rPr>
            </w:pPr>
            <w:r>
              <w:rPr>
                <w:rFonts w:hint="default" w:ascii="Times New Roman" w:hAnsi="Times New Roman" w:eastAsia="宋体" w:cs="Times New Roman"/>
                <w:kern w:val="0"/>
                <w:sz w:val="24"/>
                <w:u w:val="none"/>
                <w:lang w:eastAsia="zh-CN" w:bidi="ar"/>
              </w:rPr>
              <w:t>总体而言，项目选址具有良好的区位优势，在落实本评价提出的环境保护措施的前提下，本项目建设对周边环境影响较小。因此，从环保的角度考虑，项目的选址是合理的。</w:t>
            </w:r>
          </w:p>
        </w:tc>
      </w:tr>
    </w:tbl>
    <w:p w14:paraId="757597EF">
      <w:pPr>
        <w:spacing w:line="360" w:lineRule="auto"/>
        <w:rPr>
          <w:rFonts w:hint="default" w:ascii="Times New Roman" w:hAnsi="Times New Roman" w:eastAsia="黑体" w:cs="Times New Roman"/>
          <w:color w:val="auto"/>
          <w:sz w:val="30"/>
          <w:u w:val="none"/>
        </w:rPr>
        <w:sectPr>
          <w:footerReference r:id="rId6"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306D9C59">
      <w:pPr>
        <w:spacing w:line="360" w:lineRule="auto"/>
        <w:jc w:val="center"/>
        <w:outlineLvl w:val="0"/>
        <w:rPr>
          <w:rFonts w:hint="default" w:ascii="Times New Roman" w:hAnsi="Times New Roman" w:cs="Times New Roman"/>
          <w:b/>
          <w:bCs/>
          <w:color w:val="auto"/>
          <w:sz w:val="32"/>
          <w:szCs w:val="32"/>
          <w:u w:val="none"/>
        </w:rPr>
      </w:pPr>
      <w:bookmarkStart w:id="6" w:name="_Toc4069"/>
      <w:bookmarkStart w:id="7" w:name="_Toc18159"/>
      <w:r>
        <w:rPr>
          <w:rFonts w:hint="default" w:ascii="Times New Roman" w:hAnsi="Times New Roman" w:cs="Times New Roman"/>
          <w:b/>
          <w:bCs/>
          <w:color w:val="auto"/>
          <w:sz w:val="32"/>
          <w:szCs w:val="32"/>
          <w:u w:val="none"/>
        </w:rPr>
        <w:t>二、建设项目工程分析</w:t>
      </w:r>
      <w:bookmarkEnd w:id="6"/>
      <w:bookmarkEnd w:id="7"/>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0"/>
        <w:gridCol w:w="8414"/>
      </w:tblGrid>
      <w:tr w14:paraId="1B336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3" w:hRule="atLeast"/>
          <w:jc w:val="center"/>
        </w:trPr>
        <w:tc>
          <w:tcPr>
            <w:tcW w:w="238" w:type="pct"/>
            <w:vAlign w:val="center"/>
          </w:tcPr>
          <w:p w14:paraId="6C4B59F0">
            <w:pPr>
              <w:pStyle w:val="34"/>
              <w:adjustRightInd w:val="0"/>
              <w:snapToGrid w:val="0"/>
              <w:spacing w:before="0" w:beforeAutospacing="0" w:after="0" w:afterAutospacing="0"/>
              <w:jc w:val="center"/>
              <w:rPr>
                <w:rFonts w:hint="default" w:ascii="Times New Roman" w:hAnsi="Times New Roman" w:cs="Times New Roman"/>
                <w:color w:val="auto"/>
                <w:szCs w:val="24"/>
                <w:u w:val="none"/>
              </w:rPr>
            </w:pPr>
            <w:r>
              <w:rPr>
                <w:rFonts w:hint="default" w:ascii="Times New Roman" w:hAnsi="Times New Roman" w:cs="Times New Roman"/>
                <w:color w:val="auto"/>
                <w:szCs w:val="24"/>
                <w:u w:val="none"/>
              </w:rPr>
              <w:t>建设内容</w:t>
            </w:r>
          </w:p>
        </w:tc>
        <w:tc>
          <w:tcPr>
            <w:tcW w:w="4762" w:type="pct"/>
          </w:tcPr>
          <w:p w14:paraId="20A02852">
            <w:pPr>
              <w:spacing w:line="360" w:lineRule="auto"/>
              <w:ind w:firstLine="482" w:firstLineChars="200"/>
              <w:rPr>
                <w:rFonts w:hint="default" w:ascii="Times New Roman" w:hAnsi="Times New Roman" w:cs="Times New Roman"/>
                <w:b/>
                <w:bCs/>
                <w:color w:val="auto"/>
                <w:sz w:val="24"/>
                <w:u w:val="none"/>
              </w:rPr>
            </w:pPr>
            <w:r>
              <w:rPr>
                <w:rFonts w:hint="default" w:ascii="Times New Roman" w:hAnsi="Times New Roman" w:cs="Times New Roman"/>
                <w:b/>
                <w:bCs/>
                <w:color w:val="auto"/>
                <w:sz w:val="24"/>
                <w:u w:val="none"/>
              </w:rPr>
              <w:t>（一）项目由来</w:t>
            </w:r>
          </w:p>
          <w:p w14:paraId="26E2B7F3">
            <w:pPr>
              <w:spacing w:line="360" w:lineRule="auto"/>
              <w:ind w:firstLine="480" w:firstLineChars="200"/>
              <w:rPr>
                <w:rFonts w:hint="default" w:ascii="Times New Roman" w:hAnsi="Times New Roman" w:eastAsia="宋体" w:cs="Times New Roman"/>
                <w:color w:val="auto"/>
                <w:sz w:val="24"/>
                <w:u w:val="none"/>
                <w:lang w:val="en-US" w:eastAsia="zh-CN"/>
              </w:rPr>
            </w:pPr>
            <w:r>
              <w:rPr>
                <w:rFonts w:hint="default" w:ascii="Times New Roman" w:hAnsi="Times New Roman" w:eastAsia="宋体" w:cs="Times New Roman"/>
                <w:color w:val="000000"/>
                <w:kern w:val="0"/>
                <w:sz w:val="24"/>
                <w:szCs w:val="24"/>
                <w:lang w:val="en-US" w:eastAsia="zh-CN" w:bidi="ar"/>
              </w:rPr>
              <w:t>湖</w:t>
            </w:r>
            <w:r>
              <w:rPr>
                <w:rFonts w:hint="default" w:ascii="Times New Roman" w:hAnsi="Times New Roman" w:eastAsia="宋体" w:cs="Times New Roman"/>
                <w:color w:val="auto"/>
                <w:sz w:val="24"/>
                <w:u w:val="none"/>
                <w:lang w:val="en-US" w:eastAsia="zh-CN"/>
              </w:rPr>
              <w:t>南新辉塑胶有限公司主营弹性体制品研发、生产与销售，主营产品包含各类球胆、握力球、拉力健身橡塑制品，企业拟在湖南省永州市东安县白牙市镇工业园金源路3号厂房1楼新建</w:t>
            </w:r>
            <w:r>
              <w:rPr>
                <w:rFonts w:hint="default" w:cs="Times New Roman"/>
                <w:color w:val="auto"/>
                <w:sz w:val="24"/>
                <w:u w:val="none"/>
                <w:lang w:val="en-US" w:eastAsia="zh-CN"/>
              </w:rPr>
              <w:t>热塑性聚氨酯弹性体生产项目</w:t>
            </w:r>
            <w:r>
              <w:rPr>
                <w:rFonts w:hint="eastAsia" w:cs="Times New Roman"/>
                <w:color w:val="auto"/>
                <w:sz w:val="24"/>
                <w:u w:val="none"/>
                <w:lang w:val="en-US" w:eastAsia="zh-CN"/>
              </w:rPr>
              <w:t>。</w:t>
            </w:r>
          </w:p>
          <w:p w14:paraId="4A85793A">
            <w:pPr>
              <w:spacing w:line="360" w:lineRule="auto"/>
              <w:ind w:firstLine="480" w:firstLineChars="200"/>
              <w:rPr>
                <w:rFonts w:hint="default" w:ascii="Times New Roman" w:hAnsi="Times New Roman" w:eastAsia="宋体" w:cs="Times New Roman"/>
                <w:color w:val="auto"/>
                <w:sz w:val="24"/>
                <w:u w:val="none"/>
              </w:rPr>
            </w:pPr>
            <w:r>
              <w:rPr>
                <w:rFonts w:hint="default" w:ascii="Times New Roman" w:hAnsi="Times New Roman" w:eastAsia="宋体" w:cs="Times New Roman"/>
                <w:color w:val="auto"/>
                <w:sz w:val="24"/>
                <w:u w:val="none"/>
                <w:lang w:val="en-US" w:eastAsia="zh-CN"/>
              </w:rPr>
              <w:t>本项目外购SBS粉、SEBS粉、TBE颗粒、橡胶石蜡油作为原辅材料，通过密闭混料、电加热注塑成型、边角料破碎回用等工序生产弹性体制品，生产全过程不涉及硫化、电镀、大规模喷涂等高污染工艺。</w:t>
            </w:r>
          </w:p>
          <w:p w14:paraId="09717870">
            <w:pPr>
              <w:spacing w:line="360" w:lineRule="auto"/>
              <w:ind w:firstLine="480" w:firstLineChars="200"/>
              <w:rPr>
                <w:rFonts w:hint="default" w:ascii="Times New Roman" w:hAnsi="Times New Roman" w:eastAsia="宋体" w:cs="Times New Roman"/>
                <w:color w:val="auto"/>
                <w:sz w:val="24"/>
                <w:u w:val="none"/>
              </w:rPr>
            </w:pPr>
            <w:r>
              <w:rPr>
                <w:rFonts w:hint="default" w:ascii="Times New Roman" w:hAnsi="Times New Roman" w:eastAsia="宋体" w:cs="Times New Roman"/>
                <w:color w:val="auto"/>
                <w:sz w:val="24"/>
                <w:u w:val="none"/>
                <w:lang w:val="en-US" w:eastAsia="zh-CN"/>
              </w:rPr>
              <w:t>根据《中华人民共和国环境影响评价法》《建设项目环境保护管理条例》及《建设项目环境影响评价分类管理名录（2021年版）》相关规定，本项目行业类别归属于“二十六、橡胶和塑料制品业29、53塑料制品业（292）”，需编制环境影响报告表。</w:t>
            </w:r>
          </w:p>
          <w:p w14:paraId="4EE59B3B">
            <w:pPr>
              <w:spacing w:line="360" w:lineRule="auto"/>
              <w:ind w:firstLine="480" w:firstLineChars="200"/>
              <w:rPr>
                <w:rFonts w:hint="default" w:ascii="Times New Roman" w:hAnsi="Times New Roman" w:eastAsia="宋体" w:cs="Times New Roman"/>
                <w:color w:val="auto"/>
                <w:sz w:val="24"/>
                <w:u w:val="none"/>
              </w:rPr>
            </w:pPr>
            <w:r>
              <w:rPr>
                <w:rFonts w:hint="default" w:ascii="Times New Roman" w:hAnsi="Times New Roman" w:eastAsia="宋体" w:cs="Times New Roman"/>
                <w:color w:val="auto"/>
                <w:sz w:val="24"/>
                <w:u w:val="none"/>
                <w:lang w:val="en-US" w:eastAsia="zh-CN"/>
              </w:rPr>
              <w:t>接受委托后，评价单位组织专业技术人员赴项目拟建场址开展现场实地踏勘，同步收集园区控规图纸、湘环评函【2025】16号园区跟踪评价意见、企业营业执照、厂房租赁合同、原辅材料MSDS安全技术说明书、生产设备清单、厂区平面布置图等全套工程支撑资料，调查项目周边大气、地表水、声环境现状及周边环境保护目标，结合区域环境分区管控要求、行业污染治理标准开展工程分析、环境影响预测、环保措施可行性论证等工作，最终完成《</w:t>
            </w:r>
            <w:r>
              <w:rPr>
                <w:rFonts w:hint="default" w:cs="Times New Roman"/>
                <w:color w:val="auto"/>
                <w:sz w:val="24"/>
                <w:u w:val="none"/>
                <w:lang w:val="en-US" w:eastAsia="zh-CN"/>
              </w:rPr>
              <w:t>湖南新辉塑胶有限公司热塑性聚氨酯弹性体生产项目</w:t>
            </w:r>
            <w:r>
              <w:rPr>
                <w:rFonts w:hint="default" w:ascii="Times New Roman" w:hAnsi="Times New Roman" w:eastAsia="宋体" w:cs="Times New Roman"/>
                <w:color w:val="auto"/>
                <w:sz w:val="24"/>
                <w:u w:val="none"/>
                <w:lang w:val="en-US" w:eastAsia="zh-CN"/>
              </w:rPr>
              <w:t>环境影响报告表》编制，为项目行政审批及后续环境管理提供科学依据。</w:t>
            </w:r>
          </w:p>
          <w:p w14:paraId="62630594">
            <w:pPr>
              <w:spacing w:line="360" w:lineRule="auto"/>
              <w:ind w:firstLine="482" w:firstLineChars="200"/>
              <w:rPr>
                <w:rFonts w:hint="default" w:ascii="Times New Roman" w:hAnsi="Times New Roman" w:cs="Times New Roman"/>
                <w:b/>
                <w:bCs/>
                <w:color w:val="auto"/>
                <w:sz w:val="24"/>
                <w:u w:val="none"/>
              </w:rPr>
            </w:pPr>
            <w:r>
              <w:rPr>
                <w:rFonts w:hint="default" w:ascii="Times New Roman" w:hAnsi="Times New Roman" w:cs="Times New Roman"/>
                <w:b/>
                <w:bCs/>
                <w:color w:val="auto"/>
                <w:sz w:val="24"/>
                <w:u w:val="none"/>
              </w:rPr>
              <w:t>（二）工程概况</w:t>
            </w:r>
          </w:p>
          <w:p w14:paraId="35086DF5">
            <w:pPr>
              <w:spacing w:line="360" w:lineRule="auto"/>
              <w:ind w:firstLine="482" w:firstLineChars="200"/>
              <w:textAlignment w:val="center"/>
              <w:rPr>
                <w:rFonts w:hint="default" w:ascii="Times New Roman" w:hAnsi="Times New Roman" w:cs="Times New Roman"/>
                <w:b/>
                <w:bCs/>
                <w:color w:val="auto"/>
                <w:sz w:val="24"/>
                <w:u w:val="none"/>
              </w:rPr>
            </w:pPr>
            <w:r>
              <w:rPr>
                <w:rFonts w:hint="default" w:ascii="Times New Roman" w:hAnsi="Times New Roman" w:cs="Times New Roman"/>
                <w:b/>
                <w:bCs/>
                <w:color w:val="auto"/>
                <w:sz w:val="24"/>
                <w:u w:val="none"/>
              </w:rPr>
              <w:t>1、项目概况</w:t>
            </w:r>
          </w:p>
          <w:p w14:paraId="56D2823C">
            <w:pPr>
              <w:spacing w:line="360" w:lineRule="auto"/>
              <w:ind w:firstLine="480" w:firstLineChars="200"/>
              <w:rPr>
                <w:rFonts w:hint="default" w:ascii="Times New Roman" w:hAnsi="Times New Roman" w:cs="Times New Roman"/>
                <w:color w:val="auto"/>
                <w:sz w:val="24"/>
                <w:u w:val="none"/>
              </w:rPr>
            </w:pPr>
            <w:r>
              <w:rPr>
                <w:rFonts w:hint="default" w:ascii="Times New Roman" w:hAnsi="Times New Roman" w:cs="Times New Roman"/>
                <w:color w:val="auto"/>
                <w:sz w:val="24"/>
                <w:u w:val="none"/>
              </w:rPr>
              <w:t>项目名称：</w:t>
            </w:r>
            <w:r>
              <w:rPr>
                <w:rFonts w:hint="default" w:ascii="Times New Roman" w:hAnsi="Times New Roman" w:cs="Times New Roman"/>
                <w:color w:val="auto"/>
                <w:sz w:val="24"/>
                <w:u w:val="none"/>
                <w:lang w:eastAsia="zh-CN"/>
              </w:rPr>
              <w:t>湖南新辉塑胶有限公司热塑性聚氨酯弹性体生产项目</w:t>
            </w:r>
            <w:r>
              <w:rPr>
                <w:rFonts w:hint="default" w:ascii="Times New Roman" w:hAnsi="Times New Roman" w:cs="Times New Roman"/>
                <w:color w:val="auto"/>
                <w:sz w:val="24"/>
                <w:u w:val="none"/>
              </w:rPr>
              <w:t>；</w:t>
            </w:r>
          </w:p>
          <w:p w14:paraId="035705D8">
            <w:pPr>
              <w:spacing w:line="360" w:lineRule="auto"/>
              <w:ind w:firstLine="480" w:firstLineChars="200"/>
              <w:rPr>
                <w:rFonts w:hint="default" w:ascii="Times New Roman" w:hAnsi="Times New Roman" w:cs="Times New Roman"/>
                <w:color w:val="auto"/>
                <w:sz w:val="24"/>
                <w:u w:val="none"/>
              </w:rPr>
            </w:pPr>
            <w:r>
              <w:rPr>
                <w:rFonts w:hint="default" w:ascii="Times New Roman" w:hAnsi="Times New Roman" w:cs="Times New Roman"/>
                <w:color w:val="auto"/>
                <w:sz w:val="24"/>
                <w:u w:val="none"/>
              </w:rPr>
              <w:t>建设单位：</w:t>
            </w:r>
            <w:r>
              <w:rPr>
                <w:rFonts w:hint="default" w:ascii="Times New Roman" w:hAnsi="Times New Roman" w:cs="Times New Roman"/>
                <w:color w:val="auto"/>
                <w:sz w:val="24"/>
                <w:u w:val="none"/>
                <w:lang w:eastAsia="zh-CN"/>
              </w:rPr>
              <w:t>湖南新辉塑胶有限公司</w:t>
            </w:r>
            <w:r>
              <w:rPr>
                <w:rFonts w:hint="default" w:ascii="Times New Roman" w:hAnsi="Times New Roman" w:cs="Times New Roman"/>
                <w:color w:val="auto"/>
                <w:sz w:val="24"/>
                <w:u w:val="none"/>
              </w:rPr>
              <w:t>；</w:t>
            </w:r>
          </w:p>
          <w:p w14:paraId="3D75E625">
            <w:pPr>
              <w:spacing w:line="360" w:lineRule="auto"/>
              <w:ind w:firstLine="480" w:firstLineChars="200"/>
              <w:rPr>
                <w:rFonts w:hint="default" w:ascii="Times New Roman" w:hAnsi="Times New Roman" w:cs="Times New Roman"/>
                <w:color w:val="auto"/>
                <w:sz w:val="24"/>
                <w:u w:val="none"/>
              </w:rPr>
            </w:pPr>
            <w:r>
              <w:rPr>
                <w:rFonts w:hint="default" w:ascii="Times New Roman" w:hAnsi="Times New Roman" w:cs="Times New Roman"/>
                <w:color w:val="auto"/>
                <w:sz w:val="24"/>
                <w:u w:val="none"/>
              </w:rPr>
              <w:t>项目选址：永州市</w:t>
            </w:r>
            <w:r>
              <w:rPr>
                <w:rFonts w:hint="default" w:ascii="Times New Roman" w:hAnsi="Times New Roman" w:cs="Times New Roman"/>
                <w:color w:val="auto"/>
                <w:sz w:val="24"/>
                <w:u w:val="none"/>
                <w:lang w:eastAsia="zh-CN"/>
              </w:rPr>
              <w:t>永州市东安县白牙市镇工业园金源路3号厂房1楼</w:t>
            </w:r>
            <w:r>
              <w:rPr>
                <w:rFonts w:hint="default" w:ascii="Times New Roman" w:hAnsi="Times New Roman" w:cs="Times New Roman"/>
                <w:color w:val="auto"/>
                <w:sz w:val="24"/>
                <w:u w:val="none"/>
              </w:rPr>
              <w:t>，东经</w:t>
            </w:r>
            <w:r>
              <w:rPr>
                <w:rFonts w:hint="default" w:ascii="Times New Roman" w:hAnsi="Times New Roman" w:cs="Times New Roman"/>
                <w:color w:val="auto"/>
                <w:sz w:val="24"/>
                <w:u w:val="none"/>
                <w:lang w:eastAsia="zh-CN"/>
              </w:rPr>
              <w:t>111.329699°</w:t>
            </w:r>
            <w:r>
              <w:rPr>
                <w:rFonts w:hint="default" w:ascii="Times New Roman" w:hAnsi="Times New Roman" w:cs="Times New Roman"/>
                <w:color w:val="auto"/>
                <w:sz w:val="24"/>
                <w:u w:val="none"/>
              </w:rPr>
              <w:t>，北纬</w:t>
            </w:r>
            <w:r>
              <w:rPr>
                <w:rFonts w:hint="default" w:ascii="Times New Roman" w:hAnsi="Times New Roman" w:cs="Times New Roman"/>
                <w:color w:val="auto"/>
                <w:sz w:val="24"/>
                <w:u w:val="none"/>
                <w:lang w:eastAsia="zh-CN"/>
              </w:rPr>
              <w:t>26.405285°</w:t>
            </w:r>
            <w:r>
              <w:rPr>
                <w:rFonts w:hint="default" w:ascii="Times New Roman" w:hAnsi="Times New Roman" w:cs="Times New Roman"/>
                <w:color w:val="auto"/>
                <w:sz w:val="24"/>
                <w:u w:val="none"/>
              </w:rPr>
              <w:t>；</w:t>
            </w:r>
          </w:p>
          <w:p w14:paraId="4EE68790">
            <w:pPr>
              <w:spacing w:line="360" w:lineRule="auto"/>
              <w:ind w:firstLine="480" w:firstLineChars="200"/>
              <w:rPr>
                <w:rFonts w:hint="default" w:ascii="Times New Roman" w:hAnsi="Times New Roman" w:cs="Times New Roman"/>
                <w:color w:val="auto"/>
                <w:sz w:val="24"/>
                <w:u w:val="none"/>
              </w:rPr>
            </w:pPr>
            <w:r>
              <w:rPr>
                <w:rFonts w:hint="default" w:ascii="Times New Roman" w:hAnsi="Times New Roman" w:cs="Times New Roman"/>
                <w:color w:val="auto"/>
                <w:sz w:val="24"/>
                <w:u w:val="none"/>
              </w:rPr>
              <w:t>项目性质：新建；</w:t>
            </w:r>
          </w:p>
          <w:p w14:paraId="11BA580B">
            <w:pPr>
              <w:spacing w:line="360" w:lineRule="auto"/>
              <w:ind w:firstLine="480" w:firstLineChars="200"/>
              <w:contextualSpacing/>
              <w:rPr>
                <w:rFonts w:hint="default" w:ascii="Times New Roman" w:hAnsi="Times New Roman" w:cs="Times New Roman"/>
                <w:color w:val="auto"/>
                <w:sz w:val="24"/>
                <w:u w:val="none"/>
              </w:rPr>
            </w:pPr>
            <w:r>
              <w:rPr>
                <w:rFonts w:hint="default" w:ascii="Times New Roman" w:hAnsi="Times New Roman" w:cs="Times New Roman"/>
                <w:color w:val="auto"/>
                <w:sz w:val="24"/>
                <w:u w:val="none"/>
              </w:rPr>
              <w:t>项目建设规模：</w:t>
            </w:r>
            <w:r>
              <w:rPr>
                <w:rFonts w:hint="default" w:ascii="Times New Roman" w:hAnsi="Times New Roman" w:eastAsia="宋体" w:cs="Times New Roman"/>
                <w:sz w:val="24"/>
                <w:szCs w:val="24"/>
              </w:rPr>
              <w:t>年产Φ60球胆95t、Φ55球胆80t、Φ75圆饼35t、鸡蛋球2t、Φ55握力球2.5t、1字拉力绳1t、8字拉力绳0.8t，合计216.3t弹性健身橡塑制品；生产边角料破碎后全部回用于生产</w:t>
            </w:r>
            <w:r>
              <w:rPr>
                <w:rFonts w:hint="default" w:ascii="Times New Roman" w:hAnsi="Times New Roman" w:cs="Times New Roman"/>
                <w:color w:val="auto"/>
                <w:sz w:val="24"/>
                <w:u w:val="none"/>
              </w:rPr>
              <w:t>。</w:t>
            </w:r>
          </w:p>
          <w:p w14:paraId="62E6972A">
            <w:pPr>
              <w:spacing w:line="360" w:lineRule="auto"/>
              <w:ind w:firstLine="472" w:firstLineChars="196"/>
              <w:textAlignment w:val="center"/>
              <w:rPr>
                <w:rFonts w:hint="default" w:ascii="Times New Roman" w:hAnsi="Times New Roman" w:cs="Times New Roman"/>
                <w:b/>
                <w:bCs/>
                <w:color w:val="auto"/>
                <w:sz w:val="24"/>
                <w:u w:val="none"/>
              </w:rPr>
            </w:pPr>
            <w:r>
              <w:rPr>
                <w:rFonts w:hint="default" w:ascii="Times New Roman" w:hAnsi="Times New Roman" w:cs="Times New Roman"/>
                <w:b/>
                <w:bCs/>
                <w:color w:val="auto"/>
                <w:sz w:val="24"/>
                <w:u w:val="none"/>
              </w:rPr>
              <w:t>2、建设内容</w:t>
            </w:r>
          </w:p>
          <w:p w14:paraId="070C2A7B">
            <w:pPr>
              <w:spacing w:line="360" w:lineRule="auto"/>
              <w:ind w:firstLine="480" w:firstLineChars="200"/>
              <w:contextualSpacing/>
              <w:rPr>
                <w:rFonts w:hint="default" w:ascii="Times New Roman" w:hAnsi="Times New Roman" w:cs="Times New Roman"/>
                <w:color w:val="auto"/>
                <w:sz w:val="24"/>
                <w:u w:val="none"/>
              </w:rPr>
            </w:pPr>
            <w:r>
              <w:rPr>
                <w:rFonts w:hint="default" w:ascii="Times New Roman" w:hAnsi="Times New Roman" w:eastAsia="宋体" w:cs="Times New Roman"/>
                <w:sz w:val="24"/>
                <w:szCs w:val="24"/>
              </w:rPr>
              <w:t>本项目租赁园区已建成单层标准厂房，配套办公区域，厂房内划分原料堆放区、混料注塑生产区、破碎回用区、成品仓储区、环保治理区、危废暂存间，不新建土建构筑物</w:t>
            </w:r>
            <w:r>
              <w:rPr>
                <w:rFonts w:hint="default" w:ascii="Times New Roman" w:hAnsi="Times New Roman" w:cs="Times New Roman"/>
                <w:color w:val="auto"/>
                <w:sz w:val="24"/>
                <w:u w:val="none"/>
              </w:rPr>
              <w:t>。</w:t>
            </w:r>
          </w:p>
          <w:p w14:paraId="2BB93E79">
            <w:pPr>
              <w:pStyle w:val="48"/>
              <w:jc w:val="center"/>
              <w:rPr>
                <w:rFonts w:hint="default" w:ascii="Times New Roman" w:hAnsi="Times New Roman" w:cs="Times New Roman"/>
                <w:b/>
                <w:bCs/>
                <w:color w:val="auto"/>
                <w:sz w:val="21"/>
                <w:szCs w:val="21"/>
                <w:u w:val="none"/>
              </w:rPr>
            </w:pPr>
            <w:r>
              <w:rPr>
                <w:rFonts w:hint="default" w:ascii="Times New Roman" w:hAnsi="Times New Roman" w:cs="Times New Roman"/>
                <w:b/>
                <w:bCs/>
                <w:color w:val="auto"/>
                <w:sz w:val="21"/>
                <w:szCs w:val="21"/>
                <w:u w:val="none"/>
                <w:lang w:val="en-GB"/>
              </w:rPr>
              <w:t>表</w:t>
            </w:r>
            <w:r>
              <w:rPr>
                <w:rFonts w:hint="default" w:ascii="Times New Roman" w:hAnsi="Times New Roman" w:cs="Times New Roman"/>
                <w:b/>
                <w:bCs/>
                <w:color w:val="auto"/>
                <w:sz w:val="21"/>
                <w:szCs w:val="21"/>
                <w:u w:val="none"/>
              </w:rPr>
              <w:t>2-1</w:t>
            </w:r>
            <w:r>
              <w:rPr>
                <w:rFonts w:hint="default" w:ascii="Times New Roman" w:hAnsi="Times New Roman" w:cs="Times New Roman"/>
                <w:b/>
                <w:bCs/>
                <w:color w:val="auto"/>
                <w:sz w:val="21"/>
                <w:szCs w:val="21"/>
                <w:u w:val="none"/>
                <w:lang w:val="en-US" w:eastAsia="zh-CN"/>
              </w:rPr>
              <w:t xml:space="preserve">  </w:t>
            </w:r>
            <w:r>
              <w:rPr>
                <w:rFonts w:hint="default" w:ascii="Times New Roman" w:hAnsi="Times New Roman" w:cs="Times New Roman"/>
                <w:b/>
                <w:bCs/>
                <w:color w:val="auto"/>
                <w:sz w:val="21"/>
                <w:szCs w:val="21"/>
                <w:u w:val="none"/>
              </w:rPr>
              <w:t>项目工程组成一览表</w:t>
            </w:r>
          </w:p>
          <w:tbl>
            <w:tblPr>
              <w:tblStyle w:val="38"/>
              <w:tblW w:w="8280" w:type="dxa"/>
              <w:tblInd w:w="-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474"/>
              <w:gridCol w:w="1954"/>
              <w:gridCol w:w="4852"/>
            </w:tblGrid>
            <w:tr w14:paraId="28B9C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474" w:type="dxa"/>
                  <w:tcBorders>
                    <w:tl2br w:val="nil"/>
                    <w:tr2bl w:val="nil"/>
                  </w:tcBorders>
                  <w:shd w:val="clear" w:color="auto" w:fill="auto"/>
                  <w:noWrap/>
                  <w:vAlign w:val="center"/>
                </w:tcPr>
                <w:p w14:paraId="7B9C1B02">
                  <w:pPr>
                    <w:adjustRightInd w:val="0"/>
                    <w:snapToGrid w:val="0"/>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类别</w:t>
                  </w:r>
                </w:p>
              </w:tc>
              <w:tc>
                <w:tcPr>
                  <w:tcW w:w="1954" w:type="dxa"/>
                  <w:tcBorders>
                    <w:tl2br w:val="nil"/>
                    <w:tr2bl w:val="nil"/>
                  </w:tcBorders>
                  <w:shd w:val="clear" w:color="auto" w:fill="auto"/>
                  <w:noWrap/>
                  <w:vAlign w:val="center"/>
                </w:tcPr>
                <w:p w14:paraId="34BF54D2">
                  <w:pPr>
                    <w:adjustRightInd w:val="0"/>
                    <w:snapToGrid w:val="0"/>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项目名称</w:t>
                  </w:r>
                </w:p>
              </w:tc>
              <w:tc>
                <w:tcPr>
                  <w:tcW w:w="4852" w:type="dxa"/>
                  <w:tcBorders>
                    <w:tl2br w:val="nil"/>
                    <w:tr2bl w:val="nil"/>
                  </w:tcBorders>
                  <w:shd w:val="clear" w:color="auto" w:fill="auto"/>
                  <w:noWrap/>
                  <w:vAlign w:val="center"/>
                </w:tcPr>
                <w:p w14:paraId="0F90E2DF">
                  <w:pPr>
                    <w:adjustRightInd w:val="0"/>
                    <w:snapToGrid w:val="0"/>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工程内容及规模</w:t>
                  </w:r>
                </w:p>
              </w:tc>
            </w:tr>
            <w:tr w14:paraId="201AF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474" w:type="dxa"/>
                  <w:tcBorders>
                    <w:tl2br w:val="nil"/>
                    <w:tr2bl w:val="nil"/>
                  </w:tcBorders>
                  <w:shd w:val="clear" w:color="auto" w:fill="auto"/>
                  <w:noWrap/>
                  <w:vAlign w:val="center"/>
                </w:tcPr>
                <w:p w14:paraId="3887ED4B">
                  <w:pPr>
                    <w:adjustRightInd w:val="0"/>
                    <w:snapToGrid w:val="0"/>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主体工程</w:t>
                  </w:r>
                </w:p>
              </w:tc>
              <w:tc>
                <w:tcPr>
                  <w:tcW w:w="1954" w:type="dxa"/>
                  <w:tcBorders>
                    <w:tl2br w:val="nil"/>
                    <w:tr2bl w:val="nil"/>
                  </w:tcBorders>
                  <w:shd w:val="clear" w:color="auto" w:fill="auto"/>
                  <w:noWrap/>
                  <w:vAlign w:val="center"/>
                </w:tcPr>
                <w:p w14:paraId="1ED8B2A3">
                  <w:pPr>
                    <w:adjustRightInd w:val="0"/>
                    <w:snapToGrid w:val="0"/>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生产车间</w:t>
                  </w:r>
                </w:p>
              </w:tc>
              <w:tc>
                <w:tcPr>
                  <w:tcW w:w="4852" w:type="dxa"/>
                  <w:tcBorders>
                    <w:tl2br w:val="nil"/>
                    <w:tr2bl w:val="nil"/>
                  </w:tcBorders>
                  <w:shd w:val="clear" w:color="auto" w:fill="auto"/>
                  <w:noWrap/>
                  <w:vAlign w:val="center"/>
                </w:tcPr>
                <w:p w14:paraId="34154402">
                  <w:pPr>
                    <w:adjustRightInd w:val="0"/>
                    <w:snapToGrid w:val="0"/>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租赁1层标准厂房，配套混料、注塑、破碎生产线，布置17台注塑机、4台混色机、3台粉碎机、1台1m³螺杆空压机，设置原料储罐、成品堆放区</w:t>
                  </w:r>
                </w:p>
              </w:tc>
            </w:tr>
            <w:tr w14:paraId="1A417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474" w:type="dxa"/>
                  <w:tcBorders>
                    <w:tl2br w:val="nil"/>
                    <w:tr2bl w:val="nil"/>
                  </w:tcBorders>
                  <w:shd w:val="clear" w:color="auto" w:fill="auto"/>
                  <w:noWrap/>
                  <w:vAlign w:val="center"/>
                </w:tcPr>
                <w:p w14:paraId="74CA47DC">
                  <w:pPr>
                    <w:adjustRightInd w:val="0"/>
                    <w:snapToGrid w:val="0"/>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辅助工程</w:t>
                  </w:r>
                </w:p>
              </w:tc>
              <w:tc>
                <w:tcPr>
                  <w:tcW w:w="1954" w:type="dxa"/>
                  <w:tcBorders>
                    <w:tl2br w:val="nil"/>
                    <w:tr2bl w:val="nil"/>
                  </w:tcBorders>
                  <w:shd w:val="clear" w:color="auto" w:fill="auto"/>
                  <w:noWrap/>
                  <w:vAlign w:val="center"/>
                </w:tcPr>
                <w:p w14:paraId="37947345">
                  <w:pPr>
                    <w:adjustRightInd w:val="0"/>
                    <w:snapToGrid w:val="0"/>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办公区</w:t>
                  </w:r>
                </w:p>
              </w:tc>
              <w:tc>
                <w:tcPr>
                  <w:tcW w:w="4852" w:type="dxa"/>
                  <w:tcBorders>
                    <w:tl2br w:val="nil"/>
                    <w:tr2bl w:val="nil"/>
                  </w:tcBorders>
                  <w:shd w:val="clear" w:color="auto" w:fill="auto"/>
                  <w:noWrap/>
                  <w:vAlign w:val="center"/>
                </w:tcPr>
                <w:p w14:paraId="1BF0DE69">
                  <w:pPr>
                    <w:adjustRightInd w:val="0"/>
                    <w:snapToGrid w:val="0"/>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厂房配套办公用房，用于日常办公、员工休息</w:t>
                  </w:r>
                </w:p>
              </w:tc>
            </w:tr>
            <w:tr w14:paraId="57577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474" w:type="dxa"/>
                  <w:vMerge w:val="restart"/>
                  <w:tcBorders>
                    <w:tl2br w:val="nil"/>
                    <w:tr2bl w:val="nil"/>
                  </w:tcBorders>
                  <w:shd w:val="clear" w:color="auto" w:fill="auto"/>
                  <w:noWrap/>
                  <w:vAlign w:val="center"/>
                </w:tcPr>
                <w:p w14:paraId="60D3A4D3">
                  <w:pPr>
                    <w:adjustRightInd w:val="0"/>
                    <w:snapToGrid w:val="0"/>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公用工程</w:t>
                  </w:r>
                </w:p>
              </w:tc>
              <w:tc>
                <w:tcPr>
                  <w:tcW w:w="1954" w:type="dxa"/>
                  <w:tcBorders>
                    <w:tl2br w:val="nil"/>
                    <w:tr2bl w:val="nil"/>
                  </w:tcBorders>
                  <w:shd w:val="clear" w:color="auto" w:fill="auto"/>
                  <w:noWrap/>
                  <w:vAlign w:val="center"/>
                </w:tcPr>
                <w:p w14:paraId="23CD2C4C">
                  <w:pPr>
                    <w:adjustRightInd w:val="0"/>
                    <w:snapToGrid w:val="0"/>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供水</w:t>
                  </w:r>
                </w:p>
              </w:tc>
              <w:tc>
                <w:tcPr>
                  <w:tcW w:w="4852" w:type="dxa"/>
                  <w:tcBorders>
                    <w:tl2br w:val="nil"/>
                    <w:tr2bl w:val="nil"/>
                  </w:tcBorders>
                  <w:shd w:val="clear" w:color="auto" w:fill="auto"/>
                  <w:noWrap/>
                  <w:vAlign w:val="center"/>
                </w:tcPr>
                <w:p w14:paraId="50F1B1AE">
                  <w:pPr>
                    <w:adjustRightInd w:val="0"/>
                    <w:snapToGrid w:val="0"/>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市政自来水管网统一接入，满足生产、生活用水需求</w:t>
                  </w:r>
                </w:p>
              </w:tc>
            </w:tr>
            <w:tr w14:paraId="7A591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474" w:type="dxa"/>
                  <w:vMerge w:val="continue"/>
                  <w:tcBorders>
                    <w:tl2br w:val="nil"/>
                    <w:tr2bl w:val="nil"/>
                  </w:tcBorders>
                  <w:shd w:val="clear" w:color="auto" w:fill="auto"/>
                  <w:noWrap/>
                  <w:vAlign w:val="center"/>
                </w:tcPr>
                <w:p w14:paraId="013A3802">
                  <w:pPr>
                    <w:adjustRightInd w:val="0"/>
                    <w:snapToGrid w:val="0"/>
                    <w:jc w:val="center"/>
                    <w:rPr>
                      <w:rFonts w:hint="default" w:ascii="Times New Roman" w:hAnsi="Times New Roman" w:eastAsia="宋体" w:cs="Times New Roman"/>
                      <w:color w:val="auto"/>
                      <w:szCs w:val="21"/>
                      <w:u w:val="none"/>
                    </w:rPr>
                  </w:pPr>
                </w:p>
              </w:tc>
              <w:tc>
                <w:tcPr>
                  <w:tcW w:w="1954" w:type="dxa"/>
                  <w:tcBorders>
                    <w:tl2br w:val="nil"/>
                    <w:tr2bl w:val="nil"/>
                  </w:tcBorders>
                  <w:shd w:val="clear" w:color="auto" w:fill="auto"/>
                  <w:noWrap/>
                  <w:vAlign w:val="center"/>
                </w:tcPr>
                <w:p w14:paraId="6324D74E">
                  <w:pPr>
                    <w:adjustRightInd w:val="0"/>
                    <w:snapToGrid w:val="0"/>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供电</w:t>
                  </w:r>
                </w:p>
              </w:tc>
              <w:tc>
                <w:tcPr>
                  <w:tcW w:w="4852" w:type="dxa"/>
                  <w:tcBorders>
                    <w:tl2br w:val="nil"/>
                    <w:tr2bl w:val="nil"/>
                  </w:tcBorders>
                  <w:shd w:val="clear" w:color="auto" w:fill="auto"/>
                  <w:noWrap/>
                  <w:vAlign w:val="center"/>
                </w:tcPr>
                <w:p w14:paraId="62A842FA">
                  <w:pPr>
                    <w:adjustRightInd w:val="0"/>
                    <w:snapToGrid w:val="0"/>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依托园区市政电网供电，配套配电设施</w:t>
                  </w:r>
                </w:p>
              </w:tc>
            </w:tr>
            <w:tr w14:paraId="028DF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474" w:type="dxa"/>
                  <w:vMerge w:val="continue"/>
                  <w:tcBorders>
                    <w:tl2br w:val="nil"/>
                    <w:tr2bl w:val="nil"/>
                  </w:tcBorders>
                  <w:shd w:val="clear" w:color="auto" w:fill="auto"/>
                  <w:noWrap/>
                  <w:vAlign w:val="center"/>
                </w:tcPr>
                <w:p w14:paraId="5DCBF699">
                  <w:pPr>
                    <w:adjustRightInd w:val="0"/>
                    <w:snapToGrid w:val="0"/>
                    <w:jc w:val="center"/>
                    <w:rPr>
                      <w:rFonts w:hint="default" w:ascii="Times New Roman" w:hAnsi="Times New Roman" w:eastAsia="宋体" w:cs="Times New Roman"/>
                      <w:color w:val="auto"/>
                      <w:szCs w:val="21"/>
                      <w:u w:val="none"/>
                    </w:rPr>
                  </w:pPr>
                </w:p>
              </w:tc>
              <w:tc>
                <w:tcPr>
                  <w:tcW w:w="1954" w:type="dxa"/>
                  <w:tcBorders>
                    <w:tl2br w:val="nil"/>
                    <w:tr2bl w:val="nil"/>
                  </w:tcBorders>
                  <w:shd w:val="clear" w:color="auto" w:fill="auto"/>
                  <w:noWrap/>
                  <w:vAlign w:val="center"/>
                </w:tcPr>
                <w:p w14:paraId="019A411D">
                  <w:pPr>
                    <w:adjustRightInd w:val="0"/>
                    <w:snapToGrid w:val="0"/>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排水</w:t>
                  </w:r>
                </w:p>
              </w:tc>
              <w:tc>
                <w:tcPr>
                  <w:tcW w:w="4852" w:type="dxa"/>
                  <w:tcBorders>
                    <w:tl2br w:val="nil"/>
                    <w:tr2bl w:val="nil"/>
                  </w:tcBorders>
                  <w:shd w:val="clear" w:color="auto" w:fill="auto"/>
                  <w:noWrap/>
                  <w:vAlign w:val="center"/>
                </w:tcPr>
                <w:p w14:paraId="103C060F">
                  <w:pPr>
                    <w:adjustRightInd w:val="0"/>
                    <w:snapToGrid w:val="0"/>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厂区实行雨污分流；雨水接入园区市政雨水管网；生活污水经预处理后排入东安经开区工业污水处理厂；</w:t>
                  </w:r>
                </w:p>
              </w:tc>
            </w:tr>
            <w:tr w14:paraId="43775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474" w:type="dxa"/>
                  <w:vMerge w:val="continue"/>
                  <w:tcBorders>
                    <w:tl2br w:val="nil"/>
                    <w:tr2bl w:val="nil"/>
                  </w:tcBorders>
                  <w:shd w:val="clear" w:color="auto" w:fill="auto"/>
                  <w:noWrap/>
                  <w:vAlign w:val="center"/>
                </w:tcPr>
                <w:p w14:paraId="6BEF338E">
                  <w:pPr>
                    <w:adjustRightInd w:val="0"/>
                    <w:snapToGrid w:val="0"/>
                    <w:jc w:val="center"/>
                    <w:rPr>
                      <w:rFonts w:hint="default" w:ascii="Times New Roman" w:hAnsi="Times New Roman" w:eastAsia="宋体" w:cs="Times New Roman"/>
                      <w:color w:val="auto"/>
                      <w:szCs w:val="21"/>
                      <w:u w:val="none"/>
                    </w:rPr>
                  </w:pPr>
                </w:p>
              </w:tc>
              <w:tc>
                <w:tcPr>
                  <w:tcW w:w="1954" w:type="dxa"/>
                  <w:tcBorders>
                    <w:tl2br w:val="nil"/>
                    <w:tr2bl w:val="nil"/>
                  </w:tcBorders>
                  <w:shd w:val="clear" w:color="auto" w:fill="auto"/>
                  <w:noWrap/>
                  <w:vAlign w:val="center"/>
                </w:tcPr>
                <w:p w14:paraId="1BE6CE03">
                  <w:pPr>
                    <w:adjustRightInd w:val="0"/>
                    <w:snapToGrid w:val="0"/>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供气</w:t>
                  </w:r>
                </w:p>
              </w:tc>
              <w:tc>
                <w:tcPr>
                  <w:tcW w:w="4852" w:type="dxa"/>
                  <w:tcBorders>
                    <w:tl2br w:val="nil"/>
                    <w:tr2bl w:val="nil"/>
                  </w:tcBorders>
                  <w:shd w:val="clear" w:color="auto" w:fill="auto"/>
                  <w:noWrap/>
                  <w:vAlign w:val="center"/>
                </w:tcPr>
                <w:p w14:paraId="45E7EA89">
                  <w:pPr>
                    <w:adjustRightInd w:val="0"/>
                    <w:snapToGrid w:val="0"/>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项目生产仅用电加热，不使用天然气</w:t>
                  </w:r>
                </w:p>
              </w:tc>
            </w:tr>
            <w:tr w14:paraId="076DC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474" w:type="dxa"/>
                  <w:vMerge w:val="restart"/>
                  <w:tcBorders>
                    <w:tl2br w:val="nil"/>
                    <w:tr2bl w:val="nil"/>
                  </w:tcBorders>
                  <w:shd w:val="clear" w:color="auto" w:fill="auto"/>
                  <w:noWrap/>
                  <w:vAlign w:val="center"/>
                </w:tcPr>
                <w:p w14:paraId="4323121D">
                  <w:pPr>
                    <w:adjustRightInd w:val="0"/>
                    <w:snapToGrid w:val="0"/>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环保工程</w:t>
                  </w:r>
                </w:p>
              </w:tc>
              <w:tc>
                <w:tcPr>
                  <w:tcW w:w="1954" w:type="dxa"/>
                  <w:tcBorders>
                    <w:tl2br w:val="nil"/>
                    <w:tr2bl w:val="nil"/>
                  </w:tcBorders>
                  <w:shd w:val="clear" w:color="auto" w:fill="auto"/>
                  <w:noWrap/>
                  <w:vAlign w:val="center"/>
                </w:tcPr>
                <w:p w14:paraId="09E74567">
                  <w:pPr>
                    <w:adjustRightInd w:val="0"/>
                    <w:snapToGrid w:val="0"/>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废气治理</w:t>
                  </w:r>
                </w:p>
              </w:tc>
              <w:tc>
                <w:tcPr>
                  <w:tcW w:w="4852" w:type="dxa"/>
                  <w:tcBorders>
                    <w:tl2br w:val="nil"/>
                    <w:tr2bl w:val="nil"/>
                  </w:tcBorders>
                  <w:shd w:val="clear" w:color="auto" w:fill="auto"/>
                  <w:noWrap/>
                  <w:vAlign w:val="center"/>
                </w:tcPr>
                <w:p w14:paraId="04CEEB6A">
                  <w:pPr>
                    <w:adjustRightInd w:val="0"/>
                    <w:snapToGrid w:val="0"/>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注塑工序配套密闭集气罩，废气收集后采用二级活性炭吸附装置处理，15m高排气筒高空排放；车间定期洒水抑尘，投料、破碎密闭减少无组织粉尘；</w:t>
                  </w:r>
                </w:p>
              </w:tc>
            </w:tr>
            <w:tr w14:paraId="6DD9E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474" w:type="dxa"/>
                  <w:vMerge w:val="continue"/>
                  <w:tcBorders>
                    <w:tl2br w:val="nil"/>
                    <w:tr2bl w:val="nil"/>
                  </w:tcBorders>
                  <w:shd w:val="clear" w:color="auto" w:fill="auto"/>
                  <w:noWrap/>
                  <w:vAlign w:val="center"/>
                </w:tcPr>
                <w:p w14:paraId="55567752">
                  <w:pPr>
                    <w:adjustRightInd w:val="0"/>
                    <w:snapToGrid w:val="0"/>
                    <w:jc w:val="center"/>
                    <w:rPr>
                      <w:rFonts w:hint="default" w:ascii="Times New Roman" w:hAnsi="Times New Roman" w:eastAsia="宋体" w:cs="Times New Roman"/>
                      <w:color w:val="auto"/>
                      <w:szCs w:val="21"/>
                      <w:u w:val="none"/>
                    </w:rPr>
                  </w:pPr>
                </w:p>
              </w:tc>
              <w:tc>
                <w:tcPr>
                  <w:tcW w:w="1954" w:type="dxa"/>
                  <w:tcBorders>
                    <w:tl2br w:val="nil"/>
                    <w:tr2bl w:val="nil"/>
                  </w:tcBorders>
                  <w:shd w:val="clear" w:color="auto" w:fill="auto"/>
                  <w:noWrap/>
                  <w:vAlign w:val="center"/>
                </w:tcPr>
                <w:p w14:paraId="40FE5EAC">
                  <w:pPr>
                    <w:adjustRightInd w:val="0"/>
                    <w:snapToGrid w:val="0"/>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废水治理</w:t>
                  </w:r>
                </w:p>
              </w:tc>
              <w:tc>
                <w:tcPr>
                  <w:tcW w:w="4852" w:type="dxa"/>
                  <w:tcBorders>
                    <w:tl2br w:val="nil"/>
                    <w:tr2bl w:val="nil"/>
                  </w:tcBorders>
                  <w:shd w:val="clear" w:color="auto" w:fill="auto"/>
                  <w:noWrap/>
                  <w:vAlign w:val="center"/>
                </w:tcPr>
                <w:p w14:paraId="3419FEF7">
                  <w:pPr>
                    <w:adjustRightInd w:val="0"/>
                    <w:snapToGrid w:val="0"/>
                    <w:jc w:val="center"/>
                    <w:rPr>
                      <w:rFonts w:hint="default" w:ascii="Times New Roman" w:hAnsi="Times New Roman" w:eastAsia="宋体" w:cs="Times New Roman"/>
                      <w:color w:val="auto"/>
                      <w:szCs w:val="21"/>
                      <w:u w:val="none"/>
                    </w:rPr>
                  </w:pPr>
                  <w:r>
                    <w:rPr>
                      <w:rFonts w:hint="default" w:cs="Times New Roman"/>
                      <w:color w:val="auto"/>
                      <w:szCs w:val="21"/>
                      <w:u w:val="none"/>
                      <w:lang w:val="en-US" w:eastAsia="zh-CN"/>
                    </w:rPr>
                    <w:t>无生产废水</w:t>
                  </w:r>
                  <w:r>
                    <w:rPr>
                      <w:rFonts w:hint="default" w:ascii="Times New Roman" w:hAnsi="Times New Roman" w:eastAsia="宋体" w:cs="Times New Roman"/>
                      <w:color w:val="auto"/>
                      <w:szCs w:val="21"/>
                      <w:u w:val="none"/>
                      <w:lang w:val="en-US" w:eastAsia="zh-CN"/>
                    </w:rPr>
                    <w:t>；生活污水经化粪池预处理</w:t>
                  </w:r>
                  <w:r>
                    <w:rPr>
                      <w:rFonts w:hint="default" w:cs="Times New Roman"/>
                      <w:color w:val="auto"/>
                      <w:szCs w:val="21"/>
                      <w:u w:val="none"/>
                      <w:lang w:val="en-US" w:eastAsia="zh-CN"/>
                    </w:rPr>
                    <w:t>后</w:t>
                  </w:r>
                  <w:r>
                    <w:rPr>
                      <w:rFonts w:hint="default" w:ascii="Times New Roman" w:hAnsi="Times New Roman" w:eastAsia="宋体" w:cs="Times New Roman"/>
                      <w:color w:val="auto"/>
                      <w:szCs w:val="21"/>
                      <w:u w:val="none"/>
                      <w:lang w:val="en-US" w:eastAsia="zh-CN"/>
                    </w:rPr>
                    <w:t>接入园区污水管网</w:t>
                  </w:r>
                </w:p>
              </w:tc>
            </w:tr>
            <w:tr w14:paraId="2CECD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474" w:type="dxa"/>
                  <w:vMerge w:val="continue"/>
                  <w:tcBorders>
                    <w:tl2br w:val="nil"/>
                    <w:tr2bl w:val="nil"/>
                  </w:tcBorders>
                  <w:shd w:val="clear" w:color="auto" w:fill="auto"/>
                  <w:noWrap/>
                  <w:vAlign w:val="center"/>
                </w:tcPr>
                <w:p w14:paraId="7F13E0FE">
                  <w:pPr>
                    <w:adjustRightInd w:val="0"/>
                    <w:snapToGrid w:val="0"/>
                    <w:jc w:val="center"/>
                    <w:rPr>
                      <w:rFonts w:hint="default" w:ascii="Times New Roman" w:hAnsi="Times New Roman" w:eastAsia="宋体" w:cs="Times New Roman"/>
                      <w:color w:val="auto"/>
                      <w:szCs w:val="21"/>
                      <w:u w:val="none"/>
                    </w:rPr>
                  </w:pPr>
                </w:p>
              </w:tc>
              <w:tc>
                <w:tcPr>
                  <w:tcW w:w="1954" w:type="dxa"/>
                  <w:tcBorders>
                    <w:tl2br w:val="nil"/>
                    <w:tr2bl w:val="nil"/>
                  </w:tcBorders>
                  <w:shd w:val="clear" w:color="auto" w:fill="auto"/>
                  <w:noWrap/>
                  <w:vAlign w:val="center"/>
                </w:tcPr>
                <w:p w14:paraId="18C28A0B">
                  <w:pPr>
                    <w:adjustRightInd w:val="0"/>
                    <w:snapToGrid w:val="0"/>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噪声治理</w:t>
                  </w:r>
                </w:p>
              </w:tc>
              <w:tc>
                <w:tcPr>
                  <w:tcW w:w="4852" w:type="dxa"/>
                  <w:tcBorders>
                    <w:tl2br w:val="nil"/>
                    <w:tr2bl w:val="nil"/>
                  </w:tcBorders>
                  <w:shd w:val="clear" w:color="auto" w:fill="auto"/>
                  <w:noWrap/>
                  <w:vAlign w:val="center"/>
                </w:tcPr>
                <w:p w14:paraId="61AD0934">
                  <w:pPr>
                    <w:adjustRightInd w:val="0"/>
                    <w:snapToGrid w:val="0"/>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注塑机、粉碎机、空压机配套减震垫、厂房墙体隔声，设备合理布置远离办公及周边敏感建筑</w:t>
                  </w:r>
                </w:p>
              </w:tc>
            </w:tr>
            <w:tr w14:paraId="014D9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474" w:type="dxa"/>
                  <w:vMerge w:val="continue"/>
                  <w:tcBorders>
                    <w:tl2br w:val="nil"/>
                    <w:tr2bl w:val="nil"/>
                  </w:tcBorders>
                  <w:shd w:val="clear" w:color="auto" w:fill="auto"/>
                  <w:noWrap/>
                  <w:vAlign w:val="center"/>
                </w:tcPr>
                <w:p w14:paraId="0F4F517A">
                  <w:pPr>
                    <w:adjustRightInd w:val="0"/>
                    <w:snapToGrid w:val="0"/>
                    <w:jc w:val="center"/>
                    <w:rPr>
                      <w:rFonts w:hint="default" w:ascii="Times New Roman" w:hAnsi="Times New Roman" w:eastAsia="宋体" w:cs="Times New Roman"/>
                      <w:color w:val="auto"/>
                      <w:szCs w:val="21"/>
                      <w:u w:val="none"/>
                    </w:rPr>
                  </w:pPr>
                </w:p>
              </w:tc>
              <w:tc>
                <w:tcPr>
                  <w:tcW w:w="1954" w:type="dxa"/>
                  <w:tcBorders>
                    <w:tl2br w:val="nil"/>
                    <w:tr2bl w:val="nil"/>
                  </w:tcBorders>
                  <w:shd w:val="clear" w:color="auto" w:fill="auto"/>
                  <w:noWrap/>
                  <w:vAlign w:val="center"/>
                </w:tcPr>
                <w:p w14:paraId="6368E4B7">
                  <w:pPr>
                    <w:adjustRightInd w:val="0"/>
                    <w:snapToGrid w:val="0"/>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固废处置</w:t>
                  </w:r>
                </w:p>
              </w:tc>
              <w:tc>
                <w:tcPr>
                  <w:tcW w:w="4852" w:type="dxa"/>
                  <w:tcBorders>
                    <w:tl2br w:val="nil"/>
                    <w:tr2bl w:val="nil"/>
                  </w:tcBorders>
                  <w:shd w:val="clear" w:color="auto" w:fill="auto"/>
                  <w:noWrap/>
                  <w:vAlign w:val="center"/>
                </w:tcPr>
                <w:p w14:paraId="5E6409A5">
                  <w:pPr>
                    <w:adjustRightInd w:val="0"/>
                    <w:snapToGrid w:val="0"/>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设置一般固废堆放区、规范危废暂存间（防渗防雨）；生活垃圾交由环卫清运；废包装袋、不合格边角料</w:t>
                  </w:r>
                  <w:r>
                    <w:rPr>
                      <w:rFonts w:hint="default" w:cs="Times New Roman"/>
                      <w:color w:val="auto"/>
                      <w:szCs w:val="21"/>
                      <w:u w:val="none"/>
                      <w:lang w:val="en-US" w:eastAsia="zh-CN"/>
                    </w:rPr>
                    <w:t>破碎回用</w:t>
                  </w:r>
                  <w:r>
                    <w:rPr>
                      <w:rFonts w:hint="default" w:ascii="Times New Roman" w:hAnsi="Times New Roman" w:eastAsia="宋体" w:cs="Times New Roman"/>
                      <w:color w:val="auto"/>
                      <w:szCs w:val="21"/>
                      <w:u w:val="none"/>
                      <w:lang w:val="en-US" w:eastAsia="zh-CN"/>
                    </w:rPr>
                    <w:t>；废活性炭、</w:t>
                  </w:r>
                  <w:r>
                    <w:rPr>
                      <w:rFonts w:hint="default" w:ascii="Times New Roman" w:hAnsi="Times New Roman" w:eastAsia="宋体" w:cs="Times New Roman"/>
                      <w:color w:val="auto"/>
                      <w:szCs w:val="21"/>
                      <w:highlight w:val="none"/>
                      <w:u w:val="none"/>
                      <w:lang w:val="en-US" w:eastAsia="zh-CN"/>
                    </w:rPr>
                    <w:t>废机油等危废委托有资质单位处置</w:t>
                  </w:r>
                </w:p>
              </w:tc>
            </w:tr>
          </w:tbl>
          <w:p w14:paraId="144A1ABC">
            <w:pPr>
              <w:spacing w:line="360" w:lineRule="auto"/>
              <w:ind w:firstLine="472" w:firstLineChars="196"/>
              <w:textAlignment w:val="center"/>
              <w:rPr>
                <w:rFonts w:hint="default" w:ascii="Times New Roman" w:hAnsi="Times New Roman" w:cs="Times New Roman"/>
                <w:b/>
                <w:bCs/>
                <w:color w:val="auto"/>
                <w:sz w:val="24"/>
                <w:u w:val="none"/>
                <w:lang w:val="en-GB"/>
              </w:rPr>
            </w:pPr>
            <w:r>
              <w:rPr>
                <w:rFonts w:hint="default" w:ascii="Times New Roman" w:hAnsi="Times New Roman" w:cs="Times New Roman"/>
                <w:b/>
                <w:bCs/>
                <w:color w:val="auto"/>
                <w:sz w:val="24"/>
                <w:u w:val="none"/>
              </w:rPr>
              <w:t>3</w:t>
            </w:r>
            <w:r>
              <w:rPr>
                <w:rFonts w:hint="default" w:ascii="Times New Roman" w:hAnsi="Times New Roman" w:cs="Times New Roman"/>
                <w:b/>
                <w:bCs/>
                <w:color w:val="auto"/>
                <w:sz w:val="24"/>
                <w:u w:val="none"/>
                <w:lang w:val="en-GB"/>
              </w:rPr>
              <w:t>、产品方案</w:t>
            </w:r>
          </w:p>
          <w:p w14:paraId="3992FBC5">
            <w:pPr>
              <w:spacing w:line="360" w:lineRule="auto"/>
              <w:ind w:firstLine="480" w:firstLineChars="200"/>
              <w:rPr>
                <w:rFonts w:hint="default" w:ascii="Times New Roman" w:hAnsi="Times New Roman" w:cs="Times New Roman"/>
                <w:color w:val="auto"/>
                <w:sz w:val="24"/>
                <w:szCs w:val="20"/>
                <w:u w:val="none"/>
              </w:rPr>
            </w:pPr>
            <w:r>
              <w:rPr>
                <w:rFonts w:hint="default" w:ascii="Times New Roman" w:hAnsi="Times New Roman" w:cs="Times New Roman"/>
                <w:color w:val="auto"/>
                <w:sz w:val="24"/>
                <w:szCs w:val="20"/>
                <w:u w:val="none"/>
              </w:rPr>
              <w:t>项目主要产品方案详见下表。</w:t>
            </w:r>
          </w:p>
          <w:p w14:paraId="12436456">
            <w:pPr>
              <w:pStyle w:val="48"/>
              <w:jc w:val="center"/>
              <w:rPr>
                <w:rFonts w:hint="default" w:ascii="Times New Roman" w:hAnsi="Times New Roman" w:cs="Times New Roman"/>
                <w:b/>
                <w:bCs/>
                <w:color w:val="auto"/>
                <w:sz w:val="21"/>
                <w:szCs w:val="21"/>
                <w:u w:val="none"/>
                <w:lang w:val="en-GB"/>
              </w:rPr>
            </w:pPr>
            <w:r>
              <w:rPr>
                <w:rFonts w:hint="default" w:ascii="Times New Roman" w:hAnsi="Times New Roman" w:cs="Times New Roman"/>
                <w:b/>
                <w:bCs/>
                <w:color w:val="auto"/>
                <w:sz w:val="21"/>
                <w:szCs w:val="21"/>
                <w:u w:val="none"/>
                <w:lang w:val="en-GB"/>
              </w:rPr>
              <w:t>表</w:t>
            </w:r>
            <w:r>
              <w:rPr>
                <w:rFonts w:hint="default" w:ascii="Times New Roman" w:hAnsi="Times New Roman" w:cs="Times New Roman"/>
                <w:b/>
                <w:bCs/>
                <w:color w:val="auto"/>
                <w:sz w:val="21"/>
                <w:szCs w:val="21"/>
                <w:u w:val="none"/>
              </w:rPr>
              <w:t>2-2</w:t>
            </w:r>
            <w:r>
              <w:rPr>
                <w:rFonts w:hint="default" w:ascii="Times New Roman" w:hAnsi="Times New Roman" w:cs="Times New Roman"/>
                <w:b/>
                <w:bCs/>
                <w:color w:val="auto"/>
                <w:sz w:val="21"/>
                <w:szCs w:val="21"/>
                <w:u w:val="none"/>
                <w:lang w:val="en-GB"/>
              </w:rPr>
              <w:t xml:space="preserve"> 项目产品方案一览表</w:t>
            </w:r>
          </w:p>
          <w:tbl>
            <w:tblPr>
              <w:tblStyle w:val="38"/>
              <w:tblW w:w="0" w:type="auto"/>
              <w:tblInd w:w="-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1982"/>
              <w:gridCol w:w="1981"/>
              <w:gridCol w:w="3093"/>
            </w:tblGrid>
            <w:tr w14:paraId="0980D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224" w:type="dxa"/>
                  <w:tcBorders>
                    <w:tl2br w:val="nil"/>
                    <w:tr2bl w:val="nil"/>
                  </w:tcBorders>
                  <w:noWrap w:val="0"/>
                  <w:vAlign w:val="center"/>
                </w:tcPr>
                <w:p w14:paraId="22067FD8">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序号</w:t>
                  </w:r>
                </w:p>
              </w:tc>
              <w:tc>
                <w:tcPr>
                  <w:tcW w:w="1982" w:type="dxa"/>
                  <w:tcBorders>
                    <w:tl2br w:val="nil"/>
                    <w:tr2bl w:val="nil"/>
                  </w:tcBorders>
                  <w:noWrap w:val="0"/>
                  <w:vAlign w:val="center"/>
                </w:tcPr>
                <w:p w14:paraId="24D031EE">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产品名称</w:t>
                  </w:r>
                </w:p>
              </w:tc>
              <w:tc>
                <w:tcPr>
                  <w:tcW w:w="1981" w:type="dxa"/>
                  <w:tcBorders>
                    <w:tl2br w:val="nil"/>
                    <w:tr2bl w:val="nil"/>
                  </w:tcBorders>
                  <w:noWrap w:val="0"/>
                  <w:vAlign w:val="center"/>
                </w:tcPr>
                <w:p w14:paraId="03FFCC2A">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年产量（t）</w:t>
                  </w:r>
                </w:p>
              </w:tc>
              <w:tc>
                <w:tcPr>
                  <w:tcW w:w="3093" w:type="dxa"/>
                  <w:tcBorders>
                    <w:tl2br w:val="nil"/>
                    <w:tr2bl w:val="nil"/>
                  </w:tcBorders>
                  <w:noWrap w:val="0"/>
                  <w:vAlign w:val="center"/>
                </w:tcPr>
                <w:p w14:paraId="2E307D59">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产品用途</w:t>
                  </w:r>
                </w:p>
              </w:tc>
            </w:tr>
            <w:tr w14:paraId="3C5DD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224" w:type="dxa"/>
                  <w:tcBorders>
                    <w:tl2br w:val="nil"/>
                    <w:tr2bl w:val="nil"/>
                  </w:tcBorders>
                  <w:noWrap w:val="0"/>
                  <w:vAlign w:val="center"/>
                </w:tcPr>
                <w:p w14:paraId="650B42B5">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1</w:t>
                  </w:r>
                </w:p>
              </w:tc>
              <w:tc>
                <w:tcPr>
                  <w:tcW w:w="1982" w:type="dxa"/>
                  <w:tcBorders>
                    <w:tl2br w:val="nil"/>
                    <w:tr2bl w:val="nil"/>
                  </w:tcBorders>
                  <w:noWrap w:val="0"/>
                  <w:vAlign w:val="center"/>
                </w:tcPr>
                <w:p w14:paraId="66A28955">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Φ60球胆</w:t>
                  </w:r>
                </w:p>
              </w:tc>
              <w:tc>
                <w:tcPr>
                  <w:tcW w:w="1981" w:type="dxa"/>
                  <w:tcBorders>
                    <w:tl2br w:val="nil"/>
                    <w:tr2bl w:val="nil"/>
                  </w:tcBorders>
                  <w:noWrap w:val="0"/>
                  <w:vAlign w:val="center"/>
                </w:tcPr>
                <w:p w14:paraId="697C3AEB">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95</w:t>
                  </w:r>
                </w:p>
              </w:tc>
              <w:tc>
                <w:tcPr>
                  <w:tcW w:w="3093" w:type="dxa"/>
                  <w:tcBorders>
                    <w:tl2br w:val="nil"/>
                    <w:tr2bl w:val="nil"/>
                  </w:tcBorders>
                  <w:noWrap w:val="0"/>
                  <w:vAlign w:val="center"/>
                </w:tcPr>
                <w:p w14:paraId="70800FD7">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健身器材、成人体育用品</w:t>
                  </w:r>
                </w:p>
              </w:tc>
            </w:tr>
            <w:tr w14:paraId="31F20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224" w:type="dxa"/>
                  <w:tcBorders>
                    <w:tl2br w:val="nil"/>
                    <w:tr2bl w:val="nil"/>
                  </w:tcBorders>
                  <w:noWrap w:val="0"/>
                  <w:vAlign w:val="center"/>
                </w:tcPr>
                <w:p w14:paraId="57A90FFB">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2</w:t>
                  </w:r>
                </w:p>
              </w:tc>
              <w:tc>
                <w:tcPr>
                  <w:tcW w:w="1982" w:type="dxa"/>
                  <w:tcBorders>
                    <w:tl2br w:val="nil"/>
                    <w:tr2bl w:val="nil"/>
                  </w:tcBorders>
                  <w:noWrap w:val="0"/>
                  <w:vAlign w:val="center"/>
                </w:tcPr>
                <w:p w14:paraId="49112B22">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Φ55球胆</w:t>
                  </w:r>
                </w:p>
              </w:tc>
              <w:tc>
                <w:tcPr>
                  <w:tcW w:w="1981" w:type="dxa"/>
                  <w:tcBorders>
                    <w:tl2br w:val="nil"/>
                    <w:tr2bl w:val="nil"/>
                  </w:tcBorders>
                  <w:noWrap w:val="0"/>
                  <w:vAlign w:val="center"/>
                </w:tcPr>
                <w:p w14:paraId="74B7AA0A">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80</w:t>
                  </w:r>
                </w:p>
              </w:tc>
              <w:tc>
                <w:tcPr>
                  <w:tcW w:w="3093" w:type="dxa"/>
                  <w:tcBorders>
                    <w:tl2br w:val="nil"/>
                    <w:tr2bl w:val="nil"/>
                  </w:tcBorders>
                  <w:noWrap w:val="0"/>
                  <w:vAlign w:val="center"/>
                </w:tcPr>
                <w:p w14:paraId="7EBC13CE">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健身器材、成人体育用品</w:t>
                  </w:r>
                </w:p>
              </w:tc>
            </w:tr>
            <w:tr w14:paraId="49FC6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224" w:type="dxa"/>
                  <w:tcBorders>
                    <w:tl2br w:val="nil"/>
                    <w:tr2bl w:val="nil"/>
                  </w:tcBorders>
                  <w:noWrap w:val="0"/>
                  <w:vAlign w:val="center"/>
                </w:tcPr>
                <w:p w14:paraId="3457AD82">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3</w:t>
                  </w:r>
                </w:p>
              </w:tc>
              <w:tc>
                <w:tcPr>
                  <w:tcW w:w="1982" w:type="dxa"/>
                  <w:tcBorders>
                    <w:tl2br w:val="nil"/>
                    <w:tr2bl w:val="nil"/>
                  </w:tcBorders>
                  <w:noWrap w:val="0"/>
                  <w:vAlign w:val="center"/>
                </w:tcPr>
                <w:p w14:paraId="0FA12840">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Φ75圆饼</w:t>
                  </w:r>
                </w:p>
              </w:tc>
              <w:tc>
                <w:tcPr>
                  <w:tcW w:w="1981" w:type="dxa"/>
                  <w:tcBorders>
                    <w:tl2br w:val="nil"/>
                    <w:tr2bl w:val="nil"/>
                  </w:tcBorders>
                  <w:noWrap w:val="0"/>
                  <w:vAlign w:val="center"/>
                </w:tcPr>
                <w:p w14:paraId="5AC782EB">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35</w:t>
                  </w:r>
                </w:p>
              </w:tc>
              <w:tc>
                <w:tcPr>
                  <w:tcW w:w="3093" w:type="dxa"/>
                  <w:tcBorders>
                    <w:tl2br w:val="nil"/>
                    <w:tr2bl w:val="nil"/>
                  </w:tcBorders>
                  <w:noWrap w:val="0"/>
                  <w:vAlign w:val="center"/>
                </w:tcPr>
                <w:p w14:paraId="6615D5A5">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健身拉力配件</w:t>
                  </w:r>
                </w:p>
              </w:tc>
            </w:tr>
            <w:tr w14:paraId="1DF88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224" w:type="dxa"/>
                  <w:tcBorders>
                    <w:tl2br w:val="nil"/>
                    <w:tr2bl w:val="nil"/>
                  </w:tcBorders>
                  <w:noWrap w:val="0"/>
                  <w:vAlign w:val="center"/>
                </w:tcPr>
                <w:p w14:paraId="1F5F7A71">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4</w:t>
                  </w:r>
                </w:p>
              </w:tc>
              <w:tc>
                <w:tcPr>
                  <w:tcW w:w="1982" w:type="dxa"/>
                  <w:tcBorders>
                    <w:tl2br w:val="nil"/>
                    <w:tr2bl w:val="nil"/>
                  </w:tcBorders>
                  <w:noWrap w:val="0"/>
                  <w:vAlign w:val="center"/>
                </w:tcPr>
                <w:p w14:paraId="69536E71">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鸡蛋球</w:t>
                  </w:r>
                </w:p>
              </w:tc>
              <w:tc>
                <w:tcPr>
                  <w:tcW w:w="1981" w:type="dxa"/>
                  <w:tcBorders>
                    <w:tl2br w:val="nil"/>
                    <w:tr2bl w:val="nil"/>
                  </w:tcBorders>
                  <w:noWrap w:val="0"/>
                  <w:vAlign w:val="center"/>
                </w:tcPr>
                <w:p w14:paraId="66D38471">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2</w:t>
                  </w:r>
                </w:p>
              </w:tc>
              <w:tc>
                <w:tcPr>
                  <w:tcW w:w="3093" w:type="dxa"/>
                  <w:tcBorders>
                    <w:tl2br w:val="nil"/>
                    <w:tr2bl w:val="nil"/>
                  </w:tcBorders>
                  <w:noWrap w:val="0"/>
                  <w:vAlign w:val="center"/>
                </w:tcPr>
                <w:p w14:paraId="4830F80E">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家用健身小件</w:t>
                  </w:r>
                </w:p>
              </w:tc>
            </w:tr>
            <w:tr w14:paraId="7BA47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224" w:type="dxa"/>
                  <w:tcBorders>
                    <w:tl2br w:val="nil"/>
                    <w:tr2bl w:val="nil"/>
                  </w:tcBorders>
                  <w:noWrap w:val="0"/>
                  <w:vAlign w:val="center"/>
                </w:tcPr>
                <w:p w14:paraId="4603F958">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5</w:t>
                  </w:r>
                </w:p>
              </w:tc>
              <w:tc>
                <w:tcPr>
                  <w:tcW w:w="1982" w:type="dxa"/>
                  <w:tcBorders>
                    <w:tl2br w:val="nil"/>
                    <w:tr2bl w:val="nil"/>
                  </w:tcBorders>
                  <w:noWrap w:val="0"/>
                  <w:vAlign w:val="center"/>
                </w:tcPr>
                <w:p w14:paraId="5232A6DE">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Φ55握力球</w:t>
                  </w:r>
                </w:p>
              </w:tc>
              <w:tc>
                <w:tcPr>
                  <w:tcW w:w="1981" w:type="dxa"/>
                  <w:tcBorders>
                    <w:tl2br w:val="nil"/>
                    <w:tr2bl w:val="nil"/>
                  </w:tcBorders>
                  <w:noWrap w:val="0"/>
                  <w:vAlign w:val="center"/>
                </w:tcPr>
                <w:p w14:paraId="4FF4E17D">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2.5</w:t>
                  </w:r>
                </w:p>
              </w:tc>
              <w:tc>
                <w:tcPr>
                  <w:tcW w:w="3093" w:type="dxa"/>
                  <w:tcBorders>
                    <w:tl2br w:val="nil"/>
                    <w:tr2bl w:val="nil"/>
                  </w:tcBorders>
                  <w:noWrap w:val="0"/>
                  <w:vAlign w:val="center"/>
                </w:tcPr>
                <w:p w14:paraId="37A38C68">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手部康复、健身</w:t>
                  </w:r>
                </w:p>
              </w:tc>
            </w:tr>
            <w:tr w14:paraId="343BB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224" w:type="dxa"/>
                  <w:tcBorders>
                    <w:tl2br w:val="nil"/>
                    <w:tr2bl w:val="nil"/>
                  </w:tcBorders>
                  <w:noWrap w:val="0"/>
                  <w:vAlign w:val="center"/>
                </w:tcPr>
                <w:p w14:paraId="17DF0DA3">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6</w:t>
                  </w:r>
                </w:p>
              </w:tc>
              <w:tc>
                <w:tcPr>
                  <w:tcW w:w="1982" w:type="dxa"/>
                  <w:tcBorders>
                    <w:tl2br w:val="nil"/>
                    <w:tr2bl w:val="nil"/>
                  </w:tcBorders>
                  <w:noWrap w:val="0"/>
                  <w:vAlign w:val="center"/>
                </w:tcPr>
                <w:p w14:paraId="3F8A5D69">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1字拉力绳</w:t>
                  </w:r>
                </w:p>
              </w:tc>
              <w:tc>
                <w:tcPr>
                  <w:tcW w:w="1981" w:type="dxa"/>
                  <w:tcBorders>
                    <w:tl2br w:val="nil"/>
                    <w:tr2bl w:val="nil"/>
                  </w:tcBorders>
                  <w:noWrap w:val="0"/>
                  <w:vAlign w:val="center"/>
                </w:tcPr>
                <w:p w14:paraId="691BF909">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1</w:t>
                  </w:r>
                </w:p>
              </w:tc>
              <w:tc>
                <w:tcPr>
                  <w:tcW w:w="3093" w:type="dxa"/>
                  <w:tcBorders>
                    <w:tl2br w:val="nil"/>
                    <w:tr2bl w:val="nil"/>
                  </w:tcBorders>
                  <w:noWrap w:val="0"/>
                  <w:vAlign w:val="center"/>
                </w:tcPr>
                <w:p w14:paraId="43C4CA04">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拉伸健身用品</w:t>
                  </w:r>
                </w:p>
              </w:tc>
            </w:tr>
            <w:tr w14:paraId="08C6D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224" w:type="dxa"/>
                  <w:tcBorders>
                    <w:tl2br w:val="nil"/>
                    <w:tr2bl w:val="nil"/>
                  </w:tcBorders>
                  <w:noWrap w:val="0"/>
                  <w:vAlign w:val="center"/>
                </w:tcPr>
                <w:p w14:paraId="26DE1F79">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7</w:t>
                  </w:r>
                </w:p>
              </w:tc>
              <w:tc>
                <w:tcPr>
                  <w:tcW w:w="1982" w:type="dxa"/>
                  <w:tcBorders>
                    <w:tl2br w:val="nil"/>
                    <w:tr2bl w:val="nil"/>
                  </w:tcBorders>
                  <w:noWrap w:val="0"/>
                  <w:vAlign w:val="center"/>
                </w:tcPr>
                <w:p w14:paraId="2F4756D8">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8字拉力绳</w:t>
                  </w:r>
                </w:p>
              </w:tc>
              <w:tc>
                <w:tcPr>
                  <w:tcW w:w="1981" w:type="dxa"/>
                  <w:tcBorders>
                    <w:tl2br w:val="nil"/>
                    <w:tr2bl w:val="nil"/>
                  </w:tcBorders>
                  <w:noWrap w:val="0"/>
                  <w:vAlign w:val="center"/>
                </w:tcPr>
                <w:p w14:paraId="5E1998BA">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0.8</w:t>
                  </w:r>
                </w:p>
              </w:tc>
              <w:tc>
                <w:tcPr>
                  <w:tcW w:w="3093" w:type="dxa"/>
                  <w:tcBorders>
                    <w:tl2br w:val="nil"/>
                    <w:tr2bl w:val="nil"/>
                  </w:tcBorders>
                  <w:noWrap w:val="0"/>
                  <w:vAlign w:val="center"/>
                </w:tcPr>
                <w:p w14:paraId="7FABAB40">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肢体拉伸用品</w:t>
                  </w:r>
                </w:p>
              </w:tc>
            </w:tr>
            <w:tr w14:paraId="726C5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1224" w:type="dxa"/>
                  <w:tcBorders>
                    <w:tl2br w:val="nil"/>
                    <w:tr2bl w:val="nil"/>
                  </w:tcBorders>
                  <w:noWrap w:val="0"/>
                  <w:vAlign w:val="center"/>
                </w:tcPr>
                <w:p w14:paraId="0C2E4319">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合计</w:t>
                  </w:r>
                </w:p>
              </w:tc>
              <w:tc>
                <w:tcPr>
                  <w:tcW w:w="1982" w:type="dxa"/>
                  <w:tcBorders>
                    <w:tl2br w:val="nil"/>
                    <w:tr2bl w:val="nil"/>
                  </w:tcBorders>
                  <w:noWrap w:val="0"/>
                  <w:vAlign w:val="center"/>
                </w:tcPr>
                <w:p w14:paraId="33ADA1CB">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w:t>
                  </w:r>
                </w:p>
              </w:tc>
              <w:tc>
                <w:tcPr>
                  <w:tcW w:w="1981" w:type="dxa"/>
                  <w:tcBorders>
                    <w:tl2br w:val="nil"/>
                    <w:tr2bl w:val="nil"/>
                  </w:tcBorders>
                  <w:noWrap w:val="0"/>
                  <w:vAlign w:val="center"/>
                </w:tcPr>
                <w:p w14:paraId="30A6B71D">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216.3</w:t>
                  </w:r>
                </w:p>
              </w:tc>
              <w:tc>
                <w:tcPr>
                  <w:tcW w:w="3093" w:type="dxa"/>
                  <w:tcBorders>
                    <w:tl2br w:val="nil"/>
                    <w:tr2bl w:val="nil"/>
                  </w:tcBorders>
                  <w:noWrap w:val="0"/>
                  <w:vAlign w:val="center"/>
                </w:tcPr>
                <w:p w14:paraId="795F1725">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w:t>
                  </w:r>
                </w:p>
              </w:tc>
            </w:tr>
          </w:tbl>
          <w:p w14:paraId="77E93EC4">
            <w:pPr>
              <w:spacing w:before="120" w:beforeLines="50" w:line="360" w:lineRule="auto"/>
              <w:ind w:firstLine="482" w:firstLineChars="200"/>
              <w:rPr>
                <w:rFonts w:hint="default" w:ascii="Times New Roman" w:hAnsi="Times New Roman" w:cs="Times New Roman"/>
                <w:b/>
                <w:color w:val="auto"/>
                <w:sz w:val="24"/>
                <w:u w:val="none"/>
                <w:lang w:val="en-GB"/>
              </w:rPr>
            </w:pPr>
            <w:r>
              <w:rPr>
                <w:rFonts w:hint="default" w:ascii="Times New Roman" w:hAnsi="Times New Roman" w:cs="Times New Roman"/>
                <w:b/>
                <w:color w:val="auto"/>
                <w:sz w:val="24"/>
                <w:u w:val="none"/>
              </w:rPr>
              <w:t>4</w:t>
            </w:r>
            <w:r>
              <w:rPr>
                <w:rFonts w:hint="default" w:ascii="Times New Roman" w:hAnsi="Times New Roman" w:cs="Times New Roman"/>
                <w:b/>
                <w:color w:val="auto"/>
                <w:sz w:val="24"/>
                <w:u w:val="none"/>
                <w:lang w:val="en-GB"/>
              </w:rPr>
              <w:t>、主要设备及数量</w:t>
            </w:r>
          </w:p>
          <w:p w14:paraId="22EE93EB">
            <w:pPr>
              <w:spacing w:line="276" w:lineRule="auto"/>
              <w:ind w:firstLine="480" w:firstLineChars="200"/>
              <w:rPr>
                <w:rFonts w:hint="default" w:ascii="Times New Roman" w:hAnsi="Times New Roman" w:cs="Times New Roman"/>
                <w:color w:val="auto"/>
                <w:sz w:val="24"/>
                <w:szCs w:val="20"/>
                <w:u w:val="none"/>
              </w:rPr>
            </w:pPr>
            <w:r>
              <w:rPr>
                <w:rFonts w:hint="default" w:ascii="Times New Roman" w:hAnsi="Times New Roman" w:cs="Times New Roman"/>
                <w:color w:val="auto"/>
                <w:sz w:val="24"/>
                <w:szCs w:val="20"/>
                <w:u w:val="none"/>
              </w:rPr>
              <w:t>本项目主要设备见下表。</w:t>
            </w:r>
          </w:p>
          <w:p w14:paraId="14D60726">
            <w:pPr>
              <w:pStyle w:val="48"/>
              <w:jc w:val="center"/>
              <w:rPr>
                <w:rFonts w:hint="default" w:ascii="Times New Roman" w:hAnsi="Times New Roman" w:cs="Times New Roman"/>
                <w:b/>
                <w:bCs/>
                <w:color w:val="auto"/>
                <w:sz w:val="21"/>
                <w:szCs w:val="21"/>
                <w:u w:val="none"/>
                <w:lang w:val="en-GB"/>
              </w:rPr>
            </w:pPr>
            <w:r>
              <w:rPr>
                <w:rFonts w:hint="default" w:ascii="Times New Roman" w:hAnsi="Times New Roman" w:cs="Times New Roman"/>
                <w:b/>
                <w:bCs/>
                <w:color w:val="auto"/>
                <w:sz w:val="21"/>
                <w:szCs w:val="21"/>
                <w:u w:val="none"/>
                <w:lang w:val="en-GB"/>
              </w:rPr>
              <w:t>表</w:t>
            </w:r>
            <w:r>
              <w:rPr>
                <w:rFonts w:hint="default" w:ascii="Times New Roman" w:hAnsi="Times New Roman" w:cs="Times New Roman"/>
                <w:b/>
                <w:bCs/>
                <w:color w:val="auto"/>
                <w:sz w:val="21"/>
                <w:szCs w:val="21"/>
                <w:u w:val="none"/>
              </w:rPr>
              <w:t>2-3</w:t>
            </w:r>
            <w:r>
              <w:rPr>
                <w:rFonts w:hint="default" w:ascii="Times New Roman" w:hAnsi="Times New Roman" w:cs="Times New Roman"/>
                <w:b/>
                <w:bCs/>
                <w:color w:val="auto"/>
                <w:sz w:val="21"/>
                <w:szCs w:val="21"/>
                <w:u w:val="none"/>
                <w:lang w:val="en-US" w:eastAsia="zh-CN"/>
              </w:rPr>
              <w:t xml:space="preserve">   </w:t>
            </w:r>
            <w:r>
              <w:rPr>
                <w:rFonts w:hint="default" w:ascii="Times New Roman" w:hAnsi="Times New Roman" w:cs="Times New Roman"/>
                <w:b/>
                <w:bCs/>
                <w:color w:val="auto"/>
                <w:sz w:val="21"/>
                <w:szCs w:val="21"/>
                <w:u w:val="none"/>
                <w:lang w:val="en-GB"/>
              </w:rPr>
              <w:t>项目主要设备一览表</w:t>
            </w:r>
          </w:p>
          <w:tbl>
            <w:tblPr>
              <w:tblStyle w:val="38"/>
              <w:tblW w:w="0" w:type="auto"/>
              <w:tblInd w:w="-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1403"/>
              <w:gridCol w:w="1129"/>
              <w:gridCol w:w="991"/>
              <w:gridCol w:w="1087"/>
              <w:gridCol w:w="2642"/>
            </w:tblGrid>
            <w:tr w14:paraId="3C0B9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908" w:type="dxa"/>
                  <w:tcBorders>
                    <w:tl2br w:val="nil"/>
                    <w:tr2bl w:val="nil"/>
                  </w:tcBorders>
                  <w:noWrap w:val="0"/>
                  <w:vAlign w:val="center"/>
                </w:tcPr>
                <w:p w14:paraId="1508D996">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序号</w:t>
                  </w:r>
                </w:p>
              </w:tc>
              <w:tc>
                <w:tcPr>
                  <w:tcW w:w="1403" w:type="dxa"/>
                  <w:tcBorders>
                    <w:tl2br w:val="nil"/>
                    <w:tr2bl w:val="nil"/>
                  </w:tcBorders>
                  <w:noWrap w:val="0"/>
                  <w:vAlign w:val="center"/>
                </w:tcPr>
                <w:p w14:paraId="47F7F37D">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设备名称</w:t>
                  </w:r>
                </w:p>
              </w:tc>
              <w:tc>
                <w:tcPr>
                  <w:tcW w:w="1129" w:type="dxa"/>
                  <w:tcBorders>
                    <w:tl2br w:val="nil"/>
                    <w:tr2bl w:val="nil"/>
                  </w:tcBorders>
                  <w:noWrap w:val="0"/>
                  <w:vAlign w:val="center"/>
                </w:tcPr>
                <w:p w14:paraId="63ABE5A3">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规格</w:t>
                  </w:r>
                </w:p>
              </w:tc>
              <w:tc>
                <w:tcPr>
                  <w:tcW w:w="991" w:type="dxa"/>
                  <w:tcBorders>
                    <w:tl2br w:val="nil"/>
                    <w:tr2bl w:val="nil"/>
                  </w:tcBorders>
                  <w:noWrap w:val="0"/>
                  <w:vAlign w:val="center"/>
                </w:tcPr>
                <w:p w14:paraId="59D4E5C0">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单位</w:t>
                  </w:r>
                </w:p>
              </w:tc>
              <w:tc>
                <w:tcPr>
                  <w:tcW w:w="1087" w:type="dxa"/>
                  <w:tcBorders>
                    <w:tl2br w:val="nil"/>
                    <w:tr2bl w:val="nil"/>
                  </w:tcBorders>
                  <w:noWrap w:val="0"/>
                  <w:vAlign w:val="center"/>
                </w:tcPr>
                <w:p w14:paraId="3A0654D3">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数量</w:t>
                  </w:r>
                </w:p>
              </w:tc>
              <w:tc>
                <w:tcPr>
                  <w:tcW w:w="2642" w:type="dxa"/>
                  <w:tcBorders>
                    <w:tl2br w:val="nil"/>
                    <w:tr2bl w:val="nil"/>
                  </w:tcBorders>
                  <w:noWrap w:val="0"/>
                  <w:vAlign w:val="center"/>
                </w:tcPr>
                <w:p w14:paraId="059FB0EC">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用途</w:t>
                  </w:r>
                </w:p>
              </w:tc>
            </w:tr>
            <w:tr w14:paraId="2D74F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908" w:type="dxa"/>
                  <w:tcBorders>
                    <w:tl2br w:val="nil"/>
                    <w:tr2bl w:val="nil"/>
                  </w:tcBorders>
                  <w:noWrap w:val="0"/>
                  <w:vAlign w:val="center"/>
                </w:tcPr>
                <w:p w14:paraId="2F61C3DF">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1</w:t>
                  </w:r>
                </w:p>
              </w:tc>
              <w:tc>
                <w:tcPr>
                  <w:tcW w:w="1403" w:type="dxa"/>
                  <w:tcBorders>
                    <w:tl2br w:val="nil"/>
                    <w:tr2bl w:val="nil"/>
                  </w:tcBorders>
                  <w:noWrap w:val="0"/>
                  <w:vAlign w:val="center"/>
                </w:tcPr>
                <w:p w14:paraId="1FD8D409">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注塑机</w:t>
                  </w:r>
                </w:p>
              </w:tc>
              <w:tc>
                <w:tcPr>
                  <w:tcW w:w="1129" w:type="dxa"/>
                  <w:tcBorders>
                    <w:tl2br w:val="nil"/>
                    <w:tr2bl w:val="nil"/>
                  </w:tcBorders>
                  <w:noWrap w:val="0"/>
                  <w:vAlign w:val="center"/>
                </w:tcPr>
                <w:p w14:paraId="2668E815">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w:t>
                  </w:r>
                </w:p>
              </w:tc>
              <w:tc>
                <w:tcPr>
                  <w:tcW w:w="991" w:type="dxa"/>
                  <w:tcBorders>
                    <w:tl2br w:val="nil"/>
                    <w:tr2bl w:val="nil"/>
                  </w:tcBorders>
                  <w:noWrap w:val="0"/>
                  <w:vAlign w:val="center"/>
                </w:tcPr>
                <w:p w14:paraId="746BC389">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台</w:t>
                  </w:r>
                </w:p>
              </w:tc>
              <w:tc>
                <w:tcPr>
                  <w:tcW w:w="1087" w:type="dxa"/>
                  <w:tcBorders>
                    <w:tl2br w:val="nil"/>
                    <w:tr2bl w:val="nil"/>
                  </w:tcBorders>
                  <w:noWrap w:val="0"/>
                  <w:vAlign w:val="center"/>
                </w:tcPr>
                <w:p w14:paraId="72448FAC">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17</w:t>
                  </w:r>
                </w:p>
              </w:tc>
              <w:tc>
                <w:tcPr>
                  <w:tcW w:w="2642" w:type="dxa"/>
                  <w:tcBorders>
                    <w:tl2br w:val="nil"/>
                    <w:tr2bl w:val="nil"/>
                  </w:tcBorders>
                  <w:noWrap w:val="0"/>
                  <w:vAlign w:val="center"/>
                </w:tcPr>
                <w:p w14:paraId="573E1368">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弹性体制品加热注塑成型</w:t>
                  </w:r>
                </w:p>
              </w:tc>
            </w:tr>
            <w:tr w14:paraId="4B9DB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908" w:type="dxa"/>
                  <w:tcBorders>
                    <w:tl2br w:val="nil"/>
                    <w:tr2bl w:val="nil"/>
                  </w:tcBorders>
                  <w:noWrap w:val="0"/>
                  <w:vAlign w:val="center"/>
                </w:tcPr>
                <w:p w14:paraId="65C5D914">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2</w:t>
                  </w:r>
                </w:p>
              </w:tc>
              <w:tc>
                <w:tcPr>
                  <w:tcW w:w="1403" w:type="dxa"/>
                  <w:tcBorders>
                    <w:tl2br w:val="nil"/>
                    <w:tr2bl w:val="nil"/>
                  </w:tcBorders>
                  <w:noWrap w:val="0"/>
                  <w:vAlign w:val="center"/>
                </w:tcPr>
                <w:p w14:paraId="6D1ABEE9">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混</w:t>
                  </w:r>
                  <w:r>
                    <w:rPr>
                      <w:rFonts w:hint="default" w:cs="Times New Roman"/>
                      <w:color w:val="auto"/>
                      <w:szCs w:val="21"/>
                      <w:u w:val="none"/>
                      <w:lang w:val="en-US" w:eastAsia="zh-CN"/>
                    </w:rPr>
                    <w:t>合</w:t>
                  </w:r>
                  <w:r>
                    <w:rPr>
                      <w:rFonts w:hint="default" w:ascii="Times New Roman" w:hAnsi="Times New Roman" w:eastAsia="宋体" w:cs="Times New Roman"/>
                      <w:color w:val="auto"/>
                      <w:szCs w:val="21"/>
                      <w:u w:val="none"/>
                    </w:rPr>
                    <w:t>机</w:t>
                  </w:r>
                </w:p>
              </w:tc>
              <w:tc>
                <w:tcPr>
                  <w:tcW w:w="1129" w:type="dxa"/>
                  <w:tcBorders>
                    <w:tl2br w:val="nil"/>
                    <w:tr2bl w:val="nil"/>
                  </w:tcBorders>
                  <w:noWrap w:val="0"/>
                  <w:vAlign w:val="center"/>
                </w:tcPr>
                <w:p w14:paraId="3D35F5D7">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w:t>
                  </w:r>
                </w:p>
              </w:tc>
              <w:tc>
                <w:tcPr>
                  <w:tcW w:w="991" w:type="dxa"/>
                  <w:tcBorders>
                    <w:tl2br w:val="nil"/>
                    <w:tr2bl w:val="nil"/>
                  </w:tcBorders>
                  <w:noWrap w:val="0"/>
                  <w:vAlign w:val="center"/>
                </w:tcPr>
                <w:p w14:paraId="737542E7">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台</w:t>
                  </w:r>
                </w:p>
              </w:tc>
              <w:tc>
                <w:tcPr>
                  <w:tcW w:w="1087" w:type="dxa"/>
                  <w:tcBorders>
                    <w:tl2br w:val="nil"/>
                    <w:tr2bl w:val="nil"/>
                  </w:tcBorders>
                  <w:noWrap w:val="0"/>
                  <w:vAlign w:val="center"/>
                </w:tcPr>
                <w:p w14:paraId="310DDDF7">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4</w:t>
                  </w:r>
                </w:p>
              </w:tc>
              <w:tc>
                <w:tcPr>
                  <w:tcW w:w="2642" w:type="dxa"/>
                  <w:tcBorders>
                    <w:tl2br w:val="nil"/>
                    <w:tr2bl w:val="nil"/>
                  </w:tcBorders>
                  <w:noWrap w:val="0"/>
                  <w:vAlign w:val="center"/>
                </w:tcPr>
                <w:p w14:paraId="180460AD">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SBS/SEBS颗粒、石蜡油密闭混合配料</w:t>
                  </w:r>
                </w:p>
              </w:tc>
            </w:tr>
            <w:tr w14:paraId="4637C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908" w:type="dxa"/>
                  <w:tcBorders>
                    <w:tl2br w:val="nil"/>
                    <w:tr2bl w:val="nil"/>
                  </w:tcBorders>
                  <w:noWrap w:val="0"/>
                  <w:vAlign w:val="center"/>
                </w:tcPr>
                <w:p w14:paraId="6204ED72">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3</w:t>
                  </w:r>
                </w:p>
              </w:tc>
              <w:tc>
                <w:tcPr>
                  <w:tcW w:w="1403" w:type="dxa"/>
                  <w:tcBorders>
                    <w:tl2br w:val="nil"/>
                    <w:tr2bl w:val="nil"/>
                  </w:tcBorders>
                  <w:noWrap w:val="0"/>
                  <w:vAlign w:val="center"/>
                </w:tcPr>
                <w:p w14:paraId="3C1DFD08">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粉碎机</w:t>
                  </w:r>
                </w:p>
              </w:tc>
              <w:tc>
                <w:tcPr>
                  <w:tcW w:w="1129" w:type="dxa"/>
                  <w:tcBorders>
                    <w:tl2br w:val="nil"/>
                    <w:tr2bl w:val="nil"/>
                  </w:tcBorders>
                  <w:noWrap w:val="0"/>
                  <w:vAlign w:val="center"/>
                </w:tcPr>
                <w:p w14:paraId="53CDCF4F">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w:t>
                  </w:r>
                </w:p>
              </w:tc>
              <w:tc>
                <w:tcPr>
                  <w:tcW w:w="991" w:type="dxa"/>
                  <w:tcBorders>
                    <w:tl2br w:val="nil"/>
                    <w:tr2bl w:val="nil"/>
                  </w:tcBorders>
                  <w:noWrap w:val="0"/>
                  <w:vAlign w:val="center"/>
                </w:tcPr>
                <w:p w14:paraId="6D27DF9E">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台</w:t>
                  </w:r>
                </w:p>
              </w:tc>
              <w:tc>
                <w:tcPr>
                  <w:tcW w:w="1087" w:type="dxa"/>
                  <w:tcBorders>
                    <w:tl2br w:val="nil"/>
                    <w:tr2bl w:val="nil"/>
                  </w:tcBorders>
                  <w:noWrap w:val="0"/>
                  <w:vAlign w:val="center"/>
                </w:tcPr>
                <w:p w14:paraId="0385125D">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3</w:t>
                  </w:r>
                </w:p>
              </w:tc>
              <w:tc>
                <w:tcPr>
                  <w:tcW w:w="2642" w:type="dxa"/>
                  <w:tcBorders>
                    <w:tl2br w:val="nil"/>
                    <w:tr2bl w:val="nil"/>
                  </w:tcBorders>
                  <w:noWrap w:val="0"/>
                  <w:vAlign w:val="center"/>
                </w:tcPr>
                <w:p w14:paraId="223C1807">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不合格品、边角料破碎回用</w:t>
                  </w:r>
                </w:p>
              </w:tc>
            </w:tr>
            <w:tr w14:paraId="54318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908" w:type="dxa"/>
                  <w:tcBorders>
                    <w:tl2br w:val="nil"/>
                    <w:tr2bl w:val="nil"/>
                  </w:tcBorders>
                  <w:noWrap w:val="0"/>
                  <w:vAlign w:val="center"/>
                </w:tcPr>
                <w:p w14:paraId="4B9541CB">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4</w:t>
                  </w:r>
                </w:p>
              </w:tc>
              <w:tc>
                <w:tcPr>
                  <w:tcW w:w="1403" w:type="dxa"/>
                  <w:tcBorders>
                    <w:tl2br w:val="nil"/>
                    <w:tr2bl w:val="nil"/>
                  </w:tcBorders>
                  <w:noWrap w:val="0"/>
                  <w:vAlign w:val="center"/>
                </w:tcPr>
                <w:p w14:paraId="7A389D7A">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螺杆空压机</w:t>
                  </w:r>
                </w:p>
              </w:tc>
              <w:tc>
                <w:tcPr>
                  <w:tcW w:w="1129" w:type="dxa"/>
                  <w:tcBorders>
                    <w:tl2br w:val="nil"/>
                    <w:tr2bl w:val="nil"/>
                  </w:tcBorders>
                  <w:noWrap w:val="0"/>
                  <w:vAlign w:val="center"/>
                </w:tcPr>
                <w:p w14:paraId="4EA19E0B">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1m³</w:t>
                  </w:r>
                </w:p>
              </w:tc>
              <w:tc>
                <w:tcPr>
                  <w:tcW w:w="991" w:type="dxa"/>
                  <w:tcBorders>
                    <w:tl2br w:val="nil"/>
                    <w:tr2bl w:val="nil"/>
                  </w:tcBorders>
                  <w:noWrap w:val="0"/>
                  <w:vAlign w:val="center"/>
                </w:tcPr>
                <w:p w14:paraId="0E4107D3">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台</w:t>
                  </w:r>
                </w:p>
              </w:tc>
              <w:tc>
                <w:tcPr>
                  <w:tcW w:w="1087" w:type="dxa"/>
                  <w:tcBorders>
                    <w:tl2br w:val="nil"/>
                    <w:tr2bl w:val="nil"/>
                  </w:tcBorders>
                  <w:noWrap w:val="0"/>
                  <w:vAlign w:val="center"/>
                </w:tcPr>
                <w:p w14:paraId="4E880B55">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1</w:t>
                  </w:r>
                </w:p>
              </w:tc>
              <w:tc>
                <w:tcPr>
                  <w:tcW w:w="2642" w:type="dxa"/>
                  <w:tcBorders>
                    <w:tl2br w:val="nil"/>
                    <w:tr2bl w:val="nil"/>
                  </w:tcBorders>
                  <w:noWrap w:val="0"/>
                  <w:vAlign w:val="center"/>
                </w:tcPr>
                <w:p w14:paraId="4377F15F">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设备气动配套供气</w:t>
                  </w:r>
                </w:p>
              </w:tc>
            </w:tr>
          </w:tbl>
          <w:p w14:paraId="1186D7B3">
            <w:pPr>
              <w:spacing w:before="120" w:beforeLines="50" w:line="360" w:lineRule="auto"/>
              <w:ind w:firstLine="472" w:firstLineChars="196"/>
              <w:outlineLvl w:val="0"/>
              <w:rPr>
                <w:rFonts w:hint="default" w:ascii="Times New Roman" w:hAnsi="Times New Roman" w:cs="Times New Roman"/>
                <w:b/>
                <w:color w:val="auto"/>
                <w:sz w:val="24"/>
                <w:u w:val="none"/>
                <w:lang w:val="en-GB"/>
              </w:rPr>
            </w:pPr>
            <w:r>
              <w:rPr>
                <w:rFonts w:hint="default" w:ascii="Times New Roman" w:hAnsi="Times New Roman" w:cs="Times New Roman"/>
                <w:b/>
                <w:color w:val="auto"/>
                <w:sz w:val="24"/>
                <w:u w:val="none"/>
              </w:rPr>
              <w:t>5、</w:t>
            </w:r>
            <w:r>
              <w:rPr>
                <w:rFonts w:hint="default" w:ascii="Times New Roman" w:hAnsi="Times New Roman" w:cs="Times New Roman"/>
                <w:b/>
                <w:color w:val="auto"/>
                <w:sz w:val="24"/>
                <w:u w:val="none"/>
                <w:lang w:val="en-GB"/>
              </w:rPr>
              <w:t>主要原辅材料及能源消耗</w:t>
            </w:r>
          </w:p>
          <w:p w14:paraId="2C058C28">
            <w:pPr>
              <w:spacing w:line="360" w:lineRule="auto"/>
              <w:ind w:firstLine="480" w:firstLineChars="200"/>
              <w:jc w:val="left"/>
              <w:rPr>
                <w:rFonts w:hint="default" w:ascii="Times New Roman" w:hAnsi="Times New Roman" w:cs="Times New Roman"/>
                <w:color w:val="auto"/>
                <w:sz w:val="24"/>
                <w:u w:val="none"/>
              </w:rPr>
            </w:pPr>
            <w:r>
              <w:rPr>
                <w:rFonts w:hint="default" w:ascii="Times New Roman" w:hAnsi="Times New Roman" w:cs="Times New Roman"/>
                <w:color w:val="auto"/>
                <w:sz w:val="24"/>
                <w:u w:val="none"/>
              </w:rPr>
              <w:t>根据建设方提供资料，项目主要原辅材料及能源消耗见下表。</w:t>
            </w:r>
          </w:p>
          <w:p w14:paraId="044103BA">
            <w:pPr>
              <w:pStyle w:val="48"/>
              <w:jc w:val="center"/>
              <w:rPr>
                <w:rFonts w:hint="default" w:ascii="Times New Roman" w:hAnsi="Times New Roman" w:cs="Times New Roman"/>
                <w:b/>
                <w:bCs/>
                <w:color w:val="auto"/>
                <w:sz w:val="21"/>
                <w:szCs w:val="21"/>
                <w:u w:val="none"/>
                <w:lang w:val="en-GB"/>
              </w:rPr>
            </w:pPr>
            <w:r>
              <w:rPr>
                <w:rFonts w:hint="default" w:ascii="Times New Roman" w:hAnsi="Times New Roman" w:cs="Times New Roman"/>
                <w:b/>
                <w:bCs/>
                <w:color w:val="auto"/>
                <w:sz w:val="21"/>
                <w:szCs w:val="21"/>
                <w:u w:val="none"/>
                <w:lang w:val="en-GB"/>
              </w:rPr>
              <w:t>表2-4</w:t>
            </w:r>
            <w:r>
              <w:rPr>
                <w:rFonts w:hint="default" w:ascii="Times New Roman" w:hAnsi="Times New Roman" w:cs="Times New Roman"/>
                <w:b/>
                <w:bCs/>
                <w:color w:val="auto"/>
                <w:sz w:val="21"/>
                <w:szCs w:val="21"/>
                <w:u w:val="none"/>
                <w:lang w:val="en-GB" w:eastAsia="zh-CN"/>
              </w:rPr>
              <w:t xml:space="preserve"> </w:t>
            </w:r>
            <w:r>
              <w:rPr>
                <w:rFonts w:hint="default" w:ascii="Times New Roman" w:hAnsi="Times New Roman" w:cs="Times New Roman"/>
                <w:b/>
                <w:bCs/>
                <w:color w:val="auto"/>
                <w:sz w:val="21"/>
                <w:szCs w:val="21"/>
                <w:u w:val="none"/>
                <w:lang w:val="en-GB"/>
              </w:rPr>
              <w:t>项目原辅材料及能源消耗一览表</w:t>
            </w:r>
          </w:p>
          <w:tbl>
            <w:tblPr>
              <w:tblStyle w:val="38"/>
              <w:tblW w:w="8138" w:type="dxa"/>
              <w:tblInd w:w="-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322"/>
              <w:gridCol w:w="1734"/>
              <w:gridCol w:w="2064"/>
              <w:gridCol w:w="3018"/>
            </w:tblGrid>
            <w:tr w14:paraId="63F6F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22" w:type="dxa"/>
                  <w:tcBorders>
                    <w:tl2br w:val="nil"/>
                    <w:tr2bl w:val="nil"/>
                  </w:tcBorders>
                  <w:shd w:val="clear" w:color="auto" w:fill="auto"/>
                  <w:noWrap/>
                  <w:vAlign w:val="center"/>
                </w:tcPr>
                <w:p w14:paraId="3C271B35">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序号</w:t>
                  </w:r>
                </w:p>
              </w:tc>
              <w:tc>
                <w:tcPr>
                  <w:tcW w:w="1734" w:type="dxa"/>
                  <w:tcBorders>
                    <w:tl2br w:val="nil"/>
                    <w:tr2bl w:val="nil"/>
                  </w:tcBorders>
                  <w:shd w:val="clear" w:color="auto" w:fill="auto"/>
                  <w:noWrap/>
                  <w:vAlign w:val="center"/>
                </w:tcPr>
                <w:p w14:paraId="42D5C0B2">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物料名称</w:t>
                  </w:r>
                </w:p>
              </w:tc>
              <w:tc>
                <w:tcPr>
                  <w:tcW w:w="2064" w:type="dxa"/>
                  <w:tcBorders>
                    <w:tl2br w:val="nil"/>
                    <w:tr2bl w:val="nil"/>
                  </w:tcBorders>
                  <w:shd w:val="clear" w:color="auto" w:fill="auto"/>
                  <w:noWrap/>
                  <w:vAlign w:val="center"/>
                </w:tcPr>
                <w:p w14:paraId="6BAFF9AB">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年消耗量</w:t>
                  </w:r>
                </w:p>
              </w:tc>
              <w:tc>
                <w:tcPr>
                  <w:tcW w:w="3018" w:type="dxa"/>
                  <w:tcBorders>
                    <w:tl2br w:val="nil"/>
                    <w:tr2bl w:val="nil"/>
                  </w:tcBorders>
                  <w:shd w:val="clear" w:color="auto" w:fill="auto"/>
                  <w:noWrap/>
                  <w:vAlign w:val="center"/>
                </w:tcPr>
                <w:p w14:paraId="29F95DB9">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来源/ 备注</w:t>
                  </w:r>
                </w:p>
              </w:tc>
            </w:tr>
            <w:tr w14:paraId="405B5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22" w:type="dxa"/>
                  <w:tcBorders>
                    <w:tl2br w:val="nil"/>
                    <w:tr2bl w:val="nil"/>
                  </w:tcBorders>
                  <w:shd w:val="clear" w:color="auto" w:fill="auto"/>
                  <w:noWrap/>
                  <w:vAlign w:val="center"/>
                </w:tcPr>
                <w:p w14:paraId="2FB6AC19">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1</w:t>
                  </w:r>
                </w:p>
              </w:tc>
              <w:tc>
                <w:tcPr>
                  <w:tcW w:w="1734" w:type="dxa"/>
                  <w:tcBorders>
                    <w:tl2br w:val="nil"/>
                    <w:tr2bl w:val="nil"/>
                  </w:tcBorders>
                  <w:shd w:val="clear" w:color="auto" w:fill="auto"/>
                  <w:noWrap/>
                  <w:vAlign w:val="center"/>
                </w:tcPr>
                <w:p w14:paraId="57CC6908">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橡胶石蜡油</w:t>
                  </w:r>
                </w:p>
              </w:tc>
              <w:tc>
                <w:tcPr>
                  <w:tcW w:w="2064" w:type="dxa"/>
                  <w:tcBorders>
                    <w:tl2br w:val="nil"/>
                    <w:tr2bl w:val="nil"/>
                  </w:tcBorders>
                  <w:shd w:val="clear" w:color="auto" w:fill="auto"/>
                  <w:noWrap/>
                  <w:vAlign w:val="center"/>
                </w:tcPr>
                <w:p w14:paraId="1242E0B4">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180t/a</w:t>
                  </w:r>
                </w:p>
              </w:tc>
              <w:tc>
                <w:tcPr>
                  <w:tcW w:w="3018" w:type="dxa"/>
                  <w:tcBorders>
                    <w:tl2br w:val="nil"/>
                    <w:tr2bl w:val="nil"/>
                  </w:tcBorders>
                  <w:shd w:val="clear" w:color="auto" w:fill="auto"/>
                  <w:noWrap/>
                  <w:vAlign w:val="center"/>
                </w:tcPr>
                <w:p w14:paraId="4954FC8B">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东莞市潜润新能源有限公司，低芳烃矿物油，配套MSDS</w:t>
                  </w:r>
                </w:p>
              </w:tc>
            </w:tr>
            <w:tr w14:paraId="016D3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22" w:type="dxa"/>
                  <w:tcBorders>
                    <w:tl2br w:val="nil"/>
                    <w:tr2bl w:val="nil"/>
                  </w:tcBorders>
                  <w:shd w:val="clear" w:color="auto" w:fill="auto"/>
                  <w:noWrap/>
                  <w:vAlign w:val="center"/>
                </w:tcPr>
                <w:p w14:paraId="1E3B2133">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2</w:t>
                  </w:r>
                </w:p>
              </w:tc>
              <w:tc>
                <w:tcPr>
                  <w:tcW w:w="1734" w:type="dxa"/>
                  <w:tcBorders>
                    <w:tl2br w:val="nil"/>
                    <w:tr2bl w:val="nil"/>
                  </w:tcBorders>
                  <w:shd w:val="clear" w:color="auto" w:fill="auto"/>
                  <w:noWrap/>
                  <w:vAlign w:val="center"/>
                </w:tcPr>
                <w:p w14:paraId="4EB5CB7F">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SBS粉</w:t>
                  </w:r>
                </w:p>
              </w:tc>
              <w:tc>
                <w:tcPr>
                  <w:tcW w:w="2064" w:type="dxa"/>
                  <w:tcBorders>
                    <w:tl2br w:val="nil"/>
                    <w:tr2bl w:val="nil"/>
                  </w:tcBorders>
                  <w:shd w:val="clear" w:color="auto" w:fill="auto"/>
                  <w:noWrap/>
                  <w:vAlign w:val="center"/>
                </w:tcPr>
                <w:p w14:paraId="74B997CC">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1t/a</w:t>
                  </w:r>
                </w:p>
              </w:tc>
              <w:tc>
                <w:tcPr>
                  <w:tcW w:w="3018" w:type="dxa"/>
                  <w:tcBorders>
                    <w:tl2br w:val="nil"/>
                    <w:tr2bl w:val="nil"/>
                  </w:tcBorders>
                  <w:shd w:val="clear" w:color="auto" w:fill="auto"/>
                  <w:noWrap/>
                  <w:vAlign w:val="center"/>
                </w:tcPr>
                <w:p w14:paraId="521FB9F6">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巴陵日化，热塑性弹性体原料</w:t>
                  </w:r>
                </w:p>
              </w:tc>
            </w:tr>
            <w:tr w14:paraId="1ECB4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22" w:type="dxa"/>
                  <w:tcBorders>
                    <w:tl2br w:val="nil"/>
                    <w:tr2bl w:val="nil"/>
                  </w:tcBorders>
                  <w:shd w:val="clear" w:color="auto" w:fill="auto"/>
                  <w:noWrap/>
                  <w:vAlign w:val="center"/>
                </w:tcPr>
                <w:p w14:paraId="5900468D">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3</w:t>
                  </w:r>
                </w:p>
              </w:tc>
              <w:tc>
                <w:tcPr>
                  <w:tcW w:w="1734" w:type="dxa"/>
                  <w:tcBorders>
                    <w:tl2br w:val="nil"/>
                    <w:tr2bl w:val="nil"/>
                  </w:tcBorders>
                  <w:shd w:val="clear" w:color="auto" w:fill="auto"/>
                  <w:noWrap/>
                  <w:vAlign w:val="center"/>
                </w:tcPr>
                <w:p w14:paraId="3E26316A">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SEBS粉</w:t>
                  </w:r>
                </w:p>
              </w:tc>
              <w:tc>
                <w:tcPr>
                  <w:tcW w:w="2064" w:type="dxa"/>
                  <w:tcBorders>
                    <w:tl2br w:val="nil"/>
                    <w:tr2bl w:val="nil"/>
                  </w:tcBorders>
                  <w:shd w:val="clear" w:color="auto" w:fill="auto"/>
                  <w:noWrap/>
                  <w:vAlign w:val="center"/>
                </w:tcPr>
                <w:p w14:paraId="14D20E64">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29t/a</w:t>
                  </w:r>
                </w:p>
              </w:tc>
              <w:tc>
                <w:tcPr>
                  <w:tcW w:w="3018" w:type="dxa"/>
                  <w:tcBorders>
                    <w:tl2br w:val="nil"/>
                    <w:tr2bl w:val="nil"/>
                  </w:tcBorders>
                  <w:shd w:val="clear" w:color="auto" w:fill="auto"/>
                  <w:noWrap/>
                  <w:vAlign w:val="center"/>
                </w:tcPr>
                <w:p w14:paraId="574BAE44">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巴陵日化，加氢饱和弹性体</w:t>
                  </w:r>
                </w:p>
              </w:tc>
            </w:tr>
            <w:tr w14:paraId="25494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22" w:type="dxa"/>
                  <w:tcBorders>
                    <w:tl2br w:val="nil"/>
                    <w:tr2bl w:val="nil"/>
                  </w:tcBorders>
                  <w:shd w:val="clear" w:color="auto" w:fill="auto"/>
                  <w:noWrap/>
                  <w:vAlign w:val="center"/>
                </w:tcPr>
                <w:p w14:paraId="71052DB3">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4</w:t>
                  </w:r>
                </w:p>
              </w:tc>
              <w:tc>
                <w:tcPr>
                  <w:tcW w:w="1734" w:type="dxa"/>
                  <w:tcBorders>
                    <w:tl2br w:val="nil"/>
                    <w:tr2bl w:val="nil"/>
                  </w:tcBorders>
                  <w:shd w:val="clear" w:color="auto" w:fill="auto"/>
                  <w:noWrap/>
                  <w:vAlign w:val="center"/>
                </w:tcPr>
                <w:p w14:paraId="78F19F1E">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TBE颗粒</w:t>
                  </w:r>
                </w:p>
              </w:tc>
              <w:tc>
                <w:tcPr>
                  <w:tcW w:w="2064" w:type="dxa"/>
                  <w:tcBorders>
                    <w:tl2br w:val="nil"/>
                    <w:tr2bl w:val="nil"/>
                  </w:tcBorders>
                  <w:shd w:val="clear" w:color="auto" w:fill="auto"/>
                  <w:noWrap/>
                  <w:vAlign w:val="center"/>
                </w:tcPr>
                <w:p w14:paraId="00D2E4BE">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6.3t/a</w:t>
                  </w:r>
                </w:p>
              </w:tc>
              <w:tc>
                <w:tcPr>
                  <w:tcW w:w="3018" w:type="dxa"/>
                  <w:tcBorders>
                    <w:tl2br w:val="nil"/>
                    <w:tr2bl w:val="nil"/>
                  </w:tcBorders>
                  <w:shd w:val="clear" w:color="auto" w:fill="auto"/>
                  <w:noWrap/>
                  <w:vAlign w:val="center"/>
                </w:tcPr>
                <w:p w14:paraId="115BDEB3">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东莞洋塑公司，改性塑料粒子</w:t>
                  </w:r>
                </w:p>
              </w:tc>
            </w:tr>
            <w:tr w14:paraId="5C97A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22" w:type="dxa"/>
                  <w:tcBorders>
                    <w:tl2br w:val="nil"/>
                    <w:tr2bl w:val="nil"/>
                  </w:tcBorders>
                  <w:shd w:val="clear" w:color="auto" w:fill="auto"/>
                  <w:noWrap/>
                  <w:vAlign w:val="center"/>
                </w:tcPr>
                <w:p w14:paraId="272C94C3">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5</w:t>
                  </w:r>
                </w:p>
              </w:tc>
              <w:tc>
                <w:tcPr>
                  <w:tcW w:w="1734" w:type="dxa"/>
                  <w:tcBorders>
                    <w:tl2br w:val="nil"/>
                    <w:tr2bl w:val="nil"/>
                  </w:tcBorders>
                  <w:shd w:val="clear" w:color="auto" w:fill="auto"/>
                  <w:noWrap/>
                  <w:vAlign w:val="center"/>
                </w:tcPr>
                <w:p w14:paraId="71645A61">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电</w:t>
                  </w:r>
                </w:p>
              </w:tc>
              <w:tc>
                <w:tcPr>
                  <w:tcW w:w="2064" w:type="dxa"/>
                  <w:tcBorders>
                    <w:tl2br w:val="nil"/>
                    <w:tr2bl w:val="nil"/>
                  </w:tcBorders>
                  <w:shd w:val="clear" w:color="auto" w:fill="auto"/>
                  <w:noWrap/>
                  <w:vAlign w:val="center"/>
                </w:tcPr>
                <w:p w14:paraId="5B20FD67">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5Kw.h</w:t>
                  </w:r>
                </w:p>
              </w:tc>
              <w:tc>
                <w:tcPr>
                  <w:tcW w:w="3018" w:type="dxa"/>
                  <w:tcBorders>
                    <w:tl2br w:val="nil"/>
                    <w:tr2bl w:val="nil"/>
                  </w:tcBorders>
                  <w:shd w:val="clear" w:color="auto" w:fill="auto"/>
                  <w:noWrap/>
                  <w:vAlign w:val="center"/>
                </w:tcPr>
                <w:p w14:paraId="60C0C9C0">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市政电网，设备、照明、加热使用</w:t>
                  </w:r>
                </w:p>
              </w:tc>
            </w:tr>
            <w:tr w14:paraId="00077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22" w:type="dxa"/>
                  <w:tcBorders>
                    <w:tl2br w:val="nil"/>
                    <w:tr2bl w:val="nil"/>
                  </w:tcBorders>
                  <w:shd w:val="clear" w:color="auto" w:fill="auto"/>
                  <w:noWrap/>
                  <w:vAlign w:val="center"/>
                </w:tcPr>
                <w:p w14:paraId="1AF35B0B">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6</w:t>
                  </w:r>
                </w:p>
              </w:tc>
              <w:tc>
                <w:tcPr>
                  <w:tcW w:w="1734" w:type="dxa"/>
                  <w:tcBorders>
                    <w:tl2br w:val="nil"/>
                    <w:tr2bl w:val="nil"/>
                  </w:tcBorders>
                  <w:shd w:val="clear" w:color="auto" w:fill="auto"/>
                  <w:noWrap/>
                  <w:vAlign w:val="center"/>
                </w:tcPr>
                <w:p w14:paraId="08097A74">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自来水</w:t>
                  </w:r>
                </w:p>
              </w:tc>
              <w:tc>
                <w:tcPr>
                  <w:tcW w:w="2064" w:type="dxa"/>
                  <w:tcBorders>
                    <w:tl2br w:val="nil"/>
                    <w:tr2bl w:val="nil"/>
                  </w:tcBorders>
                  <w:shd w:val="clear" w:color="auto" w:fill="auto"/>
                  <w:noWrap/>
                  <w:vAlign w:val="center"/>
                </w:tcPr>
                <w:p w14:paraId="564F7A34">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150t</w:t>
                  </w:r>
                </w:p>
              </w:tc>
              <w:tc>
                <w:tcPr>
                  <w:tcW w:w="3018" w:type="dxa"/>
                  <w:tcBorders>
                    <w:tl2br w:val="nil"/>
                    <w:tr2bl w:val="nil"/>
                  </w:tcBorders>
                  <w:shd w:val="clear" w:color="auto" w:fill="auto"/>
                  <w:noWrap/>
                  <w:vAlign w:val="center"/>
                </w:tcPr>
                <w:p w14:paraId="138652D6">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生产清洗、员工生活用水</w:t>
                  </w:r>
                </w:p>
              </w:tc>
            </w:tr>
          </w:tbl>
          <w:p w14:paraId="1DC715F6">
            <w:pPr>
              <w:pStyle w:val="102"/>
              <w:spacing w:before="0" w:beforeAutospacing="0" w:after="0" w:afterAutospacing="0" w:line="360" w:lineRule="auto"/>
              <w:ind w:firstLine="480" w:firstLineChars="200"/>
              <w:jc w:val="both"/>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color w:val="auto"/>
                <w:u w:val="none"/>
                <w:lang w:val="en-US" w:eastAsia="zh-CN"/>
              </w:rPr>
              <w:t>1)橡胶石蜡油</w:t>
            </w:r>
          </w:p>
          <w:p w14:paraId="104B5F82">
            <w:pPr>
              <w:pStyle w:val="102"/>
              <w:spacing w:before="0" w:beforeAutospacing="0" w:after="0" w:afterAutospacing="0" w:line="360" w:lineRule="auto"/>
              <w:ind w:firstLine="480" w:firstLineChars="200"/>
              <w:jc w:val="both"/>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color w:val="auto"/>
                <w:u w:val="none"/>
                <w:lang w:val="en-US" w:eastAsia="zh-CN"/>
              </w:rPr>
              <w:t>供货单位：东莞市潜润新能源有限公司，配套提供化学品安全技术说明书（MSDS）。理化性质：本品为低芳烃矿物油，无色至淡黄色粘稠油状液体，无明显刺激性气味；主要成分为饱和烷烃、环烷烃，芳烃含量低；常温下不挥发、不易燃；密度0.86～0.89g/cm³，闪点＞180℃，不溶于水，可与SBS、SEBS等热塑性弹性体良好相容。储运及风险：常温密闭桶装储存，不属于危险化学品；高温受热条件下会释放少量烃类有机废气；配套完整MSDS，明确毒性、应急处置、储存要求，原料进厂附带MSDS备查。</w:t>
            </w:r>
          </w:p>
          <w:p w14:paraId="499719B9">
            <w:pPr>
              <w:pStyle w:val="102"/>
              <w:numPr>
                <w:ilvl w:val="0"/>
                <w:numId w:val="0"/>
              </w:numPr>
              <w:spacing w:before="0" w:beforeAutospacing="0" w:after="0" w:afterAutospacing="0" w:line="360" w:lineRule="auto"/>
              <w:ind w:firstLine="480" w:firstLineChars="200"/>
              <w:jc w:val="both"/>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color w:val="auto"/>
                <w:u w:val="none"/>
                <w:lang w:val="en-US" w:eastAsia="zh-CN"/>
              </w:rPr>
              <w:t>2)SBS粉</w:t>
            </w:r>
          </w:p>
          <w:p w14:paraId="279C5204">
            <w:pPr>
              <w:pStyle w:val="102"/>
              <w:numPr>
                <w:ilvl w:val="0"/>
                <w:numId w:val="0"/>
              </w:numPr>
              <w:spacing w:before="0" w:beforeAutospacing="0" w:after="0" w:afterAutospacing="0" w:line="360" w:lineRule="auto"/>
              <w:ind w:firstLine="480" w:firstLineChars="200"/>
              <w:jc w:val="both"/>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color w:val="auto"/>
                <w:u w:val="none"/>
                <w:lang w:val="en-US" w:eastAsia="zh-CN"/>
              </w:rPr>
              <w:t>供货单位：巴陵日化，热塑性弹性体原料。理化性质：白色粉末，热塑性高分子材料；密度约0.94g/cm³，软化区间80～100℃；常温性质稳定，不溶于水；加热至160～220℃熔融塑化；无自燃性，常温无粉尘爆炸高风险，干燥条件下密闭存放。</w:t>
            </w:r>
          </w:p>
          <w:p w14:paraId="0369B249">
            <w:pPr>
              <w:pStyle w:val="102"/>
              <w:spacing w:before="0" w:beforeAutospacing="0" w:after="0" w:afterAutospacing="0" w:line="360" w:lineRule="auto"/>
              <w:ind w:firstLine="480" w:firstLineChars="200"/>
              <w:jc w:val="both"/>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color w:val="auto"/>
                <w:u w:val="none"/>
                <w:lang w:val="en-US" w:eastAsia="zh-CN"/>
              </w:rPr>
              <w:t>3)SEBS粉</w:t>
            </w:r>
          </w:p>
          <w:p w14:paraId="6DA27E56">
            <w:pPr>
              <w:pStyle w:val="102"/>
              <w:spacing w:before="0" w:beforeAutospacing="0" w:after="0" w:afterAutospacing="0" w:line="360" w:lineRule="auto"/>
              <w:ind w:firstLine="480" w:firstLineChars="200"/>
              <w:jc w:val="both"/>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color w:val="auto"/>
                <w:u w:val="none"/>
                <w:lang w:val="en-US" w:eastAsia="zh-CN"/>
              </w:rPr>
              <w:t>供货单位：巴陵日化，加氢饱和弹性体。理化性质：白色粉末，SBS加氢改性产物；分子结构饱和度高，热稳定性优于普通SBS；密度0.91～0.95g/cm³，熔融加工温度170～230℃；常温不溶于水，耐老化；熔融加工过程有机废气产生量低于SBS；常温化学性质稳定，干燥密闭仓储。</w:t>
            </w:r>
          </w:p>
          <w:p w14:paraId="010E46E3">
            <w:pPr>
              <w:pStyle w:val="102"/>
              <w:spacing w:before="0" w:beforeAutospacing="0" w:after="0" w:afterAutospacing="0" w:line="360" w:lineRule="auto"/>
              <w:ind w:firstLine="480" w:firstLineChars="200"/>
              <w:jc w:val="both"/>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color w:val="auto"/>
                <w:u w:val="none"/>
                <w:lang w:val="en-US" w:eastAsia="zh-CN"/>
              </w:rPr>
              <w:t>4)TBE颗粒（改性热塑性弹性塑料粒子）</w:t>
            </w:r>
          </w:p>
          <w:p w14:paraId="704C5CFD">
            <w:pPr>
              <w:pStyle w:val="102"/>
              <w:spacing w:before="0" w:beforeAutospacing="0" w:after="0" w:afterAutospacing="0" w:line="360" w:lineRule="auto"/>
              <w:ind w:firstLine="480" w:firstLineChars="200"/>
              <w:jc w:val="both"/>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color w:val="auto"/>
                <w:u w:val="none"/>
                <w:lang w:val="en-US" w:eastAsia="zh-CN"/>
              </w:rPr>
              <w:t>供货单位：东莞洋塑公司，改性塑料粒子。理化性质：乳白色颗粒，改性聚烯烃类弹性体；密度0.90～0.93g/cm³，加工温度165～210℃；常温稳定、不吸水；熔融状态下释放微量非甲烷总烃；常温无挥发性，袋装堆放，防潮储存。</w:t>
            </w:r>
          </w:p>
          <w:p w14:paraId="32CA63CB">
            <w:pPr>
              <w:spacing w:before="120" w:beforeLines="50" w:line="360" w:lineRule="auto"/>
              <w:ind w:firstLine="482" w:firstLineChars="200"/>
              <w:rPr>
                <w:rFonts w:hint="default" w:ascii="Times New Roman" w:hAnsi="Times New Roman" w:cs="Times New Roman"/>
                <w:b/>
                <w:color w:val="auto"/>
                <w:sz w:val="24"/>
                <w:u w:val="none"/>
              </w:rPr>
            </w:pPr>
            <w:r>
              <w:rPr>
                <w:rFonts w:hint="default" w:ascii="Times New Roman" w:hAnsi="Times New Roman" w:cs="Times New Roman"/>
                <w:b/>
                <w:bCs/>
                <w:color w:val="auto"/>
                <w:sz w:val="24"/>
                <w:u w:val="none"/>
                <w:lang w:val="en-US" w:eastAsia="zh-CN"/>
              </w:rPr>
              <w:t>6、</w:t>
            </w:r>
            <w:r>
              <w:rPr>
                <w:rFonts w:hint="default" w:ascii="Times New Roman" w:hAnsi="Times New Roman" w:cs="Times New Roman"/>
                <w:b/>
                <w:bCs/>
                <w:color w:val="auto"/>
                <w:sz w:val="24"/>
                <w:u w:val="none"/>
                <w:lang w:val="en-GB"/>
              </w:rPr>
              <w:t>劳</w:t>
            </w:r>
            <w:r>
              <w:rPr>
                <w:rFonts w:hint="default" w:ascii="Times New Roman" w:hAnsi="Times New Roman" w:cs="Times New Roman"/>
                <w:b/>
                <w:color w:val="auto"/>
                <w:sz w:val="24"/>
                <w:u w:val="none"/>
                <w:lang w:val="en-GB"/>
              </w:rPr>
              <w:t>动定员及工作制度</w:t>
            </w:r>
          </w:p>
          <w:p w14:paraId="08966431">
            <w:pPr>
              <w:spacing w:line="360" w:lineRule="auto"/>
              <w:ind w:firstLine="480" w:firstLineChars="200"/>
              <w:outlineLvl w:val="0"/>
              <w:rPr>
                <w:rFonts w:hint="default" w:ascii="Times New Roman" w:hAnsi="Times New Roman" w:eastAsia="宋体" w:cs="Times New Roman"/>
                <w:color w:val="auto"/>
                <w:kern w:val="0"/>
                <w:sz w:val="24"/>
                <w:szCs w:val="24"/>
                <w:u w:val="none"/>
                <w:lang w:val="en-US" w:eastAsia="zh-CN" w:bidi="ar-SA"/>
              </w:rPr>
            </w:pPr>
            <w:r>
              <w:rPr>
                <w:rFonts w:hint="default" w:ascii="Times New Roman" w:hAnsi="Times New Roman" w:eastAsia="宋体" w:cs="Times New Roman"/>
                <w:color w:val="auto"/>
                <w:kern w:val="0"/>
                <w:sz w:val="24"/>
                <w:szCs w:val="24"/>
                <w:u w:val="none"/>
                <w:lang w:val="en-US" w:eastAsia="zh-CN" w:bidi="ar-SA"/>
              </w:rPr>
              <w:t>项目劳动定员10人，均不在厂区食宿；实行8小时单班制，年生产300天。</w:t>
            </w:r>
          </w:p>
          <w:p w14:paraId="26EA893A">
            <w:pPr>
              <w:spacing w:line="360" w:lineRule="auto"/>
              <w:ind w:firstLine="482" w:firstLineChars="200"/>
              <w:outlineLvl w:val="0"/>
              <w:rPr>
                <w:rFonts w:hint="default" w:ascii="Times New Roman" w:hAnsi="Times New Roman" w:eastAsia="宋体" w:cs="Times New Roman"/>
                <w:bCs/>
                <w:color w:val="auto"/>
                <w:u w:val="none"/>
                <w:lang w:val="en-US" w:eastAsia="zh-CN"/>
              </w:rPr>
            </w:pPr>
            <w:r>
              <w:rPr>
                <w:rFonts w:hint="default" w:ascii="Times New Roman" w:hAnsi="Times New Roman" w:cs="Times New Roman"/>
                <w:b/>
                <w:color w:val="auto"/>
                <w:sz w:val="24"/>
                <w:u w:val="none"/>
                <w:lang w:val="en-US" w:eastAsia="zh-CN"/>
              </w:rPr>
              <w:t>7</w:t>
            </w:r>
            <w:r>
              <w:rPr>
                <w:rFonts w:hint="default" w:ascii="Times New Roman" w:hAnsi="Times New Roman" w:cs="Times New Roman"/>
                <w:b/>
                <w:color w:val="auto"/>
                <w:sz w:val="24"/>
                <w:u w:val="none"/>
                <w:lang w:val="en-GB"/>
              </w:rPr>
              <w:t>、</w:t>
            </w:r>
            <w:r>
              <w:rPr>
                <w:rFonts w:hint="default" w:ascii="Times New Roman" w:hAnsi="Times New Roman" w:cs="Times New Roman"/>
                <w:b/>
                <w:color w:val="auto"/>
                <w:sz w:val="24"/>
                <w:u w:val="none"/>
                <w:lang w:val="en-US" w:eastAsia="zh-CN"/>
              </w:rPr>
              <w:t>给排水</w:t>
            </w:r>
          </w:p>
          <w:p w14:paraId="1E6546B9">
            <w:pPr>
              <w:pStyle w:val="102"/>
              <w:spacing w:before="0" w:beforeAutospacing="0" w:after="0" w:afterAutospacing="0" w:line="360" w:lineRule="auto"/>
              <w:ind w:firstLine="480" w:firstLineChars="200"/>
              <w:jc w:val="both"/>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color w:val="auto"/>
                <w:u w:val="none"/>
                <w:lang w:val="en-US" w:eastAsia="zh-CN"/>
              </w:rPr>
              <w:t>本项目用水均取自市政自来水，用水环节分为注塑循环冷却补水、员工生活用水</w:t>
            </w:r>
            <w:r>
              <w:rPr>
                <w:rFonts w:hint="eastAsia" w:ascii="Times New Roman" w:hAnsi="Times New Roman" w:cs="Times New Roman"/>
                <w:color w:val="auto"/>
                <w:u w:val="none"/>
                <w:lang w:val="en-US" w:eastAsia="zh-CN"/>
              </w:rPr>
              <w:t>两</w:t>
            </w:r>
            <w:r>
              <w:rPr>
                <w:rFonts w:hint="default" w:ascii="Times New Roman" w:hAnsi="Times New Roman" w:eastAsia="宋体" w:cs="Times New Roman"/>
                <w:color w:val="auto"/>
                <w:u w:val="none"/>
                <w:lang w:val="en-US" w:eastAsia="zh-CN"/>
              </w:rPr>
              <w:t>部分。</w:t>
            </w:r>
          </w:p>
          <w:p w14:paraId="21A6CEEA">
            <w:pPr>
              <w:pStyle w:val="102"/>
              <w:numPr>
                <w:ilvl w:val="0"/>
                <w:numId w:val="6"/>
              </w:numPr>
              <w:spacing w:before="0" w:beforeAutospacing="0" w:after="0" w:afterAutospacing="0" w:line="360" w:lineRule="auto"/>
              <w:ind w:firstLine="480" w:firstLineChars="200"/>
              <w:jc w:val="both"/>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sz w:val="24"/>
                <w:szCs w:val="24"/>
              </w:rPr>
              <w:t>注塑循环冷却水</w:t>
            </w:r>
          </w:p>
          <w:p w14:paraId="41DDC17B">
            <w:pPr>
              <w:pStyle w:val="102"/>
              <w:numPr>
                <w:ilvl w:val="0"/>
                <w:numId w:val="0"/>
              </w:numPr>
              <w:spacing w:before="0" w:beforeAutospacing="0" w:after="0" w:afterAutospacing="0" w:line="360" w:lineRule="auto"/>
              <w:ind w:firstLine="480" w:firstLineChars="200"/>
              <w:jc w:val="both"/>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sz w:val="24"/>
                <w:szCs w:val="24"/>
              </w:rPr>
              <w:t>注塑机配套密闭循环冷却系统，冷却水循环往复用于模具降温，仅存在蒸发损耗，无生产冷却废水产生、无外排。根据设备散热损耗经验值，系统日均补充新鲜自来水0.2t，全年补充水量=0.2t/d×300d=60t/a，仅作损耗补水，不产生外排废水</w:t>
            </w:r>
            <w:r>
              <w:rPr>
                <w:rFonts w:hint="default" w:ascii="Times New Roman" w:hAnsi="Times New Roman" w:eastAsia="宋体" w:cs="Times New Roman"/>
                <w:color w:val="auto"/>
                <w:u w:val="none"/>
                <w:lang w:val="en-US" w:eastAsia="zh-CN"/>
              </w:rPr>
              <w:t>。</w:t>
            </w:r>
          </w:p>
          <w:p w14:paraId="7481738E">
            <w:pPr>
              <w:pStyle w:val="102"/>
              <w:numPr>
                <w:ilvl w:val="0"/>
                <w:numId w:val="6"/>
              </w:numPr>
              <w:spacing w:before="0" w:beforeAutospacing="0" w:after="0" w:afterAutospacing="0" w:line="360" w:lineRule="auto"/>
              <w:ind w:left="0" w:leftChars="0" w:firstLine="480" w:firstLineChars="200"/>
              <w:jc w:val="both"/>
              <w:rPr>
                <w:rFonts w:hint="default" w:ascii="Times New Roman" w:hAnsi="Times New Roman" w:eastAsia="宋体" w:cs="Times New Roman"/>
                <w:color w:val="auto"/>
                <w:u w:val="none"/>
                <w:lang w:val="en-US" w:eastAsia="zh-CN"/>
              </w:rPr>
            </w:pPr>
            <w:r>
              <w:rPr>
                <w:rFonts w:hint="default" w:ascii="Times New Roman" w:hAnsi="Times New Roman" w:eastAsia="宋体" w:cs="Times New Roman"/>
                <w:color w:val="auto"/>
                <w:u w:val="none"/>
                <w:lang w:val="en-US" w:eastAsia="zh-CN"/>
              </w:rPr>
              <w:t>生活用水</w:t>
            </w:r>
          </w:p>
          <w:p w14:paraId="70E91133">
            <w:pPr>
              <w:pStyle w:val="102"/>
              <w:numPr>
                <w:ilvl w:val="0"/>
                <w:numId w:val="0"/>
              </w:numPr>
              <w:spacing w:before="0" w:beforeAutospacing="0" w:after="0" w:afterAutospacing="0" w:line="360" w:lineRule="auto"/>
              <w:ind w:firstLine="480" w:firstLineChars="200"/>
              <w:jc w:val="both"/>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项目劳动定员10人，全部不在厂区食宿。依据</w:t>
            </w:r>
            <w:r>
              <w:rPr>
                <w:rFonts w:hint="default" w:ascii="Times New Roman" w:hAnsi="Times New Roman" w:cs="Times New Roman"/>
                <w:sz w:val="24"/>
                <w:szCs w:val="24"/>
                <w:lang w:val="en-US" w:eastAsia="zh-CN"/>
              </w:rPr>
              <w:t>湖南省地方标准</w:t>
            </w:r>
            <w:r>
              <w:rPr>
                <w:rFonts w:hint="default" w:ascii="Times New Roman" w:hAnsi="Times New Roman" w:eastAsia="宋体" w:cs="Times New Roman"/>
                <w:sz w:val="24"/>
                <w:szCs w:val="24"/>
              </w:rPr>
              <w:t>《用水定额第3部分：生活、服务业及建筑业》</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DB43/T388.3</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rPr>
              <w:t>2025</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中工业企业办公职工非食宿用水定额30L/人・d进行核算：日生活用水量=10人×30L/人・d÷1000=0.3t/d；年生活用水量=0.3t/d×300d=90t/a。生活污水产生系数取行业通用0.85，年生活污水产生量=90t/a×0.85=76.5t/a；生活污水经化粪池预处理，满足《污水综合排放标准》（GB8978-1996）表4三级</w:t>
            </w:r>
            <w:r>
              <w:rPr>
                <w:rFonts w:hint="default" w:ascii="Times New Roman" w:hAnsi="Times New Roman" w:eastAsia="宋体" w:cs="Times New Roman"/>
                <w:color w:val="auto"/>
                <w:sz w:val="24"/>
                <w:u w:val="none"/>
                <w:lang w:val="en-GB"/>
              </w:rPr>
              <w:t>及园区污水处理厂纳管标准较严值</w:t>
            </w:r>
            <w:r>
              <w:rPr>
                <w:rFonts w:hint="default" w:ascii="Times New Roman" w:hAnsi="Times New Roman" w:eastAsia="宋体" w:cs="Times New Roman"/>
                <w:sz w:val="24"/>
                <w:szCs w:val="24"/>
              </w:rPr>
              <w:t>后，接入园区市政污水管网</w:t>
            </w:r>
            <w:r>
              <w:rPr>
                <w:rFonts w:hint="default" w:ascii="Times New Roman" w:hAnsi="Times New Roman" w:eastAsia="宋体" w:cs="Times New Roman"/>
                <w:sz w:val="24"/>
                <w:szCs w:val="24"/>
                <w:lang w:val="en-US" w:eastAsia="zh-CN"/>
              </w:rPr>
              <w:t>进</w:t>
            </w:r>
            <w:r>
              <w:rPr>
                <w:rFonts w:hint="default" w:ascii="Times New Roman" w:hAnsi="Times New Roman" w:eastAsia="宋体" w:cs="Times New Roman"/>
                <w:color w:val="auto"/>
                <w:szCs w:val="21"/>
                <w:u w:val="none"/>
                <w:lang w:val="en-US" w:eastAsia="zh-CN"/>
              </w:rPr>
              <w:t>东安经开区工业污水处理厂处理</w:t>
            </w:r>
            <w:r>
              <w:rPr>
                <w:rFonts w:hint="default" w:ascii="Times New Roman" w:hAnsi="Times New Roman" w:eastAsia="宋体" w:cs="Times New Roman"/>
                <w:sz w:val="24"/>
                <w:szCs w:val="24"/>
                <w:lang w:val="en-US" w:eastAsia="zh-CN"/>
              </w:rPr>
              <w:t>。</w:t>
            </w:r>
          </w:p>
          <w:p w14:paraId="381E72B0">
            <w:pPr>
              <w:pStyle w:val="102"/>
              <w:numPr>
                <w:ilvl w:val="0"/>
                <w:numId w:val="0"/>
              </w:numPr>
              <w:spacing w:before="0" w:beforeAutospacing="0" w:after="0" w:afterAutospacing="0" w:line="360" w:lineRule="auto"/>
              <w:jc w:val="both"/>
              <w:rPr>
                <w:rFonts w:hint="default" w:ascii="Times New Roman" w:hAnsi="Times New Roman" w:eastAsia="宋体" w:cs="Times New Roman"/>
                <w:sz w:val="24"/>
                <w:szCs w:val="24"/>
                <w:lang w:val="en-US" w:eastAsia="zh-CN"/>
              </w:rPr>
            </w:pPr>
            <w:r>
              <w:rPr>
                <w:rFonts w:ascii="Times New Roman" w:hAnsi="Times New Roman" w:cs="Times New Roman"/>
                <w:sz w:val="24"/>
              </w:rPr>
              <mc:AlternateContent>
                <mc:Choice Requires="wps">
                  <w:drawing>
                    <wp:anchor distT="0" distB="0" distL="114300" distR="114300" simplePos="0" relativeHeight="251687936" behindDoc="0" locked="0" layoutInCell="1" allowOverlap="1">
                      <wp:simplePos x="0" y="0"/>
                      <wp:positionH relativeFrom="column">
                        <wp:posOffset>1352550</wp:posOffset>
                      </wp:positionH>
                      <wp:positionV relativeFrom="paragraph">
                        <wp:posOffset>525780</wp:posOffset>
                      </wp:positionV>
                      <wp:extent cx="945515" cy="247650"/>
                      <wp:effectExtent l="0" t="0" r="6985" b="0"/>
                      <wp:wrapNone/>
                      <wp:docPr id="71" name="文本框 71"/>
                      <wp:cNvGraphicFramePr/>
                      <a:graphic xmlns:a="http://schemas.openxmlformats.org/drawingml/2006/main">
                        <a:graphicData uri="http://schemas.microsoft.com/office/word/2010/wordprocessingShape">
                          <wps:wsp>
                            <wps:cNvSpPr txBox="1"/>
                            <wps:spPr>
                              <a:xfrm>
                                <a:off x="5247005" y="3728720"/>
                                <a:ext cx="945515" cy="247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BA064F">
                                  <w:pPr>
                                    <w:rPr>
                                      <w:rFonts w:hint="default" w:eastAsia="宋体"/>
                                      <w:color w:val="auto"/>
                                      <w:sz w:val="20"/>
                                      <w:szCs w:val="20"/>
                                      <w:u w:val="none"/>
                                      <w:lang w:val="en-US" w:eastAsia="zh-CN"/>
                                    </w:rPr>
                                  </w:pPr>
                                  <w:r>
                                    <w:rPr>
                                      <w:rFonts w:hint="eastAsia"/>
                                      <w:color w:val="auto"/>
                                      <w:sz w:val="20"/>
                                      <w:szCs w:val="20"/>
                                      <w:u w:val="none"/>
                                      <w:lang w:val="en-US" w:eastAsia="zh-CN"/>
                                    </w:rPr>
                                    <w:t>循环水量540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6.5pt;margin-top:41.4pt;height:19.5pt;width:74.45pt;z-index:251687936;mso-width-relative:page;mso-height-relative:page;" filled="f" stroked="f" coordsize="21600,21600" o:gfxdata="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i0Bw+2gAAAAoBAAAPAAAAAAAAAAEA&#10;IAAAACIAAABkcnMvZG93bnJldi54bWxQSwECFAAUAAAACACHTuJAmzF6LkYCAABzBAAADgAAAAAA&#10;AAABACAAAAApAQAAZHJzL2Uyb0RvYy54bWxQSwUGAAAAAAYABgBZAQAA4QUAAAAA&#10;">
                      <v:fill on="f" focussize="0,0"/>
                      <v:stroke on="f" weight="0.5pt"/>
                      <v:imagedata o:title=""/>
                      <o:lock v:ext="edit" aspectratio="f"/>
                      <v:textbox>
                        <w:txbxContent>
                          <w:p w14:paraId="5DBA064F">
                            <w:pPr>
                              <w:rPr>
                                <w:rFonts w:hint="default" w:eastAsia="宋体"/>
                                <w:color w:val="auto"/>
                                <w:sz w:val="20"/>
                                <w:szCs w:val="20"/>
                                <w:u w:val="none"/>
                                <w:lang w:val="en-US" w:eastAsia="zh-CN"/>
                              </w:rPr>
                            </w:pPr>
                            <w:r>
                              <w:rPr>
                                <w:rFonts w:hint="eastAsia"/>
                                <w:color w:val="auto"/>
                                <w:sz w:val="20"/>
                                <w:szCs w:val="20"/>
                                <w:u w:val="none"/>
                                <w:lang w:val="en-US" w:eastAsia="zh-CN"/>
                              </w:rPr>
                              <w:t>循环水量540</w:t>
                            </w:r>
                          </w:p>
                        </w:txbxContent>
                      </v:textbox>
                    </v:shape>
                  </w:pict>
                </mc:Fallback>
              </mc:AlternateContent>
            </w:r>
            <w:r>
              <w:rPr>
                <w:rFonts w:ascii="Times New Roman" w:hAnsi="Times New Roman" w:cs="Times New Roman"/>
                <w:sz w:val="24"/>
              </w:rPr>
              <mc:AlternateContent>
                <mc:Choice Requires="wps">
                  <w:drawing>
                    <wp:anchor distT="0" distB="0" distL="114300" distR="114300" simplePos="0" relativeHeight="251684864" behindDoc="0" locked="0" layoutInCell="1" allowOverlap="1">
                      <wp:simplePos x="0" y="0"/>
                      <wp:positionH relativeFrom="column">
                        <wp:posOffset>1352550</wp:posOffset>
                      </wp:positionH>
                      <wp:positionV relativeFrom="paragraph">
                        <wp:posOffset>485775</wp:posOffset>
                      </wp:positionV>
                      <wp:extent cx="6350" cy="226060"/>
                      <wp:effectExtent l="48260" t="0" r="59690" b="2540"/>
                      <wp:wrapNone/>
                      <wp:docPr id="66" name="直接箭头连接符 66"/>
                      <wp:cNvGraphicFramePr/>
                      <a:graphic xmlns:a="http://schemas.openxmlformats.org/drawingml/2006/main">
                        <a:graphicData uri="http://schemas.microsoft.com/office/word/2010/wordprocessingShape">
                          <wps:wsp>
                            <wps:cNvCnPr/>
                            <wps:spPr>
                              <a:xfrm flipH="1" flipV="1">
                                <a:off x="3013075" y="3668395"/>
                                <a:ext cx="6350" cy="226060"/>
                              </a:xfrm>
                              <a:prstGeom prst="straightConnector1">
                                <a:avLst/>
                              </a:prstGeom>
                              <a:ln>
                                <a:prstDash val="sysDash"/>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 y;margin-left:106.5pt;margin-top:38.25pt;height:17.8pt;width:0.5pt;z-index:251684864;mso-width-relative:page;mso-height-relative:page;" filled="f" stroked="t" coordsize="21600,21600" o:gfxdata="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Oh8782gAAAAoBAAAPAAAAAAAAAAEAIAAAACIAAABkcnMvZG93bnJldi54bWxQSwECFAAU&#10;AAAACACHTuJAGs2Z9SgCAAAFBAAADgAAAAAAAAABACAAAAApAQAAZHJzL2Uyb0RvYy54bWxQSwUG&#10;AAAAAAYABgBZAQAAwwUAAAAA&#10;">
                      <v:fill on="f" focussize="0,0"/>
                      <v:stroke weight="1pt" color="#5B9BD5 [3204]" miterlimit="8" joinstyle="miter" dashstyle="3 1" endarrow="open"/>
                      <v:imagedata o:title=""/>
                      <o:lock v:ext="edit" aspectratio="f"/>
                    </v:shape>
                  </w:pict>
                </mc:Fallback>
              </mc:AlternateContent>
            </w:r>
            <w:r>
              <w:rPr>
                <w:rFonts w:ascii="Times New Roman" w:hAnsi="Times New Roman" w:cs="Times New Roman"/>
                <w:sz w:val="24"/>
              </w:rPr>
              <mc:AlternateContent>
                <mc:Choice Requires="wps">
                  <w:drawing>
                    <wp:anchor distT="0" distB="0" distL="114300" distR="114300" simplePos="0" relativeHeight="251685888" behindDoc="0" locked="0" layoutInCell="1" allowOverlap="1">
                      <wp:simplePos x="0" y="0"/>
                      <wp:positionH relativeFrom="column">
                        <wp:posOffset>2261235</wp:posOffset>
                      </wp:positionH>
                      <wp:positionV relativeFrom="paragraph">
                        <wp:posOffset>510540</wp:posOffset>
                      </wp:positionV>
                      <wp:extent cx="0" cy="212725"/>
                      <wp:effectExtent l="6350" t="0" r="12700" b="15875"/>
                      <wp:wrapNone/>
                      <wp:docPr id="68" name="直接连接符 68"/>
                      <wp:cNvGraphicFramePr/>
                      <a:graphic xmlns:a="http://schemas.openxmlformats.org/drawingml/2006/main">
                        <a:graphicData uri="http://schemas.microsoft.com/office/word/2010/wordprocessingShape">
                          <wps:wsp>
                            <wps:cNvCnPr/>
                            <wps:spPr>
                              <a:xfrm>
                                <a:off x="3444240" y="3672205"/>
                                <a:ext cx="0" cy="212725"/>
                              </a:xfrm>
                              <a:prstGeom prst="line">
                                <a:avLst/>
                              </a:prstGeom>
                              <a:ln>
                                <a:prstDash val="sys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78.05pt;margin-top:40.2pt;height:16.75pt;width:0pt;z-index:251685888;mso-width-relative:page;mso-height-relative:page;" filled="f" stroked="t" coordsize="21600,21600" o:gfxdata="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2ZaRF1wAAAAoBAAAPAAAAAAAAAAEAIAAAACIAAABkcnMvZG93bnJldi54bWxQ&#10;SwECFAAUAAAACACHTuJAjyZYAvgBAADBAwAADgAAAAAAAAABACAAAAAmAQAAZHJzL2Uyb0RvYy54&#10;bWxQSwUGAAAAAAYABgBZAQAAkAUAAAAA&#10;">
                      <v:fill on="f" focussize="0,0"/>
                      <v:stroke weight="1pt" color="#5B9BD5 [3204]" miterlimit="8" joinstyle="miter" dashstyle="3 1"/>
                      <v:imagedata o:title=""/>
                      <o:lock v:ext="edit" aspectratio="f"/>
                    </v:line>
                  </w:pict>
                </mc:Fallback>
              </mc:AlternateContent>
            </w:r>
            <w:r>
              <w:rPr>
                <w:rFonts w:ascii="Times New Roman" w:hAnsi="Times New Roman" w:cs="Times New Roman"/>
                <w:sz w:val="24"/>
              </w:rPr>
              <mc:AlternateContent>
                <mc:Choice Requires="wps">
                  <w:drawing>
                    <wp:anchor distT="0" distB="0" distL="114300" distR="114300" simplePos="0" relativeHeight="251686912" behindDoc="0" locked="0" layoutInCell="1" allowOverlap="1">
                      <wp:simplePos x="0" y="0"/>
                      <wp:positionH relativeFrom="column">
                        <wp:posOffset>1366520</wp:posOffset>
                      </wp:positionH>
                      <wp:positionV relativeFrom="paragraph">
                        <wp:posOffset>713740</wp:posOffset>
                      </wp:positionV>
                      <wp:extent cx="897255" cy="3810"/>
                      <wp:effectExtent l="0" t="0" r="0" b="0"/>
                      <wp:wrapNone/>
                      <wp:docPr id="69" name="直接连接符 69"/>
                      <wp:cNvGraphicFramePr/>
                      <a:graphic xmlns:a="http://schemas.openxmlformats.org/drawingml/2006/main">
                        <a:graphicData uri="http://schemas.microsoft.com/office/word/2010/wordprocessingShape">
                          <wps:wsp>
                            <wps:cNvCnPr/>
                            <wps:spPr>
                              <a:xfrm flipH="1">
                                <a:off x="0" y="0"/>
                                <a:ext cx="897255" cy="3810"/>
                              </a:xfrm>
                              <a:prstGeom prst="line">
                                <a:avLst/>
                              </a:prstGeom>
                              <a:ln>
                                <a:prstDash val="sys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107.6pt;margin-top:56.2pt;height:0.3pt;width:70.65pt;z-index:251686912;mso-width-relative:page;mso-height-relative:page;" filled="f" stroked="t" coordsize="21600,21600" o:gfxdata="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JPdBLrbAAAACwEAAA8AAAAAAAAAAQAgAAAAIgAAAGRycy9kb3ducmV2&#10;LnhtbFBLAQIUABQAAAAIAIdO4kASPC+r+QEAAMIDAAAOAAAAAAAAAAEAIAAAACoBAABkcnMvZTJv&#10;RG9jLnhtbFBLBQYAAAAABgAGAFkBAACVBQAAAAA=&#10;">
                      <v:fill on="f" focussize="0,0"/>
                      <v:stroke weight="1pt" color="#5B9BD5 [3204]" miterlimit="8" joinstyle="miter" dashstyle="3 1"/>
                      <v:imagedata o:title=""/>
                      <o:lock v:ext="edit" aspectratio="f"/>
                    </v:line>
                  </w:pict>
                </mc:Fallback>
              </mc:AlternateContent>
            </w:r>
            <w:r>
              <w:rPr>
                <w:rFonts w:hint="default" w:ascii="Times New Roman" w:hAnsi="Times New Roman" w:cs="Times New Roman"/>
              </w:rPr>
              <w:drawing>
                <wp:inline distT="0" distB="0" distL="114300" distR="114300">
                  <wp:extent cx="5342255" cy="2022475"/>
                  <wp:effectExtent l="0" t="0" r="10795" b="15875"/>
                  <wp:docPr id="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
                          <pic:cNvPicPr>
                            <a:picLocks noChangeAspect="1"/>
                          </pic:cNvPicPr>
                        </pic:nvPicPr>
                        <pic:blipFill>
                          <a:blip r:embed="rId9"/>
                          <a:stretch>
                            <a:fillRect/>
                          </a:stretch>
                        </pic:blipFill>
                        <pic:spPr>
                          <a:xfrm>
                            <a:off x="0" y="0"/>
                            <a:ext cx="5342255" cy="2022475"/>
                          </a:xfrm>
                          <a:prstGeom prst="rect">
                            <a:avLst/>
                          </a:prstGeom>
                          <a:noFill/>
                          <a:ln>
                            <a:noFill/>
                          </a:ln>
                        </pic:spPr>
                      </pic:pic>
                    </a:graphicData>
                  </a:graphic>
                </wp:inline>
              </w:drawing>
            </w:r>
          </w:p>
          <w:p w14:paraId="0800ACA1">
            <w:pPr>
              <w:pStyle w:val="102"/>
              <w:numPr>
                <w:ilvl w:val="0"/>
                <w:numId w:val="0"/>
              </w:numPr>
              <w:spacing w:before="0" w:beforeAutospacing="0" w:after="0" w:afterAutospacing="0" w:line="360" w:lineRule="auto"/>
              <w:ind w:firstLine="480" w:firstLineChars="200"/>
              <w:jc w:val="both"/>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  </w:t>
            </w:r>
            <w:r>
              <w:rPr>
                <w:rFonts w:hint="default" w:ascii="Times New Roman" w:hAnsi="Times New Roman" w:eastAsia="宋体" w:cs="Times New Roman"/>
                <w:b/>
                <w:bCs/>
                <w:sz w:val="24"/>
                <w:szCs w:val="24"/>
                <w:lang w:val="en-US" w:eastAsia="zh-CN"/>
              </w:rPr>
              <w:t xml:space="preserve">                图：2-1   项目水平衡图 </w:t>
            </w:r>
            <w:r>
              <w:rPr>
                <w:rFonts w:hint="default" w:ascii="Times New Roman" w:hAnsi="Times New Roman" w:cs="Times New Roman"/>
                <w:b/>
                <w:bCs/>
                <w:sz w:val="24"/>
                <w:szCs w:val="24"/>
                <w:lang w:val="en-US" w:eastAsia="zh-CN"/>
              </w:rPr>
              <w:t>（t/a）</w:t>
            </w:r>
          </w:p>
          <w:p w14:paraId="326C4DEB">
            <w:pPr>
              <w:spacing w:line="360" w:lineRule="auto"/>
              <w:ind w:firstLine="482" w:firstLineChars="200"/>
              <w:outlineLvl w:val="0"/>
              <w:rPr>
                <w:rFonts w:hint="default" w:ascii="Times New Roman" w:hAnsi="Times New Roman" w:cs="Times New Roman"/>
                <w:b/>
                <w:color w:val="auto"/>
                <w:sz w:val="24"/>
                <w:u w:val="none"/>
                <w:lang w:val="en-GB"/>
              </w:rPr>
            </w:pPr>
            <w:r>
              <w:rPr>
                <w:rFonts w:hint="default" w:ascii="Times New Roman" w:hAnsi="Times New Roman" w:cs="Times New Roman"/>
                <w:b/>
                <w:color w:val="auto"/>
                <w:sz w:val="24"/>
                <w:u w:val="none"/>
                <w:lang w:val="en-US" w:eastAsia="zh-CN"/>
              </w:rPr>
              <w:t>8</w:t>
            </w:r>
            <w:r>
              <w:rPr>
                <w:rFonts w:hint="default" w:ascii="Times New Roman" w:hAnsi="Times New Roman" w:cs="Times New Roman"/>
                <w:b/>
                <w:color w:val="auto"/>
                <w:sz w:val="24"/>
                <w:u w:val="none"/>
              </w:rPr>
              <w:t>、</w:t>
            </w:r>
            <w:r>
              <w:rPr>
                <w:rFonts w:hint="default" w:ascii="Times New Roman" w:hAnsi="Times New Roman" w:cs="Times New Roman"/>
                <w:b/>
                <w:color w:val="auto"/>
                <w:sz w:val="24"/>
                <w:u w:val="none"/>
                <w:lang w:val="en-GB"/>
              </w:rPr>
              <w:t>厂区平面布置</w:t>
            </w:r>
          </w:p>
          <w:p w14:paraId="7590219C">
            <w:pPr>
              <w:pStyle w:val="102"/>
              <w:spacing w:before="0" w:beforeAutospacing="0" w:after="0" w:afterAutospacing="0" w:line="360" w:lineRule="auto"/>
              <w:ind w:firstLine="468" w:firstLineChars="200"/>
              <w:jc w:val="both"/>
              <w:rPr>
                <w:rFonts w:hint="default" w:ascii="Times New Roman" w:hAnsi="Times New Roman" w:eastAsia="宋体" w:cs="Times New Roman"/>
                <w:color w:val="auto"/>
                <w:u w:val="none"/>
                <w:lang w:eastAsia="zh-CN"/>
              </w:rPr>
            </w:pPr>
            <w:r>
              <w:rPr>
                <w:rFonts w:hint="default" w:ascii="Times New Roman" w:hAnsi="Times New Roman" w:cs="Times New Roman"/>
                <w:spacing w:val="-3"/>
              </w:rPr>
              <w:t>本项目建设根据场地情况及工艺流程要求，参照国家有关规定，总平</w:t>
            </w:r>
            <w:r>
              <w:rPr>
                <w:rFonts w:hint="default" w:ascii="Times New Roman" w:hAnsi="Times New Roman" w:cs="Times New Roman"/>
                <w:spacing w:val="-8"/>
              </w:rPr>
              <w:t>面布置根据生产需求合理布置，本项目内部按照项目生产流程逐次分区布置，本项目位于湖南省永州市东安县白牙市镇经开区</w:t>
            </w:r>
            <w:r>
              <w:rPr>
                <w:rFonts w:hint="default" w:ascii="Times New Roman" w:hAnsi="Times New Roman" w:cs="Times New Roman"/>
                <w:spacing w:val="-8"/>
                <w:lang w:val="en-US" w:eastAsia="zh-CN"/>
              </w:rPr>
              <w:t>金源路西</w:t>
            </w:r>
            <w:r>
              <w:rPr>
                <w:rFonts w:hint="default" w:ascii="Times New Roman" w:hAnsi="Times New Roman" w:cs="Times New Roman"/>
                <w:spacing w:val="-8"/>
              </w:rPr>
              <w:t>侧</w:t>
            </w:r>
            <w:r>
              <w:rPr>
                <w:rFonts w:hint="default" w:ascii="Times New Roman" w:hAnsi="Times New Roman" w:cs="Times New Roman"/>
                <w:spacing w:val="-8"/>
                <w:lang w:eastAsia="zh-CN"/>
              </w:rPr>
              <w:t>，</w:t>
            </w:r>
            <w:r>
              <w:rPr>
                <w:rFonts w:hint="default" w:ascii="Times New Roman" w:hAnsi="Times New Roman" w:cs="Times New Roman"/>
                <w:spacing w:val="-14"/>
              </w:rPr>
              <w:t>共</w:t>
            </w:r>
            <w:r>
              <w:rPr>
                <w:rFonts w:hint="default" w:ascii="Times New Roman" w:hAnsi="Times New Roman" w:cs="Times New Roman"/>
                <w:spacing w:val="-14"/>
                <w:lang w:val="en-US" w:eastAsia="zh-CN"/>
              </w:rPr>
              <w:t>1</w:t>
            </w:r>
            <w:r>
              <w:rPr>
                <w:rFonts w:hint="default" w:ascii="Times New Roman" w:hAnsi="Times New Roman" w:cs="Times New Roman"/>
                <w:spacing w:val="-9"/>
              </w:rPr>
              <w:t>栋厂房</w:t>
            </w:r>
            <w:r>
              <w:rPr>
                <w:rFonts w:hint="default" w:ascii="Times New Roman" w:hAnsi="Times New Roman" w:cs="Times New Roman"/>
                <w:spacing w:val="-9"/>
                <w:lang w:eastAsia="zh-CN"/>
              </w:rPr>
              <w:t>。</w:t>
            </w:r>
            <w:r>
              <w:rPr>
                <w:rFonts w:hint="default" w:ascii="Times New Roman" w:hAnsi="Times New Roman" w:cs="Times New Roman"/>
                <w:spacing w:val="-9"/>
                <w:lang w:val="en-US" w:eastAsia="zh-CN"/>
              </w:rPr>
              <w:t>厂房西部为注塑、混色区；中部为仓库、东部为注塑、破碎区。项目</w:t>
            </w:r>
            <w:r>
              <w:rPr>
                <w:rFonts w:hint="default" w:ascii="Times New Roman" w:hAnsi="Times New Roman" w:cs="Times New Roman"/>
              </w:rPr>
              <w:t>总平面布置以有利于生产、方便</w:t>
            </w:r>
            <w:r>
              <w:rPr>
                <w:rFonts w:hint="default" w:ascii="Times New Roman" w:hAnsi="Times New Roman" w:cs="Times New Roman"/>
                <w:spacing w:val="-8"/>
              </w:rPr>
              <w:t>生活、便于管理、布置紧凑，厂容整洁及符合防火、卫生、环保等</w:t>
            </w:r>
            <w:r>
              <w:rPr>
                <w:rFonts w:hint="default" w:ascii="Times New Roman" w:hAnsi="Times New Roman" w:cs="Times New Roman"/>
                <w:spacing w:val="-9"/>
              </w:rPr>
              <w:t>规范为原则，同时考虑当地主导风向和各种水、电管线的最佳入厂位置，</w:t>
            </w:r>
            <w:r>
              <w:rPr>
                <w:rFonts w:hint="default" w:ascii="Times New Roman" w:hAnsi="Times New Roman" w:cs="Times New Roman"/>
                <w:spacing w:val="-6"/>
              </w:rPr>
              <w:t>以便于减少污染，利于生产，使总体设计更趋合理。项目所在区水、电供</w:t>
            </w:r>
            <w:r>
              <w:rPr>
                <w:rFonts w:hint="default" w:ascii="Times New Roman" w:hAnsi="Times New Roman" w:cs="Times New Roman"/>
                <w:spacing w:val="-8"/>
              </w:rPr>
              <w:t>应有保障，交通便利；项目平面布局较合理。项目平面布置详见附图</w:t>
            </w:r>
            <w:r>
              <w:rPr>
                <w:rFonts w:hint="default" w:ascii="Times New Roman" w:hAnsi="Times New Roman" w:eastAsia="宋体" w:cs="Times New Roman"/>
                <w:spacing w:val="-8"/>
              </w:rPr>
              <w:t>5</w:t>
            </w:r>
            <w:r>
              <w:rPr>
                <w:rFonts w:hint="default" w:ascii="Times New Roman" w:hAnsi="Times New Roman" w:eastAsia="宋体" w:cs="Times New Roman"/>
                <w:spacing w:val="-8"/>
                <w:lang w:eastAsia="zh-CN"/>
              </w:rPr>
              <w:t>。</w:t>
            </w:r>
          </w:p>
        </w:tc>
      </w:tr>
      <w:tr w14:paraId="72585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jc w:val="center"/>
        </w:trPr>
        <w:tc>
          <w:tcPr>
            <w:tcW w:w="238" w:type="pct"/>
            <w:vAlign w:val="center"/>
          </w:tcPr>
          <w:p w14:paraId="0FE7AE6F">
            <w:pPr>
              <w:pStyle w:val="34"/>
              <w:adjustRightInd w:val="0"/>
              <w:snapToGrid w:val="0"/>
              <w:spacing w:before="0" w:beforeAutospacing="0" w:after="0" w:afterAutospacing="0"/>
              <w:jc w:val="center"/>
              <w:rPr>
                <w:rFonts w:hint="default" w:ascii="Times New Roman" w:hAnsi="Times New Roman" w:cs="Times New Roman"/>
                <w:color w:val="auto"/>
                <w:sz w:val="21"/>
                <w:szCs w:val="21"/>
                <w:u w:val="none"/>
              </w:rPr>
            </w:pPr>
            <w:r>
              <w:rPr>
                <w:rFonts w:hint="default" w:ascii="Times New Roman" w:hAnsi="Times New Roman" w:cs="Times New Roman"/>
                <w:color w:val="auto"/>
                <w:szCs w:val="24"/>
                <w:u w:val="none"/>
              </w:rPr>
              <w:t>工艺流程和产排污环节</w:t>
            </w:r>
          </w:p>
        </w:tc>
        <w:tc>
          <w:tcPr>
            <w:tcW w:w="4762" w:type="pct"/>
          </w:tcPr>
          <w:p w14:paraId="19CF2AD9">
            <w:pPr>
              <w:pStyle w:val="96"/>
              <w:numPr>
                <w:ilvl w:val="0"/>
                <w:numId w:val="7"/>
              </w:numPr>
              <w:spacing w:before="1"/>
              <w:ind w:firstLine="480"/>
              <w:rPr>
                <w:rFonts w:hint="default" w:ascii="Times New Roman" w:hAnsi="Times New Roman" w:eastAsia="宋体" w:cs="Times New Roman"/>
                <w:bCs/>
                <w:color w:val="auto"/>
                <w:sz w:val="24"/>
                <w:u w:val="none"/>
              </w:rPr>
            </w:pPr>
            <w:r>
              <w:rPr>
                <w:rFonts w:hint="default" w:ascii="Times New Roman" w:hAnsi="Times New Roman" w:cs="Times New Roman"/>
                <w:b/>
                <w:bCs/>
                <w:color w:val="auto"/>
                <w:sz w:val="24"/>
                <w:u w:val="none"/>
              </w:rPr>
              <w:t>施工期</w:t>
            </w:r>
          </w:p>
          <w:p w14:paraId="2DA2004B">
            <w:pPr>
              <w:spacing w:line="500" w:lineRule="exact"/>
              <w:ind w:firstLine="480" w:firstLineChars="200"/>
              <w:jc w:val="left"/>
              <w:rPr>
                <w:rFonts w:hint="default" w:ascii="Times New Roman" w:hAnsi="Times New Roman" w:cs="Times New Roman"/>
                <w:color w:val="auto"/>
                <w:sz w:val="24"/>
                <w:u w:val="none"/>
              </w:rPr>
            </w:pPr>
            <w:r>
              <w:rPr>
                <w:rFonts w:hint="default" w:ascii="Times New Roman" w:hAnsi="Times New Roman" w:cs="Times New Roman"/>
                <w:color w:val="auto"/>
                <w:sz w:val="24"/>
                <w:u w:val="none"/>
              </w:rPr>
              <w:t>项目租用现有已建成的标准厂房，施工期仅进行简单装饰和设备安装。因此，项目施工期产生的污染较少，主要是少量的扬尘、施工噪声、建筑垃圾以及施工人员生活垃圾和生活污水等。工艺流程如下：</w:t>
            </w:r>
          </w:p>
          <w:p w14:paraId="34D3E7E3">
            <w:pPr>
              <w:pStyle w:val="96"/>
              <w:spacing w:before="1"/>
              <w:ind w:left="420"/>
              <w:rPr>
                <w:rFonts w:hint="default" w:ascii="Times New Roman" w:hAnsi="Times New Roman" w:eastAsia="宋体" w:cs="Times New Roman"/>
                <w:bCs/>
                <w:color w:val="auto"/>
                <w:sz w:val="24"/>
                <w:u w:val="none"/>
              </w:rPr>
            </w:pPr>
          </w:p>
          <w:p w14:paraId="3A6CC671">
            <w:pPr>
              <w:pStyle w:val="96"/>
              <w:spacing w:before="1"/>
              <w:ind w:left="420"/>
              <w:rPr>
                <w:rFonts w:hint="default" w:ascii="Times New Roman" w:hAnsi="Times New Roman" w:eastAsia="宋体" w:cs="Times New Roman"/>
                <w:bCs/>
                <w:color w:val="auto"/>
                <w:sz w:val="24"/>
                <w:u w:val="none"/>
              </w:rPr>
            </w:pPr>
            <w:r>
              <w:rPr>
                <w:rFonts w:hint="default" w:ascii="Times New Roman" w:hAnsi="Times New Roman" w:cs="Times New Roman"/>
                <w:color w:val="auto"/>
                <w:u w:val="none"/>
              </w:rPr>
              <w:drawing>
                <wp:inline distT="0" distB="0" distL="114300" distR="114300">
                  <wp:extent cx="5077460" cy="2803525"/>
                  <wp:effectExtent l="0" t="0" r="8890" b="158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5077460" cy="2803525"/>
                          </a:xfrm>
                          <a:prstGeom prst="rect">
                            <a:avLst/>
                          </a:prstGeom>
                          <a:noFill/>
                          <a:ln>
                            <a:noFill/>
                          </a:ln>
                        </pic:spPr>
                      </pic:pic>
                    </a:graphicData>
                  </a:graphic>
                </wp:inline>
              </w:drawing>
            </w:r>
          </w:p>
          <w:p w14:paraId="129EB704">
            <w:pPr>
              <w:pStyle w:val="96"/>
              <w:spacing w:before="1"/>
              <w:ind w:left="420"/>
              <w:rPr>
                <w:rFonts w:hint="default" w:ascii="Times New Roman" w:hAnsi="Times New Roman" w:eastAsia="宋体" w:cs="Times New Roman"/>
                <w:bCs/>
                <w:color w:val="auto"/>
                <w:sz w:val="24"/>
                <w:u w:val="none"/>
              </w:rPr>
            </w:pPr>
          </w:p>
          <w:p w14:paraId="6BFCA153">
            <w:pPr>
              <w:pStyle w:val="96"/>
              <w:spacing w:before="1"/>
              <w:ind w:left="420"/>
              <w:jc w:val="center"/>
              <w:rPr>
                <w:rFonts w:hint="default" w:ascii="Times New Roman" w:hAnsi="Times New Roman" w:eastAsia="宋体" w:cs="Times New Roman"/>
                <w:bCs/>
                <w:color w:val="auto"/>
                <w:sz w:val="24"/>
                <w:u w:val="none"/>
              </w:rPr>
            </w:pPr>
            <w:r>
              <w:rPr>
                <w:rFonts w:hint="default" w:ascii="Times New Roman" w:hAnsi="Times New Roman" w:eastAsia="宋体" w:cs="Times New Roman"/>
                <w:b/>
                <w:bCs/>
                <w:color w:val="auto"/>
                <w:szCs w:val="21"/>
                <w:u w:val="none"/>
              </w:rPr>
              <w:t>图</w:t>
            </w:r>
            <w:r>
              <w:rPr>
                <w:rFonts w:hint="default" w:ascii="Times New Roman" w:hAnsi="Times New Roman" w:cs="Times New Roman"/>
                <w:b/>
                <w:bCs/>
                <w:color w:val="auto"/>
                <w:szCs w:val="21"/>
                <w:u w:val="none"/>
              </w:rPr>
              <w:t>2-</w:t>
            </w:r>
            <w:r>
              <w:rPr>
                <w:rFonts w:hint="default" w:ascii="Times New Roman" w:hAnsi="Times New Roman" w:eastAsia="宋体" w:cs="Times New Roman"/>
                <w:b/>
                <w:bCs/>
                <w:color w:val="auto"/>
                <w:szCs w:val="21"/>
                <w:u w:val="none"/>
                <w:lang w:val="en-US" w:eastAsia="zh-CN"/>
              </w:rPr>
              <w:t xml:space="preserve">2 </w:t>
            </w:r>
            <w:r>
              <w:rPr>
                <w:rFonts w:hint="default" w:ascii="Times New Roman" w:hAnsi="Times New Roman" w:cs="Times New Roman"/>
                <w:b/>
                <w:bCs/>
                <w:color w:val="auto"/>
                <w:szCs w:val="21"/>
                <w:u w:val="none"/>
              </w:rPr>
              <w:t>施工期施工流程及产污节点图</w:t>
            </w:r>
          </w:p>
          <w:p w14:paraId="17AA4D0D">
            <w:pPr>
              <w:pStyle w:val="96"/>
              <w:numPr>
                <w:ilvl w:val="0"/>
                <w:numId w:val="7"/>
              </w:numPr>
              <w:spacing w:line="500" w:lineRule="exact"/>
              <w:ind w:firstLine="482"/>
              <w:rPr>
                <w:rFonts w:hint="default" w:ascii="Times New Roman" w:hAnsi="Times New Roman" w:eastAsia="宋体" w:cs="Times New Roman"/>
                <w:bCs/>
                <w:color w:val="auto"/>
                <w:sz w:val="24"/>
                <w:u w:val="none"/>
              </w:rPr>
            </w:pPr>
            <w:r>
              <w:rPr>
                <w:rFonts w:hint="default" w:ascii="Times New Roman" w:hAnsi="Times New Roman" w:eastAsia="宋体" w:cs="Times New Roman"/>
                <w:b/>
                <w:bCs/>
                <w:color w:val="auto"/>
                <w:sz w:val="24"/>
                <w:u w:val="none"/>
              </w:rPr>
              <w:t>营</w:t>
            </w:r>
            <w:r>
              <w:rPr>
                <w:rFonts w:hint="default" w:ascii="Times New Roman" w:hAnsi="Times New Roman" w:cs="Times New Roman"/>
                <w:b/>
                <w:bCs/>
                <w:color w:val="auto"/>
                <w:sz w:val="24"/>
                <w:u w:val="none"/>
              </w:rPr>
              <w:t>运期</w:t>
            </w:r>
            <w:r>
              <w:rPr>
                <w:rFonts w:hint="default" w:ascii="Times New Roman" w:hAnsi="Times New Roman" w:eastAsia="宋体" w:cs="Times New Roman"/>
                <w:b/>
                <w:bCs/>
                <w:color w:val="auto"/>
                <w:sz w:val="24"/>
                <w:u w:val="none"/>
              </w:rPr>
              <w:t>工艺流程及产物环节</w:t>
            </w:r>
          </w:p>
          <w:p w14:paraId="172B0789">
            <w:pPr>
              <w:pStyle w:val="102"/>
              <w:spacing w:before="0" w:beforeAutospacing="0" w:after="0" w:afterAutospacing="0" w:line="500" w:lineRule="exact"/>
              <w:ind w:firstLine="482"/>
              <w:jc w:val="both"/>
              <w:rPr>
                <w:rFonts w:hint="default" w:ascii="Times New Roman" w:hAnsi="Times New Roman" w:cs="Times New Roman"/>
                <w:b/>
                <w:bCs w:val="0"/>
                <w:color w:val="auto"/>
                <w:kern w:val="2"/>
                <w:u w:val="none"/>
              </w:rPr>
            </w:pPr>
            <w:r>
              <w:rPr>
                <w:rFonts w:hint="default" w:ascii="Times New Roman" w:hAnsi="Times New Roman" w:cs="Times New Roman"/>
                <w:b/>
                <w:bCs w:val="0"/>
                <w:color w:val="auto"/>
                <w:kern w:val="2"/>
                <w:u w:val="none"/>
                <w:lang w:eastAsia="zh-CN"/>
              </w:rPr>
              <w:t>（</w:t>
            </w:r>
            <w:r>
              <w:rPr>
                <w:rFonts w:hint="default" w:ascii="Times New Roman" w:hAnsi="Times New Roman" w:cs="Times New Roman"/>
                <w:b/>
                <w:bCs w:val="0"/>
                <w:color w:val="auto"/>
                <w:kern w:val="2"/>
                <w:u w:val="none"/>
                <w:lang w:val="en-US" w:eastAsia="zh-CN"/>
              </w:rPr>
              <w:t>1）</w:t>
            </w:r>
            <w:r>
              <w:rPr>
                <w:rFonts w:hint="default" w:ascii="Times New Roman" w:hAnsi="Times New Roman" w:cs="Times New Roman"/>
                <w:b/>
                <w:bCs w:val="0"/>
                <w:color w:val="auto"/>
                <w:kern w:val="2"/>
                <w:u w:val="none"/>
              </w:rPr>
              <w:t>工艺流程</w:t>
            </w:r>
          </w:p>
          <w:p w14:paraId="25C8C941">
            <w:pPr>
              <w:pStyle w:val="102"/>
              <w:spacing w:before="0" w:beforeAutospacing="0" w:after="0" w:afterAutospacing="0" w:line="240" w:lineRule="auto"/>
              <w:jc w:val="both"/>
              <w:rPr>
                <w:rFonts w:hint="default" w:ascii="Times New Roman" w:hAnsi="Times New Roman" w:cs="Times New Roman"/>
                <w:bCs/>
                <w:color w:val="auto"/>
                <w:kern w:val="2"/>
                <w:u w:val="none"/>
              </w:rPr>
            </w:pPr>
            <w:r>
              <w:drawing>
                <wp:inline distT="0" distB="0" distL="114300" distR="114300">
                  <wp:extent cx="5029200" cy="5437505"/>
                  <wp:effectExtent l="0" t="0" r="0" b="10795"/>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11"/>
                          <a:stretch>
                            <a:fillRect/>
                          </a:stretch>
                        </pic:blipFill>
                        <pic:spPr>
                          <a:xfrm>
                            <a:off x="0" y="0"/>
                            <a:ext cx="5029200" cy="5437505"/>
                          </a:xfrm>
                          <a:prstGeom prst="rect">
                            <a:avLst/>
                          </a:prstGeom>
                          <a:noFill/>
                          <a:ln>
                            <a:noFill/>
                          </a:ln>
                        </pic:spPr>
                      </pic:pic>
                    </a:graphicData>
                  </a:graphic>
                </wp:inline>
              </w:drawing>
            </w:r>
          </w:p>
          <w:p w14:paraId="0AA60AAB">
            <w:pPr>
              <w:jc w:val="center"/>
              <w:rPr>
                <w:rFonts w:hint="default" w:ascii="Times New Roman" w:hAnsi="Times New Roman" w:eastAsia="宋体" w:cs="Times New Roman"/>
                <w:b/>
                <w:bCs/>
                <w:color w:val="auto"/>
                <w:szCs w:val="21"/>
                <w:u w:val="none"/>
                <w:lang w:eastAsia="zh-CN"/>
              </w:rPr>
            </w:pPr>
            <w:r>
              <w:rPr>
                <w:rFonts w:hint="default" w:ascii="Times New Roman" w:hAnsi="Times New Roman" w:cs="Times New Roman"/>
                <w:b/>
                <w:bCs/>
                <w:color w:val="auto"/>
                <w:szCs w:val="21"/>
                <w:u w:val="none"/>
              </w:rPr>
              <w:fldChar w:fldCharType="begin"/>
            </w:r>
            <w:r>
              <w:rPr>
                <w:rFonts w:hint="default" w:ascii="Times New Roman" w:hAnsi="Times New Roman" w:cs="Times New Roman"/>
                <w:color w:val="auto"/>
                <w:u w:val="none"/>
              </w:rPr>
              <w:instrText xml:space="preserve"> INCLUDEPICTURE "C:\\Users\\Administrator\\AppData\\Roaming\\kingsoft\\office6\\已完成项目\\2018\\环评报告表\\已完成项目\\临澧福泰加油站\\发大自然审核\\临澧宏泰加油站建设项目大自然存单\\AppData\\Roaming\\Tencent\\Users\\972378389\\QQ\\WinTemp\\RichOle\\WQIE%5bO(M24Y%7b9C2I0_N$H$E.png" \* MERGEFORMAT </w:instrText>
            </w:r>
            <w:r>
              <w:rPr>
                <w:rFonts w:hint="default" w:ascii="Times New Roman" w:hAnsi="Times New Roman" w:cs="Times New Roman"/>
                <w:b/>
                <w:bCs/>
                <w:color w:val="auto"/>
                <w:szCs w:val="21"/>
                <w:u w:val="none"/>
              </w:rPr>
              <w:fldChar w:fldCharType="separate"/>
            </w:r>
            <w:r>
              <w:rPr>
                <w:rFonts w:hint="default" w:ascii="Times New Roman" w:hAnsi="Times New Roman" w:cs="Times New Roman"/>
                <w:b/>
                <w:bCs/>
                <w:color w:val="auto"/>
                <w:szCs w:val="21"/>
                <w:u w:val="none"/>
              </w:rPr>
              <w:fldChar w:fldCharType="end"/>
            </w:r>
          </w:p>
          <w:p w14:paraId="1F38B3A6">
            <w:pPr>
              <w:spacing w:line="360" w:lineRule="auto"/>
              <w:jc w:val="center"/>
              <w:rPr>
                <w:rFonts w:hint="default" w:ascii="Times New Roman" w:hAnsi="Times New Roman" w:cs="Times New Roman"/>
                <w:bCs/>
                <w:color w:val="auto"/>
                <w:szCs w:val="21"/>
                <w:u w:val="none"/>
              </w:rPr>
            </w:pPr>
            <w:r>
              <w:rPr>
                <w:rFonts w:hint="default" w:ascii="Times New Roman" w:hAnsi="Times New Roman" w:cs="Times New Roman"/>
                <w:b/>
                <w:bCs/>
                <w:color w:val="auto"/>
                <w:szCs w:val="21"/>
                <w:u w:val="none"/>
              </w:rPr>
              <w:t>图2-</w:t>
            </w:r>
            <w:r>
              <w:rPr>
                <w:rFonts w:hint="default" w:ascii="Times New Roman" w:hAnsi="Times New Roman" w:cs="Times New Roman"/>
                <w:b/>
                <w:bCs/>
                <w:color w:val="auto"/>
                <w:szCs w:val="21"/>
                <w:u w:val="none"/>
                <w:lang w:val="en-US" w:eastAsia="zh-CN"/>
              </w:rPr>
              <w:t>4</w:t>
            </w:r>
            <w:r>
              <w:rPr>
                <w:rFonts w:hint="default" w:ascii="Times New Roman" w:hAnsi="Times New Roman" w:cs="Times New Roman"/>
                <w:b/>
                <w:bCs/>
                <w:color w:val="auto"/>
                <w:szCs w:val="21"/>
                <w:u w:val="none"/>
              </w:rPr>
              <w:t xml:space="preserve"> 项目工艺流程及产污环节图</w:t>
            </w:r>
          </w:p>
          <w:p w14:paraId="3D5CC589">
            <w:pPr>
              <w:spacing w:line="360" w:lineRule="auto"/>
              <w:ind w:firstLine="480" w:firstLineChars="200"/>
              <w:jc w:val="left"/>
              <w:rPr>
                <w:rFonts w:hint="default" w:ascii="Times New Roman" w:hAnsi="Times New Roman" w:eastAsia="宋体" w:cs="Times New Roman"/>
                <w:color w:val="auto"/>
                <w:sz w:val="24"/>
                <w:u w:val="none"/>
                <w:lang w:val="en-US" w:eastAsia="zh-CN"/>
              </w:rPr>
            </w:pPr>
            <w:r>
              <w:rPr>
                <w:rFonts w:hint="default" w:ascii="Times New Roman" w:hAnsi="Times New Roman" w:eastAsia="宋体" w:cs="Times New Roman"/>
                <w:color w:val="auto"/>
                <w:sz w:val="24"/>
                <w:u w:val="none"/>
                <w:lang w:val="en-US" w:eastAsia="zh-CN"/>
              </w:rPr>
              <w:t>（2）生产工艺流程说明</w:t>
            </w:r>
          </w:p>
          <w:p w14:paraId="71143E1E">
            <w:pPr>
              <w:spacing w:line="360" w:lineRule="auto"/>
              <w:ind w:firstLine="480" w:firstLineChars="200"/>
              <w:jc w:val="left"/>
              <w:rPr>
                <w:rFonts w:hint="default" w:ascii="Times New Roman" w:hAnsi="Times New Roman" w:eastAsia="宋体" w:cs="Times New Roman"/>
                <w:bCs/>
                <w:color w:val="auto"/>
                <w:sz w:val="24"/>
                <w:u w:val="none"/>
                <w:lang w:eastAsia="zh-CN"/>
              </w:rPr>
            </w:pPr>
            <w:r>
              <w:rPr>
                <w:rFonts w:hint="default" w:ascii="Times New Roman" w:hAnsi="Times New Roman" w:eastAsia="宋体" w:cs="Times New Roman"/>
                <w:color w:val="auto"/>
                <w:sz w:val="24"/>
                <w:u w:val="none"/>
                <w:lang w:val="en-US" w:eastAsia="zh-CN"/>
              </w:rPr>
              <w:t>本项目外购橡胶石蜡油、SBS</w:t>
            </w:r>
            <w:r>
              <w:rPr>
                <w:rFonts w:hint="default" w:ascii="Times New Roman" w:hAnsi="Times New Roman" w:eastAsia="宋体" w:cs="Times New Roman"/>
                <w:bCs/>
                <w:color w:val="auto"/>
                <w:kern w:val="2"/>
                <w:sz w:val="24"/>
                <w:szCs w:val="24"/>
                <w:u w:val="none"/>
                <w:lang w:val="en-US" w:eastAsia="zh-CN" w:bidi="ar-SA"/>
              </w:rPr>
              <w:t>粉</w:t>
            </w:r>
            <w:r>
              <w:rPr>
                <w:rFonts w:hint="default" w:ascii="Times New Roman" w:hAnsi="Times New Roman" w:eastAsia="宋体" w:cs="Times New Roman"/>
                <w:bCs/>
                <w:color w:val="auto"/>
                <w:sz w:val="24"/>
                <w:u w:val="none"/>
              </w:rPr>
              <w:t>、SEBS粉、TBE颗粒等原料，经入库检验合格后送入密闭</w:t>
            </w:r>
            <w:r>
              <w:rPr>
                <w:rFonts w:hint="default" w:cs="Times New Roman"/>
                <w:bCs/>
                <w:color w:val="auto"/>
                <w:sz w:val="24"/>
                <w:u w:val="none"/>
                <w:lang w:eastAsia="zh-CN"/>
              </w:rPr>
              <w:t>混合</w:t>
            </w:r>
            <w:r>
              <w:rPr>
                <w:rFonts w:hint="default" w:ascii="Times New Roman" w:hAnsi="Times New Roman" w:eastAsia="宋体" w:cs="Times New Roman"/>
                <w:bCs/>
                <w:color w:val="auto"/>
                <w:sz w:val="24"/>
                <w:u w:val="none"/>
              </w:rPr>
              <w:t>机进行充分混合；混合均匀物料输送至注塑机，通过电加热熔融塑化，高压注入模具成型，模具采用密闭循环冷却水进行降温，冷却水循环使用，仅补充蒸发损耗，无冷却废水外排。注塑成型后的半成品经冷却、人工修边后送入成品检验工序；检验合格产品直接包装外售；产生的不合格品、生产边角料统一收集，送入密闭粉碎机破碎，破碎后的物料全部返回</w:t>
            </w:r>
            <w:r>
              <w:rPr>
                <w:rFonts w:hint="default" w:cs="Times New Roman"/>
                <w:bCs/>
                <w:color w:val="auto"/>
                <w:sz w:val="24"/>
                <w:u w:val="none"/>
                <w:lang w:eastAsia="zh-CN"/>
              </w:rPr>
              <w:t>混合</w:t>
            </w:r>
            <w:r>
              <w:rPr>
                <w:rFonts w:hint="default" w:ascii="Times New Roman" w:hAnsi="Times New Roman" w:eastAsia="宋体" w:cs="Times New Roman"/>
                <w:bCs/>
                <w:color w:val="auto"/>
                <w:sz w:val="24"/>
                <w:u w:val="none"/>
              </w:rPr>
              <w:t>工序重新参与生产，实现原料循环回用</w:t>
            </w:r>
            <w:r>
              <w:rPr>
                <w:rFonts w:hint="default" w:ascii="Times New Roman" w:hAnsi="Times New Roman" w:eastAsia="宋体" w:cs="Times New Roman"/>
                <w:bCs/>
                <w:color w:val="auto"/>
                <w:sz w:val="24"/>
                <w:u w:val="none"/>
                <w:lang w:eastAsia="zh-CN"/>
              </w:rPr>
              <w:t>。</w:t>
            </w:r>
          </w:p>
          <w:p w14:paraId="6931F6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rFonts w:hint="eastAsia"/>
                <w:bCs/>
                <w:color w:val="auto"/>
                <w:sz w:val="24"/>
                <w:szCs w:val="24"/>
                <w:u w:val="none"/>
              </w:rPr>
            </w:pPr>
            <w:r>
              <w:rPr>
                <w:rFonts w:ascii="Times New Roman" w:hAnsi="Times New Roman" w:eastAsia="宋体" w:cs="Times New Roman"/>
                <w:bCs/>
                <w:color w:val="auto"/>
                <w:kern w:val="2"/>
                <w:sz w:val="24"/>
                <w:szCs w:val="24"/>
                <w:u w:val="none"/>
                <w:lang w:val="en-US" w:eastAsia="zh-CN" w:bidi="ar"/>
              </w:rPr>
              <w:t>项目原料SBS、SEBS为苯乙烯类嵌段共聚物，TBE颗粒为热塑性弹性体材料。原料本身为高分子合成材料，在注塑加工过程中主要发生物理熔融与成型反应，不涉及高分子裂解工艺。</w:t>
            </w:r>
            <w:r>
              <w:rPr>
                <w:rFonts w:hint="default" w:ascii="Times New Roman" w:hAnsi="Times New Roman" w:eastAsia="宋体" w:cs="Times New Roman"/>
                <w:bCs/>
                <w:color w:val="auto"/>
                <w:sz w:val="24"/>
                <w:u w:val="none"/>
              </w:rPr>
              <w:t>橡胶石蜡油为低芳烃饱和矿物油，不含甲苯、乙苯等芳香烃组分；项目原辅材料不含丙烯腈相关原料，生产工艺不存在丙烯腈产生源</w:t>
            </w:r>
            <w:r>
              <w:rPr>
                <w:rFonts w:hint="eastAsia" w:cs="Times New Roman"/>
                <w:bCs/>
                <w:color w:val="auto"/>
                <w:sz w:val="24"/>
                <w:u w:val="none"/>
                <w:lang w:eastAsia="zh-CN"/>
              </w:rPr>
              <w:t>。</w:t>
            </w:r>
          </w:p>
          <w:p w14:paraId="2BC8BE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bCs/>
                <w:color w:val="auto"/>
                <w:sz w:val="24"/>
                <w:szCs w:val="24"/>
                <w:u w:val="none"/>
              </w:rPr>
            </w:pPr>
            <w:r>
              <w:rPr>
                <w:rFonts w:ascii="Times New Roman" w:hAnsi="Times New Roman" w:eastAsia="宋体" w:cs="Times New Roman"/>
                <w:bCs/>
                <w:color w:val="auto"/>
                <w:kern w:val="2"/>
                <w:sz w:val="24"/>
                <w:szCs w:val="24"/>
                <w:u w:val="none"/>
                <w:lang w:val="en-US" w:eastAsia="zh-CN" w:bidi="ar"/>
              </w:rPr>
              <w:t>由于SBS、SEBS分子结构中含有苯乙烯、</w:t>
            </w:r>
            <w:r>
              <w:rPr>
                <w:rFonts w:hint="eastAsia" w:cs="Times New Roman"/>
                <w:bCs/>
                <w:color w:val="auto"/>
                <w:kern w:val="2"/>
                <w:sz w:val="24"/>
                <w:szCs w:val="24"/>
                <w:u w:val="none"/>
                <w:lang w:val="en-US" w:eastAsia="zh-CN" w:bidi="ar"/>
              </w:rPr>
              <w:t>1,3-丁二烯</w:t>
            </w:r>
            <w:r>
              <w:rPr>
                <w:rFonts w:ascii="Times New Roman" w:hAnsi="Times New Roman" w:eastAsia="宋体" w:cs="Times New Roman"/>
                <w:bCs/>
                <w:color w:val="auto"/>
                <w:kern w:val="2"/>
                <w:sz w:val="24"/>
                <w:szCs w:val="24"/>
                <w:u w:val="none"/>
                <w:lang w:val="en-US" w:eastAsia="zh-CN" w:bidi="ar"/>
              </w:rPr>
              <w:t>等单体链段，在受热加工条件下，可能存在微量二烯</w:t>
            </w:r>
            <w:r>
              <w:rPr>
                <w:rFonts w:hint="default" w:cs="Times New Roman"/>
                <w:bCs/>
                <w:color w:val="auto"/>
                <w:kern w:val="2"/>
                <w:sz w:val="24"/>
                <w:szCs w:val="24"/>
                <w:u w:val="none"/>
                <w:lang w:val="en-US" w:eastAsia="zh-CN" w:bidi="ar"/>
              </w:rPr>
              <w:t>、</w:t>
            </w:r>
            <w:r>
              <w:rPr>
                <w:rFonts w:hint="default"/>
                <w:bCs/>
                <w:color w:val="auto"/>
                <w:sz w:val="24"/>
                <w:u w:val="none"/>
                <w:lang w:val="en-US" w:eastAsia="zh-CN" w:bidi="ar"/>
              </w:rPr>
              <w:t>臭气浓度</w:t>
            </w:r>
            <w:r>
              <w:rPr>
                <w:rFonts w:ascii="Times New Roman" w:hAnsi="Times New Roman" w:eastAsia="宋体" w:cs="Times New Roman"/>
                <w:bCs/>
                <w:color w:val="auto"/>
                <w:kern w:val="2"/>
                <w:sz w:val="24"/>
                <w:szCs w:val="24"/>
                <w:u w:val="none"/>
                <w:lang w:val="en-US" w:eastAsia="zh-CN" w:bidi="ar"/>
              </w:rPr>
              <w:t>等特征污未聚合完全的残留单体释放。但项目注塑温度控制在170～220℃，低于高分子材料热分解温度，正常生产工况下不会发生明显高分子裂解反应，苯乙烯、1,3-丁二烯等特征污染物释放量极低，本次仅作定性分析，不纳入定量源强核算。</w:t>
            </w:r>
          </w:p>
          <w:p w14:paraId="0AFA0278">
            <w:pPr>
              <w:spacing w:line="360" w:lineRule="auto"/>
              <w:ind w:firstLine="480" w:firstLineChars="200"/>
              <w:rPr>
                <w:rFonts w:hint="default" w:ascii="Times New Roman" w:hAnsi="Times New Roman" w:eastAsia="宋体" w:cs="Times New Roman"/>
                <w:bCs/>
                <w:color w:val="auto"/>
                <w:sz w:val="24"/>
                <w:u w:val="none"/>
                <w:lang w:eastAsia="zh-CN"/>
              </w:rPr>
            </w:pPr>
            <w:r>
              <w:rPr>
                <w:rFonts w:ascii="Times New Roman" w:hAnsi="Times New Roman" w:eastAsia="宋体" w:cs="Times New Roman"/>
                <w:bCs/>
                <w:color w:val="auto"/>
                <w:kern w:val="2"/>
                <w:sz w:val="24"/>
                <w:szCs w:val="24"/>
                <w:u w:val="none"/>
                <w:lang w:val="en-US" w:eastAsia="zh-CN" w:bidi="ar"/>
              </w:rPr>
              <w:t>项目注塑废气主要以非甲烷总烃（NMHC）作为总量表征指标进行定量核算</w:t>
            </w:r>
            <w:r>
              <w:rPr>
                <w:rFonts w:hint="default" w:cs="Times New Roman"/>
                <w:bCs/>
                <w:color w:val="auto"/>
                <w:sz w:val="24"/>
                <w:u w:val="none"/>
                <w:lang w:eastAsia="zh-CN"/>
              </w:rPr>
              <w:t>。</w:t>
            </w:r>
          </w:p>
          <w:p w14:paraId="7B3BBB7C">
            <w:pPr>
              <w:numPr>
                <w:ilvl w:val="0"/>
                <w:numId w:val="0"/>
              </w:numPr>
              <w:spacing w:line="360" w:lineRule="auto"/>
              <w:ind w:left="422" w:leftChars="0"/>
              <w:jc w:val="left"/>
              <w:rPr>
                <w:rFonts w:hint="default" w:ascii="Times New Roman" w:hAnsi="Times New Roman" w:cs="Times New Roman"/>
                <w:b/>
                <w:color w:val="auto"/>
                <w:sz w:val="24"/>
                <w:u w:val="none"/>
              </w:rPr>
            </w:pPr>
            <w:r>
              <w:rPr>
                <w:rFonts w:hint="default" w:ascii="Times New Roman" w:hAnsi="Times New Roman" w:cs="Times New Roman"/>
                <w:b/>
                <w:color w:val="auto"/>
                <w:sz w:val="24"/>
                <w:u w:val="none"/>
                <w:lang w:eastAsia="zh-CN"/>
              </w:rPr>
              <w:t>（</w:t>
            </w:r>
            <w:r>
              <w:rPr>
                <w:rFonts w:hint="default" w:ascii="Times New Roman" w:hAnsi="Times New Roman" w:cs="Times New Roman"/>
                <w:b/>
                <w:color w:val="auto"/>
                <w:sz w:val="24"/>
                <w:u w:val="none"/>
                <w:lang w:val="en-US" w:eastAsia="zh-CN"/>
              </w:rPr>
              <w:t>3）</w:t>
            </w:r>
            <w:r>
              <w:rPr>
                <w:rFonts w:hint="default" w:ascii="Times New Roman" w:hAnsi="Times New Roman" w:cs="Times New Roman"/>
                <w:b/>
                <w:color w:val="auto"/>
                <w:sz w:val="24"/>
                <w:u w:val="none"/>
              </w:rPr>
              <w:t>运营期主要污染工序</w:t>
            </w:r>
          </w:p>
          <w:p w14:paraId="73E5C8AF">
            <w:pPr>
              <w:tabs>
                <w:tab w:val="left" w:pos="2548"/>
              </w:tabs>
              <w:jc w:val="center"/>
              <w:rPr>
                <w:rFonts w:hint="default" w:ascii="Times New Roman" w:hAnsi="Times New Roman" w:cs="Times New Roman"/>
                <w:b/>
                <w:color w:val="auto"/>
                <w:szCs w:val="21"/>
                <w:u w:val="none"/>
              </w:rPr>
            </w:pPr>
            <w:r>
              <w:rPr>
                <w:rFonts w:hint="default" w:ascii="Times New Roman" w:hAnsi="Times New Roman" w:cs="Times New Roman"/>
                <w:b/>
                <w:color w:val="auto"/>
                <w:szCs w:val="21"/>
                <w:u w:val="none"/>
              </w:rPr>
              <w:t>表2-</w:t>
            </w:r>
            <w:r>
              <w:rPr>
                <w:rFonts w:hint="default" w:ascii="Times New Roman" w:hAnsi="Times New Roman" w:cs="Times New Roman"/>
                <w:b/>
                <w:color w:val="auto"/>
                <w:szCs w:val="21"/>
                <w:u w:val="none"/>
                <w:lang w:val="en-US" w:eastAsia="zh-CN"/>
              </w:rPr>
              <w:t>5</w:t>
            </w:r>
            <w:r>
              <w:rPr>
                <w:rFonts w:hint="default" w:ascii="Times New Roman" w:hAnsi="Times New Roman" w:cs="Times New Roman"/>
                <w:b/>
                <w:color w:val="auto"/>
                <w:szCs w:val="21"/>
                <w:u w:val="none"/>
              </w:rPr>
              <w:t xml:space="preserve"> 项目运营期工艺过程产污情况一览表</w:t>
            </w:r>
          </w:p>
          <w:tbl>
            <w:tblPr>
              <w:tblStyle w:val="38"/>
              <w:tblW w:w="0" w:type="auto"/>
              <w:tblInd w:w="-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3"/>
              <w:gridCol w:w="2713"/>
              <w:gridCol w:w="2713"/>
            </w:tblGrid>
            <w:tr w14:paraId="1EB81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713" w:type="dxa"/>
                  <w:tcBorders>
                    <w:tl2br w:val="nil"/>
                    <w:tr2bl w:val="nil"/>
                  </w:tcBorders>
                  <w:noWrap w:val="0"/>
                  <w:vAlign w:val="center"/>
                </w:tcPr>
                <w:p w14:paraId="3801EEAB">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污染类型</w:t>
                  </w:r>
                </w:p>
              </w:tc>
              <w:tc>
                <w:tcPr>
                  <w:tcW w:w="2713" w:type="dxa"/>
                  <w:tcBorders>
                    <w:tl2br w:val="nil"/>
                    <w:tr2bl w:val="nil"/>
                  </w:tcBorders>
                  <w:noWrap w:val="0"/>
                  <w:vAlign w:val="center"/>
                </w:tcPr>
                <w:p w14:paraId="30A52FB6">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污染来源</w:t>
                  </w:r>
                </w:p>
              </w:tc>
              <w:tc>
                <w:tcPr>
                  <w:tcW w:w="2713" w:type="dxa"/>
                  <w:tcBorders>
                    <w:tl2br w:val="nil"/>
                    <w:tr2bl w:val="nil"/>
                  </w:tcBorders>
                  <w:noWrap w:val="0"/>
                  <w:vAlign w:val="center"/>
                </w:tcPr>
                <w:p w14:paraId="24B86361">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主要污染物/产污种类</w:t>
                  </w:r>
                </w:p>
              </w:tc>
            </w:tr>
            <w:tr w14:paraId="2632F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713" w:type="dxa"/>
                  <w:vMerge w:val="restart"/>
                  <w:tcBorders>
                    <w:tl2br w:val="nil"/>
                    <w:tr2bl w:val="nil"/>
                  </w:tcBorders>
                  <w:noWrap w:val="0"/>
                  <w:vAlign w:val="center"/>
                </w:tcPr>
                <w:p w14:paraId="127B9086">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废水</w:t>
                  </w:r>
                </w:p>
              </w:tc>
              <w:tc>
                <w:tcPr>
                  <w:tcW w:w="2713" w:type="dxa"/>
                  <w:tcBorders>
                    <w:tl2br w:val="nil"/>
                    <w:tr2bl w:val="nil"/>
                  </w:tcBorders>
                  <w:noWrap w:val="0"/>
                  <w:vAlign w:val="center"/>
                </w:tcPr>
                <w:p w14:paraId="182F1E90">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生活污水</w:t>
                  </w:r>
                </w:p>
              </w:tc>
              <w:tc>
                <w:tcPr>
                  <w:tcW w:w="2713" w:type="dxa"/>
                  <w:tcBorders>
                    <w:tl2br w:val="nil"/>
                    <w:tr2bl w:val="nil"/>
                  </w:tcBorders>
                  <w:noWrap w:val="0"/>
                  <w:vAlign w:val="center"/>
                </w:tcPr>
                <w:p w14:paraId="7F3D8EB6">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SS、COD、氨氮、BOD₅</w:t>
                  </w:r>
                </w:p>
              </w:tc>
            </w:tr>
            <w:tr w14:paraId="174E1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713" w:type="dxa"/>
                  <w:vMerge w:val="continue"/>
                  <w:tcBorders>
                    <w:tl2br w:val="nil"/>
                    <w:tr2bl w:val="nil"/>
                  </w:tcBorders>
                  <w:noWrap w:val="0"/>
                  <w:vAlign w:val="center"/>
                </w:tcPr>
                <w:p w14:paraId="53DF4BC1">
                  <w:pPr>
                    <w:spacing w:beforeLines="0" w:afterLines="0"/>
                    <w:jc w:val="center"/>
                    <w:rPr>
                      <w:rFonts w:hint="default" w:ascii="Times New Roman" w:hAnsi="Times New Roman" w:eastAsia="宋体" w:cs="Times New Roman"/>
                      <w:color w:val="000000"/>
                      <w:sz w:val="21"/>
                      <w:szCs w:val="21"/>
                    </w:rPr>
                  </w:pPr>
                </w:p>
              </w:tc>
              <w:tc>
                <w:tcPr>
                  <w:tcW w:w="2713" w:type="dxa"/>
                  <w:tcBorders>
                    <w:tl2br w:val="nil"/>
                    <w:tr2bl w:val="nil"/>
                  </w:tcBorders>
                  <w:noWrap w:val="0"/>
                  <w:vAlign w:val="center"/>
                </w:tcPr>
                <w:p w14:paraId="72EE38B6">
                  <w:pPr>
                    <w:spacing w:beforeLines="0" w:afterLines="0"/>
                    <w:jc w:val="center"/>
                    <w:rPr>
                      <w:rFonts w:hint="default" w:ascii="Times New Roman" w:hAnsi="Times New Roman" w:eastAsia="宋体" w:cs="Times New Roman"/>
                      <w:color w:val="000000"/>
                      <w:sz w:val="21"/>
                      <w:szCs w:val="21"/>
                      <w:lang w:val="en-US" w:eastAsia="zh-CN"/>
                    </w:rPr>
                  </w:pPr>
                  <w:r>
                    <w:rPr>
                      <w:rFonts w:hint="default" w:cs="Times New Roman"/>
                      <w:color w:val="000000"/>
                      <w:sz w:val="21"/>
                      <w:szCs w:val="21"/>
                      <w:lang w:val="en-US" w:eastAsia="zh-CN"/>
                    </w:rPr>
                    <w:t>冷却水</w:t>
                  </w:r>
                </w:p>
              </w:tc>
              <w:tc>
                <w:tcPr>
                  <w:tcW w:w="2713" w:type="dxa"/>
                  <w:tcBorders>
                    <w:tl2br w:val="nil"/>
                    <w:tr2bl w:val="nil"/>
                  </w:tcBorders>
                  <w:noWrap w:val="0"/>
                  <w:vAlign w:val="center"/>
                </w:tcPr>
                <w:p w14:paraId="55A81D4C">
                  <w:pPr>
                    <w:spacing w:beforeLines="0" w:afterLines="0"/>
                    <w:jc w:val="center"/>
                    <w:rPr>
                      <w:rFonts w:hint="default" w:ascii="Times New Roman" w:hAnsi="Times New Roman" w:eastAsia="宋体" w:cs="Times New Roman"/>
                      <w:color w:val="000000"/>
                      <w:sz w:val="21"/>
                      <w:szCs w:val="21"/>
                    </w:rPr>
                  </w:pPr>
                  <w:r>
                    <w:rPr>
                      <w:rFonts w:ascii="Times New Roman" w:hAnsi="Times New Roman" w:eastAsia="宋体" w:cs="Times New Roman"/>
                      <w:color w:val="000000"/>
                      <w:sz w:val="21"/>
                      <w:szCs w:val="21"/>
                    </w:rPr>
                    <w:t>携带余热（热污染）</w:t>
                  </w:r>
                </w:p>
              </w:tc>
            </w:tr>
            <w:tr w14:paraId="0A05A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713" w:type="dxa"/>
                  <w:vMerge w:val="restart"/>
                  <w:tcBorders>
                    <w:tl2br w:val="nil"/>
                    <w:tr2bl w:val="nil"/>
                  </w:tcBorders>
                  <w:noWrap w:val="0"/>
                  <w:vAlign w:val="center"/>
                </w:tcPr>
                <w:p w14:paraId="3D6EB0DE">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废气</w:t>
                  </w:r>
                </w:p>
              </w:tc>
              <w:tc>
                <w:tcPr>
                  <w:tcW w:w="2713" w:type="dxa"/>
                  <w:tcBorders>
                    <w:tl2br w:val="nil"/>
                    <w:tr2bl w:val="nil"/>
                  </w:tcBorders>
                  <w:noWrap w:val="0"/>
                  <w:vAlign w:val="center"/>
                </w:tcPr>
                <w:p w14:paraId="2F08DD6B">
                  <w:pPr>
                    <w:spacing w:beforeLines="0" w:afterLines="0"/>
                    <w:jc w:val="center"/>
                    <w:rPr>
                      <w:rFonts w:hint="default" w:ascii="Times New Roman" w:hAnsi="Times New Roman" w:eastAsia="宋体" w:cs="Times New Roman"/>
                      <w:color w:val="000000"/>
                      <w:sz w:val="21"/>
                      <w:szCs w:val="21"/>
                    </w:rPr>
                  </w:pPr>
                  <w:r>
                    <w:rPr>
                      <w:rFonts w:hint="default" w:cs="Times New Roman"/>
                      <w:color w:val="000000"/>
                      <w:sz w:val="21"/>
                      <w:szCs w:val="21"/>
                      <w:lang w:eastAsia="zh-CN"/>
                    </w:rPr>
                    <w:t>混合</w:t>
                  </w:r>
                  <w:r>
                    <w:rPr>
                      <w:rFonts w:hint="default" w:ascii="Times New Roman" w:hAnsi="Times New Roman" w:eastAsia="宋体" w:cs="Times New Roman"/>
                      <w:color w:val="000000"/>
                      <w:sz w:val="21"/>
                      <w:szCs w:val="21"/>
                    </w:rPr>
                    <w:t>工序</w:t>
                  </w:r>
                </w:p>
              </w:tc>
              <w:tc>
                <w:tcPr>
                  <w:tcW w:w="2713" w:type="dxa"/>
                  <w:tcBorders>
                    <w:tl2br w:val="nil"/>
                    <w:tr2bl w:val="nil"/>
                  </w:tcBorders>
                  <w:noWrap w:val="0"/>
                  <w:vAlign w:val="center"/>
                </w:tcPr>
                <w:p w14:paraId="6C984E77">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颗粒物</w:t>
                  </w:r>
                </w:p>
              </w:tc>
            </w:tr>
            <w:tr w14:paraId="6539C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713" w:type="dxa"/>
                  <w:vMerge w:val="continue"/>
                  <w:tcBorders>
                    <w:tl2br w:val="nil"/>
                    <w:tr2bl w:val="nil"/>
                  </w:tcBorders>
                  <w:noWrap w:val="0"/>
                  <w:vAlign w:val="center"/>
                </w:tcPr>
                <w:p w14:paraId="68CE8628">
                  <w:pPr>
                    <w:spacing w:beforeLines="0" w:afterLines="0"/>
                    <w:jc w:val="center"/>
                    <w:rPr>
                      <w:rFonts w:hint="default" w:ascii="Times New Roman" w:hAnsi="Times New Roman" w:eastAsia="宋体" w:cs="Times New Roman"/>
                      <w:color w:val="000000"/>
                      <w:sz w:val="21"/>
                      <w:szCs w:val="21"/>
                    </w:rPr>
                  </w:pPr>
                </w:p>
              </w:tc>
              <w:tc>
                <w:tcPr>
                  <w:tcW w:w="2713" w:type="dxa"/>
                  <w:tcBorders>
                    <w:tl2br w:val="nil"/>
                    <w:tr2bl w:val="nil"/>
                  </w:tcBorders>
                  <w:noWrap w:val="0"/>
                  <w:vAlign w:val="center"/>
                </w:tcPr>
                <w:p w14:paraId="60299252">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注塑工序</w:t>
                  </w:r>
                </w:p>
              </w:tc>
              <w:tc>
                <w:tcPr>
                  <w:tcW w:w="2713" w:type="dxa"/>
                  <w:tcBorders>
                    <w:tl2br w:val="nil"/>
                    <w:tr2bl w:val="nil"/>
                  </w:tcBorders>
                  <w:noWrap w:val="0"/>
                  <w:vAlign w:val="center"/>
                </w:tcPr>
                <w:p w14:paraId="7C5A9086">
                  <w:pPr>
                    <w:spacing w:beforeLines="0" w:afterLines="0"/>
                    <w:jc w:val="center"/>
                    <w:rPr>
                      <w:rFonts w:hint="default" w:ascii="Times New Roman" w:hAnsi="Times New Roman" w:eastAsia="宋体" w:cs="Times New Roman"/>
                      <w:color w:val="000000"/>
                      <w:sz w:val="21"/>
                      <w:szCs w:val="21"/>
                      <w:lang w:eastAsia="zh-CN"/>
                    </w:rPr>
                  </w:pPr>
                  <w:r>
                    <w:rPr>
                      <w:rFonts w:hint="default" w:ascii="Times New Roman" w:hAnsi="Times New Roman" w:eastAsia="宋体" w:cs="Times New Roman"/>
                      <w:color w:val="000000"/>
                      <w:sz w:val="21"/>
                      <w:szCs w:val="21"/>
                    </w:rPr>
                    <w:t>非甲烷总烃</w:t>
                  </w:r>
                  <w:r>
                    <w:rPr>
                      <w:rFonts w:hint="default" w:ascii="Times New Roman" w:hAnsi="Times New Roman" w:eastAsia="宋体" w:cs="Times New Roman"/>
                      <w:color w:val="000000"/>
                      <w:szCs w:val="21"/>
                      <w:lang w:eastAsia="zh-CN"/>
                    </w:rPr>
                    <w:t>、</w:t>
                  </w:r>
                  <w:r>
                    <w:rPr>
                      <w:rFonts w:hint="default" w:ascii="Times New Roman" w:hAnsi="Times New Roman" w:eastAsia="宋体" w:cs="Times New Roman"/>
                      <w:color w:val="000000"/>
                      <w:szCs w:val="21"/>
                      <w:lang w:val="en-US" w:eastAsia="zh-CN"/>
                    </w:rPr>
                    <w:t>苯乙烯、臭气浓度</w:t>
                  </w:r>
                </w:p>
              </w:tc>
            </w:tr>
            <w:tr w14:paraId="2D41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713" w:type="dxa"/>
                  <w:vMerge w:val="continue"/>
                  <w:tcBorders>
                    <w:tl2br w:val="nil"/>
                    <w:tr2bl w:val="nil"/>
                  </w:tcBorders>
                  <w:noWrap w:val="0"/>
                  <w:vAlign w:val="center"/>
                </w:tcPr>
                <w:p w14:paraId="58B79288">
                  <w:pPr>
                    <w:spacing w:beforeLines="0" w:afterLines="0"/>
                    <w:jc w:val="center"/>
                    <w:rPr>
                      <w:rFonts w:hint="default" w:ascii="Times New Roman" w:hAnsi="Times New Roman" w:eastAsia="宋体" w:cs="Times New Roman"/>
                      <w:color w:val="000000"/>
                      <w:sz w:val="21"/>
                      <w:szCs w:val="21"/>
                    </w:rPr>
                  </w:pPr>
                </w:p>
              </w:tc>
              <w:tc>
                <w:tcPr>
                  <w:tcW w:w="2713" w:type="dxa"/>
                  <w:tcBorders>
                    <w:tl2br w:val="nil"/>
                    <w:tr2bl w:val="nil"/>
                  </w:tcBorders>
                  <w:noWrap w:val="0"/>
                  <w:vAlign w:val="center"/>
                </w:tcPr>
                <w:p w14:paraId="1E09508A">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破碎工序</w:t>
                  </w:r>
                </w:p>
              </w:tc>
              <w:tc>
                <w:tcPr>
                  <w:tcW w:w="2713" w:type="dxa"/>
                  <w:tcBorders>
                    <w:tl2br w:val="nil"/>
                    <w:tr2bl w:val="nil"/>
                  </w:tcBorders>
                  <w:noWrap w:val="0"/>
                  <w:vAlign w:val="center"/>
                </w:tcPr>
                <w:p w14:paraId="2EF9D730">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颗粒物</w:t>
                  </w:r>
                </w:p>
              </w:tc>
            </w:tr>
            <w:tr w14:paraId="13191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713" w:type="dxa"/>
                  <w:tcBorders>
                    <w:tl2br w:val="nil"/>
                    <w:tr2bl w:val="nil"/>
                  </w:tcBorders>
                  <w:noWrap w:val="0"/>
                  <w:vAlign w:val="center"/>
                </w:tcPr>
                <w:p w14:paraId="13A6603C">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噪声</w:t>
                  </w:r>
                </w:p>
              </w:tc>
              <w:tc>
                <w:tcPr>
                  <w:tcW w:w="2713" w:type="dxa"/>
                  <w:tcBorders>
                    <w:tl2br w:val="nil"/>
                    <w:tr2bl w:val="nil"/>
                  </w:tcBorders>
                  <w:noWrap w:val="0"/>
                  <w:vAlign w:val="center"/>
                </w:tcPr>
                <w:p w14:paraId="723917BC">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生产机械设备运行</w:t>
                  </w:r>
                </w:p>
              </w:tc>
              <w:tc>
                <w:tcPr>
                  <w:tcW w:w="2713" w:type="dxa"/>
                  <w:tcBorders>
                    <w:tl2br w:val="nil"/>
                    <w:tr2bl w:val="nil"/>
                  </w:tcBorders>
                  <w:noWrap w:val="0"/>
                  <w:vAlign w:val="center"/>
                </w:tcPr>
                <w:p w14:paraId="698BE6D6">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等效连续A声级Leq(A)</w:t>
                  </w:r>
                </w:p>
              </w:tc>
            </w:tr>
            <w:tr w14:paraId="0CB21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713" w:type="dxa"/>
                  <w:vMerge w:val="restart"/>
                  <w:tcBorders>
                    <w:tl2br w:val="nil"/>
                    <w:tr2bl w:val="nil"/>
                  </w:tcBorders>
                  <w:noWrap w:val="0"/>
                  <w:vAlign w:val="center"/>
                </w:tcPr>
                <w:p w14:paraId="532B8DEA">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固废</w:t>
                  </w:r>
                </w:p>
              </w:tc>
              <w:tc>
                <w:tcPr>
                  <w:tcW w:w="2713" w:type="dxa"/>
                  <w:tcBorders>
                    <w:tl2br w:val="nil"/>
                    <w:tr2bl w:val="nil"/>
                  </w:tcBorders>
                  <w:noWrap w:val="0"/>
                  <w:vAlign w:val="center"/>
                </w:tcPr>
                <w:p w14:paraId="27E31BBB">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生产过程</w:t>
                  </w:r>
                </w:p>
              </w:tc>
              <w:tc>
                <w:tcPr>
                  <w:tcW w:w="2713" w:type="dxa"/>
                  <w:tcBorders>
                    <w:tl2br w:val="nil"/>
                    <w:tr2bl w:val="nil"/>
                  </w:tcBorders>
                  <w:noWrap w:val="0"/>
                  <w:vAlign w:val="center"/>
                </w:tcPr>
                <w:p w14:paraId="6682F6BF">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不合格品、废边角料（可全部回用）</w:t>
                  </w:r>
                </w:p>
              </w:tc>
            </w:tr>
            <w:tr w14:paraId="00B5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713" w:type="dxa"/>
                  <w:vMerge w:val="continue"/>
                  <w:tcBorders>
                    <w:tl2br w:val="nil"/>
                    <w:tr2bl w:val="nil"/>
                  </w:tcBorders>
                  <w:noWrap w:val="0"/>
                  <w:vAlign w:val="center"/>
                </w:tcPr>
                <w:p w14:paraId="0170B22C">
                  <w:pPr>
                    <w:spacing w:beforeLines="0" w:afterLines="0"/>
                    <w:jc w:val="center"/>
                    <w:rPr>
                      <w:rFonts w:hint="default" w:ascii="Times New Roman" w:hAnsi="Times New Roman" w:eastAsia="宋体" w:cs="Times New Roman"/>
                      <w:color w:val="000000"/>
                      <w:sz w:val="21"/>
                      <w:szCs w:val="21"/>
                    </w:rPr>
                  </w:pPr>
                </w:p>
              </w:tc>
              <w:tc>
                <w:tcPr>
                  <w:tcW w:w="2713" w:type="dxa"/>
                  <w:tcBorders>
                    <w:tl2br w:val="nil"/>
                    <w:tr2bl w:val="nil"/>
                  </w:tcBorders>
                  <w:noWrap w:val="0"/>
                  <w:vAlign w:val="center"/>
                </w:tcPr>
                <w:p w14:paraId="4A1F40DA">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原料包装</w:t>
                  </w:r>
                </w:p>
              </w:tc>
              <w:tc>
                <w:tcPr>
                  <w:tcW w:w="2713" w:type="dxa"/>
                  <w:tcBorders>
                    <w:tl2br w:val="nil"/>
                    <w:tr2bl w:val="nil"/>
                  </w:tcBorders>
                  <w:noWrap w:val="0"/>
                  <w:vAlign w:val="center"/>
                </w:tcPr>
                <w:p w14:paraId="528D441D">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废塑料包装袋（一般固废）</w:t>
                  </w:r>
                </w:p>
              </w:tc>
            </w:tr>
            <w:tr w14:paraId="2FD05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713" w:type="dxa"/>
                  <w:vMerge w:val="continue"/>
                  <w:tcBorders>
                    <w:tl2br w:val="nil"/>
                    <w:tr2bl w:val="nil"/>
                  </w:tcBorders>
                  <w:noWrap w:val="0"/>
                  <w:vAlign w:val="center"/>
                </w:tcPr>
                <w:p w14:paraId="215E0517">
                  <w:pPr>
                    <w:spacing w:beforeLines="0" w:afterLines="0"/>
                    <w:jc w:val="center"/>
                    <w:rPr>
                      <w:rFonts w:hint="default" w:ascii="Times New Roman" w:hAnsi="Times New Roman" w:eastAsia="宋体" w:cs="Times New Roman"/>
                      <w:color w:val="000000"/>
                      <w:sz w:val="21"/>
                      <w:szCs w:val="21"/>
                    </w:rPr>
                  </w:pPr>
                </w:p>
              </w:tc>
              <w:tc>
                <w:tcPr>
                  <w:tcW w:w="2713" w:type="dxa"/>
                  <w:tcBorders>
                    <w:tl2br w:val="nil"/>
                    <w:tr2bl w:val="nil"/>
                  </w:tcBorders>
                  <w:noWrap w:val="0"/>
                  <w:vAlign w:val="center"/>
                </w:tcPr>
                <w:p w14:paraId="4924EC84">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废气治理</w:t>
                  </w:r>
                </w:p>
              </w:tc>
              <w:tc>
                <w:tcPr>
                  <w:tcW w:w="2713" w:type="dxa"/>
                  <w:tcBorders>
                    <w:tl2br w:val="nil"/>
                    <w:tr2bl w:val="nil"/>
                  </w:tcBorders>
                  <w:noWrap w:val="0"/>
                  <w:vAlign w:val="center"/>
                </w:tcPr>
                <w:p w14:paraId="09665E99">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废活性炭（危险废物）</w:t>
                  </w:r>
                </w:p>
              </w:tc>
            </w:tr>
            <w:tr w14:paraId="11950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713" w:type="dxa"/>
                  <w:vMerge w:val="continue"/>
                  <w:tcBorders>
                    <w:tl2br w:val="nil"/>
                    <w:tr2bl w:val="nil"/>
                  </w:tcBorders>
                  <w:noWrap w:val="0"/>
                  <w:vAlign w:val="center"/>
                </w:tcPr>
                <w:p w14:paraId="01635CC9">
                  <w:pPr>
                    <w:spacing w:beforeLines="0" w:afterLines="0"/>
                    <w:jc w:val="center"/>
                    <w:rPr>
                      <w:rFonts w:hint="default" w:ascii="Times New Roman" w:hAnsi="Times New Roman" w:eastAsia="宋体" w:cs="Times New Roman"/>
                      <w:color w:val="000000"/>
                      <w:sz w:val="21"/>
                      <w:szCs w:val="21"/>
                    </w:rPr>
                  </w:pPr>
                </w:p>
              </w:tc>
              <w:tc>
                <w:tcPr>
                  <w:tcW w:w="2713" w:type="dxa"/>
                  <w:tcBorders>
                    <w:tl2br w:val="nil"/>
                    <w:tr2bl w:val="nil"/>
                  </w:tcBorders>
                  <w:noWrap w:val="0"/>
                  <w:vAlign w:val="center"/>
                </w:tcPr>
                <w:p w14:paraId="7A3CBF81">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设备检修维护</w:t>
                  </w:r>
                </w:p>
              </w:tc>
              <w:tc>
                <w:tcPr>
                  <w:tcW w:w="2713" w:type="dxa"/>
                  <w:tcBorders>
                    <w:tl2br w:val="nil"/>
                    <w:tr2bl w:val="nil"/>
                  </w:tcBorders>
                  <w:noWrap w:val="0"/>
                  <w:vAlign w:val="center"/>
                </w:tcPr>
                <w:p w14:paraId="2D8BA116">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废机油（危险废物）</w:t>
                  </w:r>
                </w:p>
              </w:tc>
            </w:tr>
            <w:tr w14:paraId="1E798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713" w:type="dxa"/>
                  <w:vMerge w:val="continue"/>
                  <w:tcBorders>
                    <w:tl2br w:val="nil"/>
                    <w:tr2bl w:val="nil"/>
                  </w:tcBorders>
                  <w:noWrap w:val="0"/>
                  <w:vAlign w:val="center"/>
                </w:tcPr>
                <w:p w14:paraId="71ADE274">
                  <w:pPr>
                    <w:spacing w:beforeLines="0" w:afterLines="0"/>
                    <w:jc w:val="center"/>
                    <w:rPr>
                      <w:rFonts w:hint="default" w:ascii="Times New Roman" w:hAnsi="Times New Roman" w:eastAsia="宋体" w:cs="Times New Roman"/>
                      <w:color w:val="000000"/>
                      <w:sz w:val="21"/>
                      <w:szCs w:val="21"/>
                    </w:rPr>
                  </w:pPr>
                </w:p>
              </w:tc>
              <w:tc>
                <w:tcPr>
                  <w:tcW w:w="2713" w:type="dxa"/>
                  <w:tcBorders>
                    <w:tl2br w:val="nil"/>
                    <w:tr2bl w:val="nil"/>
                  </w:tcBorders>
                  <w:noWrap w:val="0"/>
                  <w:vAlign w:val="center"/>
                </w:tcPr>
                <w:p w14:paraId="7A06EF94">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员工生活</w:t>
                  </w:r>
                </w:p>
              </w:tc>
              <w:tc>
                <w:tcPr>
                  <w:tcW w:w="2713" w:type="dxa"/>
                  <w:tcBorders>
                    <w:tl2br w:val="nil"/>
                    <w:tr2bl w:val="nil"/>
                  </w:tcBorders>
                  <w:noWrap w:val="0"/>
                  <w:vAlign w:val="center"/>
                </w:tcPr>
                <w:p w14:paraId="41C85D1E">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生活垃圾</w:t>
                  </w:r>
                </w:p>
              </w:tc>
            </w:tr>
          </w:tbl>
          <w:p w14:paraId="004E7F23">
            <w:pPr>
              <w:tabs>
                <w:tab w:val="left" w:pos="2548"/>
              </w:tabs>
              <w:jc w:val="center"/>
              <w:rPr>
                <w:rFonts w:hint="default" w:ascii="Times New Roman" w:hAnsi="Times New Roman" w:cs="Times New Roman"/>
                <w:b/>
                <w:color w:val="auto"/>
                <w:szCs w:val="21"/>
                <w:u w:val="none"/>
              </w:rPr>
            </w:pPr>
          </w:p>
          <w:p w14:paraId="0F698086">
            <w:pPr>
              <w:tabs>
                <w:tab w:val="left" w:pos="2548"/>
              </w:tabs>
              <w:jc w:val="both"/>
              <w:rPr>
                <w:rFonts w:hint="default" w:ascii="Times New Roman" w:hAnsi="Times New Roman" w:cs="Times New Roman"/>
                <w:b/>
                <w:color w:val="auto"/>
                <w:szCs w:val="21"/>
                <w:u w:val="none"/>
              </w:rPr>
            </w:pPr>
          </w:p>
          <w:p w14:paraId="1E8A2751">
            <w:pPr>
              <w:tabs>
                <w:tab w:val="left" w:pos="2548"/>
              </w:tabs>
              <w:jc w:val="center"/>
              <w:rPr>
                <w:rFonts w:hint="default" w:ascii="Times New Roman" w:hAnsi="Times New Roman" w:cs="Times New Roman"/>
                <w:b/>
                <w:color w:val="auto"/>
                <w:szCs w:val="21"/>
                <w:u w:val="none"/>
              </w:rPr>
            </w:pPr>
          </w:p>
          <w:p w14:paraId="70390A13">
            <w:pPr>
              <w:tabs>
                <w:tab w:val="left" w:pos="2548"/>
              </w:tabs>
              <w:jc w:val="both"/>
              <w:rPr>
                <w:rFonts w:hint="default" w:ascii="Times New Roman" w:hAnsi="Times New Roman" w:cs="Times New Roman"/>
                <w:b/>
                <w:color w:val="auto"/>
                <w:szCs w:val="21"/>
                <w:u w:val="none"/>
              </w:rPr>
            </w:pPr>
          </w:p>
          <w:p w14:paraId="254BC6EB">
            <w:pPr>
              <w:tabs>
                <w:tab w:val="left" w:pos="2548"/>
              </w:tabs>
              <w:jc w:val="center"/>
              <w:rPr>
                <w:rFonts w:hint="default" w:ascii="Times New Roman" w:hAnsi="Times New Roman" w:cs="Times New Roman"/>
                <w:b/>
                <w:color w:val="auto"/>
                <w:szCs w:val="21"/>
                <w:u w:val="none"/>
              </w:rPr>
            </w:pPr>
          </w:p>
          <w:p w14:paraId="025ABE7D">
            <w:pPr>
              <w:tabs>
                <w:tab w:val="left" w:pos="2548"/>
              </w:tabs>
              <w:jc w:val="center"/>
              <w:rPr>
                <w:rFonts w:hint="default" w:ascii="Times New Roman" w:hAnsi="Times New Roman" w:cs="Times New Roman"/>
                <w:b/>
                <w:color w:val="auto"/>
                <w:szCs w:val="21"/>
                <w:u w:val="none"/>
              </w:rPr>
            </w:pPr>
          </w:p>
          <w:p w14:paraId="688E35AA">
            <w:pPr>
              <w:spacing w:line="360" w:lineRule="auto"/>
              <w:rPr>
                <w:rFonts w:hint="default" w:ascii="Times New Roman" w:hAnsi="Times New Roman" w:eastAsia="宋体" w:cs="Times New Roman"/>
                <w:color w:val="auto"/>
                <w:u w:val="none"/>
                <w:lang w:val="en-US" w:eastAsia="zh-CN"/>
              </w:rPr>
            </w:pPr>
            <w:bookmarkStart w:id="8" w:name="3.2.3物料平衡"/>
            <w:bookmarkEnd w:id="8"/>
          </w:p>
        </w:tc>
      </w:tr>
      <w:tr w14:paraId="57219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6" w:hRule="atLeast"/>
          <w:jc w:val="center"/>
        </w:trPr>
        <w:tc>
          <w:tcPr>
            <w:tcW w:w="238" w:type="pct"/>
            <w:vAlign w:val="center"/>
          </w:tcPr>
          <w:p w14:paraId="23BBC40C">
            <w:pPr>
              <w:pStyle w:val="34"/>
              <w:adjustRightInd w:val="0"/>
              <w:snapToGrid w:val="0"/>
              <w:spacing w:before="0" w:beforeAutospacing="0" w:after="0" w:afterAutospacing="0"/>
              <w:jc w:val="center"/>
              <w:rPr>
                <w:rFonts w:hint="default" w:ascii="Times New Roman" w:hAnsi="Times New Roman" w:cs="Times New Roman"/>
                <w:color w:val="auto"/>
                <w:sz w:val="21"/>
                <w:szCs w:val="21"/>
                <w:u w:val="none"/>
              </w:rPr>
            </w:pPr>
            <w:r>
              <w:rPr>
                <w:rFonts w:hint="default" w:ascii="Times New Roman" w:hAnsi="Times New Roman" w:cs="Times New Roman"/>
                <w:bCs/>
                <w:color w:val="auto"/>
                <w:kern w:val="2"/>
                <w:szCs w:val="24"/>
                <w:u w:val="none"/>
              </w:rPr>
              <w:t>与项目有关的原有环境污染问题</w:t>
            </w:r>
          </w:p>
        </w:tc>
        <w:tc>
          <w:tcPr>
            <w:tcW w:w="4762" w:type="pct"/>
          </w:tcPr>
          <w:p w14:paraId="1F79C53C">
            <w:pPr>
              <w:spacing w:line="360" w:lineRule="auto"/>
              <w:ind w:firstLine="480" w:firstLineChars="200"/>
              <w:rPr>
                <w:rFonts w:hint="default" w:ascii="Times New Roman" w:hAnsi="Times New Roman" w:cs="Times New Roman"/>
                <w:bCs/>
                <w:color w:val="auto"/>
                <w:sz w:val="24"/>
                <w:u w:val="none"/>
              </w:rPr>
            </w:pPr>
          </w:p>
          <w:p w14:paraId="3ED8BA43">
            <w:pPr>
              <w:spacing w:line="500" w:lineRule="exact"/>
              <w:ind w:firstLine="480" w:firstLineChars="200"/>
              <w:jc w:val="left"/>
              <w:rPr>
                <w:rFonts w:hint="default" w:ascii="Times New Roman" w:hAnsi="Times New Roman" w:eastAsia="宋体" w:cs="Times New Roman"/>
                <w:color w:val="auto"/>
                <w:sz w:val="24"/>
                <w:u w:val="none"/>
                <w:lang w:val="en-US" w:eastAsia="zh-CN"/>
              </w:rPr>
            </w:pPr>
            <w:r>
              <w:rPr>
                <w:rFonts w:hint="default" w:ascii="Times New Roman" w:hAnsi="Times New Roman" w:eastAsia="宋体" w:cs="Times New Roman"/>
                <w:color w:val="auto"/>
                <w:sz w:val="24"/>
                <w:u w:val="none"/>
                <w:lang w:val="en-US" w:eastAsia="zh-CN"/>
              </w:rPr>
              <w:t>本项目属于新建</w:t>
            </w:r>
            <w:r>
              <w:rPr>
                <w:rFonts w:hint="default" w:cs="Times New Roman"/>
                <w:color w:val="auto"/>
                <w:sz w:val="24"/>
                <w:u w:val="none"/>
                <w:lang w:val="en-US" w:eastAsia="zh-CN"/>
              </w:rPr>
              <w:t>热塑性聚氨酯弹性体生产项目</w:t>
            </w:r>
            <w:r>
              <w:rPr>
                <w:rFonts w:hint="default" w:ascii="Times New Roman" w:hAnsi="Times New Roman" w:eastAsia="宋体" w:cs="Times New Roman"/>
                <w:color w:val="auto"/>
                <w:sz w:val="24"/>
                <w:u w:val="none"/>
                <w:lang w:val="en-US" w:eastAsia="zh-CN"/>
              </w:rPr>
              <w:t>，租赁东安经济开发区白牙片区已建成空置标准厂房开展生产。厂房租赁前闲置，场地内未遗留生产废水、废气、固体废物，不存在土壤、地下水污染痕迹，无原有环境遗留问题。</w:t>
            </w:r>
          </w:p>
          <w:p w14:paraId="0D077BE5">
            <w:pPr>
              <w:spacing w:line="500" w:lineRule="exact"/>
              <w:ind w:firstLine="480" w:firstLineChars="200"/>
              <w:jc w:val="left"/>
              <w:rPr>
                <w:rFonts w:hint="default" w:ascii="Times New Roman" w:hAnsi="Times New Roman" w:cs="Times New Roman"/>
                <w:bCs/>
                <w:color w:val="auto"/>
                <w:sz w:val="24"/>
                <w:u w:val="none"/>
              </w:rPr>
            </w:pPr>
            <w:r>
              <w:rPr>
                <w:rFonts w:hint="default" w:ascii="Times New Roman" w:hAnsi="Times New Roman" w:eastAsia="宋体" w:cs="Times New Roman"/>
                <w:color w:val="auto"/>
                <w:sz w:val="24"/>
                <w:u w:val="none"/>
                <w:lang w:val="en-US" w:eastAsia="zh-CN"/>
              </w:rPr>
              <w:t>项目场地周边现状环境质量满足区域环境功能区划要求，不存在与本项目相关的原有污染源、历史污染纠纷及环境遗留治理任务</w:t>
            </w:r>
            <w:r>
              <w:rPr>
                <w:rFonts w:hint="default" w:ascii="Times New Roman" w:hAnsi="Times New Roman" w:cs="Times New Roman"/>
                <w:bCs/>
                <w:color w:val="auto"/>
                <w:sz w:val="24"/>
                <w:u w:val="none"/>
              </w:rPr>
              <w:t>。</w:t>
            </w:r>
          </w:p>
          <w:p w14:paraId="3A935F38">
            <w:pPr>
              <w:spacing w:line="360" w:lineRule="auto"/>
              <w:ind w:firstLine="480" w:firstLineChars="200"/>
              <w:rPr>
                <w:rFonts w:hint="default" w:ascii="Times New Roman" w:hAnsi="Times New Roman" w:cs="Times New Roman"/>
                <w:bCs/>
                <w:color w:val="auto"/>
                <w:sz w:val="24"/>
                <w:u w:val="none"/>
              </w:rPr>
            </w:pPr>
          </w:p>
          <w:p w14:paraId="6A42B760">
            <w:pPr>
              <w:spacing w:line="360" w:lineRule="auto"/>
              <w:ind w:firstLine="0" w:firstLineChars="0"/>
              <w:rPr>
                <w:rFonts w:hint="default" w:ascii="Times New Roman" w:hAnsi="Times New Roman" w:cs="Times New Roman"/>
                <w:bCs/>
                <w:color w:val="auto"/>
                <w:sz w:val="24"/>
                <w:u w:val="none"/>
              </w:rPr>
            </w:pPr>
          </w:p>
          <w:p w14:paraId="104700C7">
            <w:pPr>
              <w:spacing w:line="360" w:lineRule="auto"/>
              <w:ind w:firstLine="480" w:firstLineChars="200"/>
              <w:rPr>
                <w:rFonts w:hint="default" w:ascii="Times New Roman" w:hAnsi="Times New Roman" w:cs="Times New Roman"/>
                <w:bCs/>
                <w:color w:val="auto"/>
                <w:sz w:val="24"/>
                <w:u w:val="none"/>
              </w:rPr>
            </w:pPr>
          </w:p>
          <w:p w14:paraId="424FBCDC">
            <w:pPr>
              <w:spacing w:line="360" w:lineRule="auto"/>
              <w:ind w:firstLine="480" w:firstLineChars="200"/>
              <w:rPr>
                <w:rFonts w:hint="default" w:ascii="Times New Roman" w:hAnsi="Times New Roman" w:cs="Times New Roman"/>
                <w:bCs/>
                <w:color w:val="auto"/>
                <w:sz w:val="24"/>
                <w:u w:val="none"/>
              </w:rPr>
            </w:pPr>
          </w:p>
          <w:p w14:paraId="3780E51E">
            <w:pPr>
              <w:spacing w:line="360" w:lineRule="auto"/>
              <w:ind w:firstLine="480" w:firstLineChars="200"/>
              <w:rPr>
                <w:rFonts w:hint="default" w:ascii="Times New Roman" w:hAnsi="Times New Roman" w:cs="Times New Roman"/>
                <w:bCs/>
                <w:color w:val="auto"/>
                <w:sz w:val="24"/>
                <w:u w:val="none"/>
              </w:rPr>
            </w:pPr>
          </w:p>
          <w:p w14:paraId="71DC55F6">
            <w:pPr>
              <w:spacing w:line="360" w:lineRule="auto"/>
              <w:ind w:firstLine="480" w:firstLineChars="200"/>
              <w:rPr>
                <w:rFonts w:hint="default" w:ascii="Times New Roman" w:hAnsi="Times New Roman" w:cs="Times New Roman"/>
                <w:bCs/>
                <w:color w:val="auto"/>
                <w:sz w:val="24"/>
                <w:u w:val="none"/>
              </w:rPr>
            </w:pPr>
          </w:p>
          <w:p w14:paraId="3DCA878C">
            <w:pPr>
              <w:spacing w:line="360" w:lineRule="auto"/>
              <w:rPr>
                <w:rFonts w:hint="default" w:ascii="Times New Roman" w:hAnsi="Times New Roman" w:cs="Times New Roman"/>
                <w:bCs/>
                <w:color w:val="auto"/>
                <w:sz w:val="24"/>
                <w:u w:val="none"/>
              </w:rPr>
            </w:pPr>
          </w:p>
          <w:p w14:paraId="5D22E99C">
            <w:pPr>
              <w:spacing w:line="360" w:lineRule="auto"/>
              <w:ind w:firstLine="480" w:firstLineChars="200"/>
              <w:rPr>
                <w:rFonts w:hint="default" w:ascii="Times New Roman" w:hAnsi="Times New Roman" w:cs="Times New Roman"/>
                <w:bCs/>
                <w:color w:val="auto"/>
                <w:sz w:val="24"/>
                <w:u w:val="none"/>
              </w:rPr>
            </w:pPr>
          </w:p>
          <w:p w14:paraId="58A83C96">
            <w:pPr>
              <w:spacing w:line="360" w:lineRule="auto"/>
              <w:ind w:firstLine="480" w:firstLineChars="200"/>
              <w:rPr>
                <w:rFonts w:hint="default" w:ascii="Times New Roman" w:hAnsi="Times New Roman" w:cs="Times New Roman"/>
                <w:bCs/>
                <w:color w:val="auto"/>
                <w:sz w:val="24"/>
                <w:u w:val="none"/>
              </w:rPr>
            </w:pPr>
          </w:p>
          <w:p w14:paraId="2E36B006">
            <w:pPr>
              <w:spacing w:line="360" w:lineRule="auto"/>
              <w:ind w:firstLine="480" w:firstLineChars="200"/>
              <w:rPr>
                <w:rFonts w:hint="default" w:ascii="Times New Roman" w:hAnsi="Times New Roman" w:cs="Times New Roman"/>
                <w:bCs/>
                <w:color w:val="auto"/>
                <w:sz w:val="24"/>
                <w:u w:val="none"/>
              </w:rPr>
            </w:pPr>
          </w:p>
        </w:tc>
      </w:tr>
    </w:tbl>
    <w:p w14:paraId="32D26580">
      <w:pPr>
        <w:pStyle w:val="34"/>
        <w:jc w:val="center"/>
        <w:rPr>
          <w:rFonts w:hint="default" w:ascii="Times New Roman" w:hAnsi="Times New Roman" w:eastAsia="黑体" w:cs="Times New Roman"/>
          <w:snapToGrid w:val="0"/>
          <w:color w:val="auto"/>
          <w:sz w:val="36"/>
          <w:szCs w:val="36"/>
          <w:u w:val="none"/>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1EF4EB2E">
      <w:pPr>
        <w:rPr>
          <w:rFonts w:hint="default" w:ascii="Times New Roman" w:hAnsi="Times New Roman" w:cs="Times New Roman"/>
          <w:color w:val="auto"/>
          <w:u w:val="none"/>
        </w:rPr>
      </w:pPr>
    </w:p>
    <w:p w14:paraId="0082EEAF">
      <w:pPr>
        <w:spacing w:line="360" w:lineRule="auto"/>
        <w:jc w:val="center"/>
        <w:outlineLvl w:val="0"/>
        <w:rPr>
          <w:rFonts w:hint="default" w:ascii="Times New Roman" w:hAnsi="Times New Roman" w:cs="Times New Roman"/>
          <w:b/>
          <w:bCs/>
          <w:color w:val="auto"/>
          <w:sz w:val="32"/>
          <w:szCs w:val="32"/>
          <w:u w:val="none"/>
        </w:rPr>
      </w:pPr>
      <w:bookmarkStart w:id="9" w:name="_Toc26159"/>
      <w:bookmarkStart w:id="10" w:name="_Toc1246"/>
      <w:r>
        <w:rPr>
          <w:rFonts w:hint="default" w:ascii="Times New Roman" w:hAnsi="Times New Roman" w:cs="Times New Roman"/>
          <w:b/>
          <w:bCs/>
          <w:color w:val="auto"/>
          <w:sz w:val="32"/>
          <w:szCs w:val="32"/>
          <w:u w:val="none"/>
        </w:rPr>
        <w:t>三、区域环境质量现状、环境保护目标及评价标准</w:t>
      </w:r>
      <w:bookmarkEnd w:id="9"/>
      <w:bookmarkEnd w:id="10"/>
    </w:p>
    <w:tbl>
      <w:tblPr>
        <w:tblStyle w:val="3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30"/>
        <w:gridCol w:w="8631"/>
      </w:tblGrid>
      <w:tr w14:paraId="064555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31" w:hRule="atLeast"/>
          <w:jc w:val="center"/>
        </w:trPr>
        <w:tc>
          <w:tcPr>
            <w:tcW w:w="430" w:type="dxa"/>
            <w:vAlign w:val="center"/>
          </w:tcPr>
          <w:p w14:paraId="6163CDE0">
            <w:pPr>
              <w:adjustRightInd w:val="0"/>
              <w:snapToGrid w:val="0"/>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区域</w:t>
            </w:r>
          </w:p>
          <w:p w14:paraId="7135483B">
            <w:pPr>
              <w:adjustRightInd w:val="0"/>
              <w:snapToGrid w:val="0"/>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环境</w:t>
            </w:r>
          </w:p>
          <w:p w14:paraId="285E3F73">
            <w:pPr>
              <w:adjustRightInd w:val="0"/>
              <w:snapToGrid w:val="0"/>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质量</w:t>
            </w:r>
          </w:p>
          <w:p w14:paraId="613051E5">
            <w:pPr>
              <w:adjustRightInd w:val="0"/>
              <w:snapToGrid w:val="0"/>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现状</w:t>
            </w:r>
          </w:p>
        </w:tc>
        <w:tc>
          <w:tcPr>
            <w:tcW w:w="8631" w:type="dxa"/>
            <w:vAlign w:val="center"/>
          </w:tcPr>
          <w:p w14:paraId="1896BCCD">
            <w:pPr>
              <w:spacing w:line="360" w:lineRule="auto"/>
              <w:ind w:firstLine="482" w:firstLineChars="200"/>
              <w:outlineLvl w:val="0"/>
              <w:rPr>
                <w:rFonts w:hint="default" w:ascii="Times New Roman" w:hAnsi="Times New Roman" w:cs="Times New Roman"/>
                <w:b/>
                <w:bCs/>
                <w:color w:val="auto"/>
                <w:sz w:val="24"/>
                <w:u w:val="none"/>
              </w:rPr>
            </w:pPr>
            <w:r>
              <w:rPr>
                <w:rFonts w:hint="default" w:ascii="Times New Roman" w:hAnsi="Times New Roman" w:cs="Times New Roman"/>
                <w:b/>
                <w:bCs/>
                <w:color w:val="auto"/>
                <w:sz w:val="24"/>
                <w:u w:val="none"/>
              </w:rPr>
              <w:t>1、环境空气质量现状</w:t>
            </w:r>
          </w:p>
          <w:p w14:paraId="66FC5BEA">
            <w:pPr>
              <w:widowControl/>
              <w:pBdr>
                <w:top w:val="none" w:color="auto" w:sz="0" w:space="0"/>
                <w:left w:val="none" w:color="auto" w:sz="0" w:space="0"/>
                <w:bottom w:val="none" w:color="auto" w:sz="0" w:space="0"/>
                <w:right w:val="none" w:color="auto" w:sz="0" w:space="0"/>
              </w:pBdr>
              <w:spacing w:before="120" w:beforeLines="50" w:line="360" w:lineRule="auto"/>
              <w:ind w:left="0" w:firstLine="480" w:firstLineChars="200"/>
              <w:jc w:val="left"/>
              <w:rPr>
                <w:rFonts w:hint="default" w:ascii="Times New Roman" w:hAnsi="Times New Roman" w:cs="Times New Roman"/>
                <w:bCs/>
                <w:color w:val="auto"/>
                <w:sz w:val="24"/>
                <w:u w:val="none"/>
                <w:lang w:bidi="ar"/>
              </w:rPr>
            </w:pPr>
            <w:r>
              <w:rPr>
                <w:rFonts w:hint="default" w:ascii="Times New Roman" w:hAnsi="Times New Roman" w:cs="Times New Roman"/>
                <w:bCs/>
                <w:color w:val="auto"/>
                <w:sz w:val="24"/>
                <w:u w:val="none"/>
                <w:lang w:bidi="ar"/>
              </w:rPr>
              <w:t>①区域环境空气质量现状调查</w:t>
            </w:r>
          </w:p>
          <w:p w14:paraId="1E4F959F">
            <w:pPr>
              <w:keepNext w:val="0"/>
              <w:keepLines w:val="0"/>
              <w:widowControl/>
              <w:suppressLineNumbers w:val="0"/>
              <w:pBdr>
                <w:top w:val="none" w:color="auto" w:sz="0" w:space="0"/>
                <w:left w:val="none" w:color="auto" w:sz="0" w:space="0"/>
                <w:bottom w:val="none" w:color="auto" w:sz="0" w:space="0"/>
                <w:right w:val="none" w:color="auto" w:sz="0" w:space="0"/>
              </w:pBdr>
              <w:spacing w:before="120" w:beforeLines="50" w:beforeAutospacing="0" w:after="0" w:afterAutospacing="0" w:line="360" w:lineRule="auto"/>
              <w:ind w:left="0" w:right="0" w:firstLine="480" w:firstLineChars="200"/>
              <w:jc w:val="left"/>
              <w:rPr>
                <w:rFonts w:ascii="Times New Roman" w:hAnsi="Times New Roman" w:eastAsia="宋体" w:cs="Times New Roman"/>
                <w:bCs/>
                <w:color w:val="auto"/>
                <w:kern w:val="2"/>
                <w:sz w:val="24"/>
                <w:szCs w:val="24"/>
                <w:u w:val="none"/>
                <w:lang w:val="en-US" w:eastAsia="zh-CN" w:bidi="ar"/>
              </w:rPr>
            </w:pPr>
            <w:r>
              <w:rPr>
                <w:rFonts w:ascii="Times New Roman" w:hAnsi="Times New Roman" w:eastAsia="宋体" w:cs="Times New Roman"/>
                <w:bCs/>
                <w:color w:val="auto"/>
                <w:kern w:val="2"/>
                <w:sz w:val="24"/>
                <w:szCs w:val="24"/>
                <w:u w:val="none"/>
                <w:lang w:val="en-US" w:eastAsia="zh-CN" w:bidi="ar"/>
              </w:rPr>
              <w:t>依据《建设项目环境影响报告表编制技术指南(污染影响类)(试行)》要求，常规污染物可引用近3年生态环境主管部门公开发布的空气质量监测数据。</w:t>
            </w:r>
            <w:r>
              <w:rPr>
                <w:rFonts w:hint="eastAsia" w:cs="Times New Roman"/>
                <w:bCs/>
                <w:color w:val="auto"/>
                <w:kern w:val="2"/>
                <w:sz w:val="24"/>
                <w:szCs w:val="24"/>
                <w:u w:val="none"/>
                <w:lang w:val="en-US" w:eastAsia="zh-CN" w:bidi="ar"/>
              </w:rPr>
              <w:t>本次评价收集2024年东安县全年监测数据，能代表本项目周边环境质量现状，监测数据详见表3-1</w:t>
            </w:r>
            <w:r>
              <w:rPr>
                <w:rFonts w:ascii="Times New Roman" w:hAnsi="Times New Roman" w:eastAsia="宋体" w:cs="Times New Roman"/>
                <w:bCs/>
                <w:color w:val="auto"/>
                <w:kern w:val="2"/>
                <w:sz w:val="24"/>
                <w:szCs w:val="24"/>
                <w:u w:val="none"/>
                <w:lang w:val="en-US" w:eastAsia="zh-CN" w:bidi="ar"/>
              </w:rPr>
              <w:t>。</w:t>
            </w:r>
          </w:p>
          <w:p w14:paraId="6C033353">
            <w:pPr>
              <w:bidi w:val="0"/>
              <w:spacing w:line="240" w:lineRule="auto"/>
              <w:ind w:left="0" w:leftChars="0" w:firstLine="0" w:firstLineChars="0"/>
              <w:jc w:val="center"/>
              <w:rPr>
                <w:rFonts w:hint="default"/>
                <w:b/>
                <w:bCs/>
                <w:sz w:val="21"/>
                <w:szCs w:val="21"/>
                <w:u w:val="none"/>
                <w:lang w:eastAsia="zh-CN"/>
              </w:rPr>
            </w:pPr>
            <w:r>
              <w:rPr>
                <w:rFonts w:hint="default"/>
                <w:b/>
                <w:bCs/>
                <w:sz w:val="21"/>
                <w:szCs w:val="21"/>
                <w:u w:val="none"/>
              </w:rPr>
              <w:t>表3-1</w:t>
            </w:r>
            <w:r>
              <w:rPr>
                <w:rFonts w:hint="eastAsia"/>
                <w:b/>
                <w:bCs/>
                <w:sz w:val="21"/>
                <w:szCs w:val="21"/>
                <w:u w:val="none"/>
                <w:lang w:val="en-US" w:eastAsia="zh-CN"/>
              </w:rPr>
              <w:t>东安县</w:t>
            </w:r>
            <w:r>
              <w:rPr>
                <w:rFonts w:hint="default"/>
                <w:b/>
                <w:bCs/>
                <w:sz w:val="21"/>
                <w:szCs w:val="21"/>
                <w:u w:val="none"/>
              </w:rPr>
              <w:t>202</w:t>
            </w:r>
            <w:r>
              <w:rPr>
                <w:rFonts w:hint="eastAsia"/>
                <w:b/>
                <w:bCs/>
                <w:sz w:val="21"/>
                <w:szCs w:val="21"/>
                <w:u w:val="none"/>
                <w:lang w:val="en-US" w:eastAsia="zh-CN"/>
              </w:rPr>
              <w:t>4</w:t>
            </w:r>
            <w:r>
              <w:rPr>
                <w:rFonts w:hint="eastAsia"/>
                <w:b/>
                <w:bCs/>
                <w:sz w:val="21"/>
                <w:szCs w:val="21"/>
                <w:u w:val="none"/>
                <w:lang w:eastAsia="zh-CN"/>
              </w:rPr>
              <w:t>年</w:t>
            </w:r>
            <w:r>
              <w:rPr>
                <w:rFonts w:hint="default"/>
                <w:b/>
                <w:bCs/>
                <w:sz w:val="21"/>
                <w:szCs w:val="21"/>
                <w:u w:val="none"/>
              </w:rPr>
              <w:t>环境空气质量状况</w:t>
            </w:r>
            <w:r>
              <w:rPr>
                <w:rFonts w:hint="default"/>
                <w:b/>
                <w:bCs/>
                <w:sz w:val="21"/>
                <w:szCs w:val="21"/>
                <w:u w:val="none"/>
                <w:lang w:eastAsia="zh-CN"/>
              </w:rPr>
              <w:t>（</w:t>
            </w:r>
            <w:r>
              <w:rPr>
                <w:rFonts w:hint="default"/>
                <w:b/>
                <w:bCs/>
                <w:sz w:val="21"/>
                <w:szCs w:val="21"/>
                <w:u w:val="none"/>
              </w:rPr>
              <w:t>单位：μg/m</w:t>
            </w:r>
            <w:r>
              <w:rPr>
                <w:rFonts w:hint="default"/>
                <w:b/>
                <w:bCs/>
                <w:sz w:val="21"/>
                <w:szCs w:val="21"/>
                <w:u w:val="none"/>
                <w:vertAlign w:val="superscript"/>
              </w:rPr>
              <w:t>3</w:t>
            </w:r>
            <w:r>
              <w:rPr>
                <w:rFonts w:hint="default"/>
                <w:b/>
                <w:bCs/>
                <w:sz w:val="21"/>
                <w:szCs w:val="21"/>
                <w:u w:val="none"/>
                <w:lang w:eastAsia="zh-CN"/>
              </w:rPr>
              <w:t>）</w:t>
            </w:r>
          </w:p>
          <w:tbl>
            <w:tblPr>
              <w:tblStyle w:val="38"/>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376"/>
              <w:gridCol w:w="1654"/>
              <w:gridCol w:w="1552"/>
              <w:gridCol w:w="1441"/>
              <w:gridCol w:w="1260"/>
              <w:gridCol w:w="1112"/>
            </w:tblGrid>
            <w:tr w14:paraId="21B4E8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19" w:type="pct"/>
                  <w:noWrap w:val="0"/>
                  <w:vAlign w:val="center"/>
                </w:tcPr>
                <w:p w14:paraId="74C45C58">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监测因子</w:t>
                  </w:r>
                </w:p>
              </w:tc>
              <w:tc>
                <w:tcPr>
                  <w:tcW w:w="985" w:type="pct"/>
                  <w:noWrap w:val="0"/>
                  <w:vAlign w:val="center"/>
                </w:tcPr>
                <w:p w14:paraId="18726FA7">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年评价指标</w:t>
                  </w:r>
                </w:p>
              </w:tc>
              <w:tc>
                <w:tcPr>
                  <w:tcW w:w="924" w:type="pct"/>
                  <w:noWrap w:val="0"/>
                  <w:vAlign w:val="center"/>
                </w:tcPr>
                <w:p w14:paraId="590BCED7">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lang w:eastAsia="zh-CN"/>
                    </w:rPr>
                  </w:pPr>
                  <w:r>
                    <w:rPr>
                      <w:rFonts w:hint="default" w:ascii="Times New Roman" w:hAnsi="Times New Roman" w:eastAsia="宋体" w:cs="Times New Roman"/>
                      <w:color w:val="auto"/>
                      <w:sz w:val="21"/>
                      <w:szCs w:val="21"/>
                      <w:highlight w:val="none"/>
                      <w:u w:val="none"/>
                    </w:rPr>
                    <w:t>监测浓度</w:t>
                  </w:r>
                  <w:r>
                    <w:rPr>
                      <w:rFonts w:hint="default" w:ascii="Times New Roman" w:hAnsi="Times New Roman" w:eastAsia="宋体" w:cs="Times New Roman"/>
                      <w:color w:val="auto"/>
                      <w:sz w:val="21"/>
                      <w:szCs w:val="21"/>
                      <w:highlight w:val="none"/>
                      <w:u w:val="none"/>
                      <w:lang w:eastAsia="zh-CN"/>
                    </w:rPr>
                    <w:t>（</w:t>
                  </w:r>
                  <w:r>
                    <w:rPr>
                      <w:rFonts w:hint="default" w:ascii="Times New Roman" w:hAnsi="Times New Roman" w:eastAsia="宋体" w:cs="Times New Roman"/>
                      <w:color w:val="auto"/>
                      <w:sz w:val="21"/>
                      <w:szCs w:val="21"/>
                      <w:highlight w:val="none"/>
                      <w:u w:val="none"/>
                    </w:rPr>
                    <w:t>年平均值</w:t>
                  </w:r>
                  <w:r>
                    <w:rPr>
                      <w:rFonts w:hint="default" w:ascii="Times New Roman" w:hAnsi="Times New Roman" w:eastAsia="宋体" w:cs="Times New Roman"/>
                      <w:color w:val="auto"/>
                      <w:sz w:val="21"/>
                      <w:szCs w:val="21"/>
                      <w:highlight w:val="none"/>
                      <w:u w:val="none"/>
                      <w:lang w:eastAsia="zh-CN"/>
                    </w:rPr>
                    <w:t>）</w:t>
                  </w:r>
                </w:p>
              </w:tc>
              <w:tc>
                <w:tcPr>
                  <w:tcW w:w="858" w:type="pct"/>
                  <w:noWrap w:val="0"/>
                  <w:vAlign w:val="center"/>
                </w:tcPr>
                <w:p w14:paraId="7570951C">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lang w:eastAsia="zh-CN"/>
                    </w:rPr>
                  </w:pPr>
                  <w:r>
                    <w:rPr>
                      <w:rFonts w:hint="default" w:ascii="Times New Roman" w:hAnsi="Times New Roman" w:eastAsia="宋体" w:cs="Times New Roman"/>
                      <w:color w:val="auto"/>
                      <w:sz w:val="21"/>
                      <w:szCs w:val="21"/>
                      <w:highlight w:val="none"/>
                      <w:u w:val="none"/>
                    </w:rPr>
                    <w:t>标准值</w:t>
                  </w:r>
                  <w:r>
                    <w:rPr>
                      <w:rFonts w:hint="default" w:ascii="Times New Roman" w:hAnsi="Times New Roman" w:eastAsia="宋体" w:cs="Times New Roman"/>
                      <w:color w:val="auto"/>
                      <w:sz w:val="21"/>
                      <w:szCs w:val="21"/>
                      <w:highlight w:val="none"/>
                      <w:u w:val="none"/>
                      <w:lang w:eastAsia="zh-CN"/>
                    </w:rPr>
                    <w:t>（</w:t>
                  </w:r>
                  <w:r>
                    <w:rPr>
                      <w:rFonts w:hint="default" w:ascii="Times New Roman" w:hAnsi="Times New Roman" w:eastAsia="宋体" w:cs="Times New Roman"/>
                      <w:color w:val="auto"/>
                      <w:sz w:val="21"/>
                      <w:szCs w:val="21"/>
                      <w:highlight w:val="none"/>
                      <w:u w:val="none"/>
                    </w:rPr>
                    <w:t>年平均值</w:t>
                  </w:r>
                  <w:r>
                    <w:rPr>
                      <w:rFonts w:hint="default" w:ascii="Times New Roman" w:hAnsi="Times New Roman" w:eastAsia="宋体" w:cs="Times New Roman"/>
                      <w:color w:val="auto"/>
                      <w:sz w:val="21"/>
                      <w:szCs w:val="21"/>
                      <w:highlight w:val="none"/>
                      <w:u w:val="none"/>
                      <w:lang w:eastAsia="zh-CN"/>
                    </w:rPr>
                    <w:t>）</w:t>
                  </w:r>
                </w:p>
              </w:tc>
              <w:tc>
                <w:tcPr>
                  <w:tcW w:w="750" w:type="pct"/>
                  <w:noWrap w:val="0"/>
                  <w:vAlign w:val="center"/>
                </w:tcPr>
                <w:p w14:paraId="5B6DCEBB">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lang w:eastAsia="zh-CN"/>
                    </w:rPr>
                  </w:pPr>
                  <w:r>
                    <w:rPr>
                      <w:rFonts w:hint="default" w:ascii="Times New Roman" w:hAnsi="Times New Roman" w:eastAsia="宋体" w:cs="Times New Roman"/>
                      <w:color w:val="auto"/>
                      <w:sz w:val="21"/>
                      <w:szCs w:val="21"/>
                      <w:highlight w:val="none"/>
                      <w:u w:val="none"/>
                    </w:rPr>
                    <w:t>占标率</w:t>
                  </w:r>
                  <w:r>
                    <w:rPr>
                      <w:rFonts w:hint="default" w:ascii="Times New Roman" w:hAnsi="Times New Roman" w:eastAsia="宋体" w:cs="Times New Roman"/>
                      <w:color w:val="auto"/>
                      <w:sz w:val="21"/>
                      <w:szCs w:val="21"/>
                      <w:highlight w:val="none"/>
                      <w:u w:val="none"/>
                      <w:lang w:eastAsia="zh-CN"/>
                    </w:rPr>
                    <w:t>（</w:t>
                  </w:r>
                  <w:r>
                    <w:rPr>
                      <w:rFonts w:hint="default" w:ascii="Times New Roman" w:hAnsi="Times New Roman" w:eastAsia="宋体" w:cs="Times New Roman"/>
                      <w:color w:val="auto"/>
                      <w:sz w:val="21"/>
                      <w:szCs w:val="21"/>
                      <w:highlight w:val="none"/>
                      <w:u w:val="none"/>
                    </w:rPr>
                    <w:t>%</w:t>
                  </w:r>
                  <w:r>
                    <w:rPr>
                      <w:rFonts w:hint="default" w:ascii="Times New Roman" w:hAnsi="Times New Roman" w:eastAsia="宋体" w:cs="Times New Roman"/>
                      <w:color w:val="auto"/>
                      <w:sz w:val="21"/>
                      <w:szCs w:val="21"/>
                      <w:highlight w:val="none"/>
                      <w:u w:val="none"/>
                      <w:lang w:eastAsia="zh-CN"/>
                    </w:rPr>
                    <w:t>）</w:t>
                  </w:r>
                </w:p>
              </w:tc>
              <w:tc>
                <w:tcPr>
                  <w:tcW w:w="662" w:type="pct"/>
                  <w:noWrap w:val="0"/>
                  <w:vAlign w:val="center"/>
                </w:tcPr>
                <w:p w14:paraId="5CD84C17">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达标情况</w:t>
                  </w:r>
                </w:p>
              </w:tc>
            </w:tr>
            <w:tr w14:paraId="7457E0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19" w:type="pct"/>
                  <w:noWrap w:val="0"/>
                  <w:vAlign w:val="center"/>
                </w:tcPr>
                <w:p w14:paraId="429E1434">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PM</w:t>
                  </w:r>
                  <w:r>
                    <w:rPr>
                      <w:rFonts w:hint="default" w:ascii="Times New Roman" w:hAnsi="Times New Roman" w:eastAsia="宋体" w:cs="Times New Roman"/>
                      <w:color w:val="auto"/>
                      <w:sz w:val="21"/>
                      <w:szCs w:val="21"/>
                      <w:highlight w:val="none"/>
                      <w:u w:val="none"/>
                      <w:vertAlign w:val="subscript"/>
                    </w:rPr>
                    <w:t>10</w:t>
                  </w:r>
                </w:p>
              </w:tc>
              <w:tc>
                <w:tcPr>
                  <w:tcW w:w="985" w:type="pct"/>
                  <w:vMerge w:val="restart"/>
                  <w:noWrap w:val="0"/>
                  <w:vAlign w:val="center"/>
                </w:tcPr>
                <w:p w14:paraId="4F20AE97">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年平均质量浓度</w:t>
                  </w:r>
                </w:p>
              </w:tc>
              <w:tc>
                <w:tcPr>
                  <w:tcW w:w="924" w:type="pct"/>
                  <w:noWrap w:val="0"/>
                  <w:vAlign w:val="center"/>
                </w:tcPr>
                <w:p w14:paraId="5344AE49">
                  <w:pPr>
                    <w:spacing w:line="240" w:lineRule="auto"/>
                    <w:ind w:left="0" w:leftChars="0" w:firstLine="0" w:firstLineChars="0"/>
                    <w:jc w:val="center"/>
                    <w:rPr>
                      <w:rFonts w:hint="eastAsia" w:ascii="Times New Roman" w:hAnsi="Times New Roman" w:eastAsia="宋体" w:cs="Times New Roman"/>
                      <w:color w:val="auto"/>
                      <w:sz w:val="21"/>
                      <w:szCs w:val="21"/>
                      <w:highlight w:val="none"/>
                      <w:u w:val="none"/>
                      <w:lang w:val="en-US" w:eastAsia="zh-CN"/>
                    </w:rPr>
                  </w:pPr>
                  <w:r>
                    <w:rPr>
                      <w:rFonts w:hint="eastAsia" w:cs="Times New Roman"/>
                      <w:color w:val="auto"/>
                      <w:sz w:val="21"/>
                      <w:szCs w:val="21"/>
                      <w:highlight w:val="none"/>
                      <w:u w:val="none"/>
                      <w:lang w:val="en-US" w:eastAsia="zh-CN"/>
                    </w:rPr>
                    <w:t>47</w:t>
                  </w:r>
                  <w:r>
                    <w:rPr>
                      <w:rFonts w:hint="default" w:ascii="Times New Roman" w:hAnsi="Times New Roman" w:eastAsia="宋体" w:cs="Times New Roman"/>
                      <w:color w:val="auto"/>
                      <w:sz w:val="21"/>
                      <w:szCs w:val="21"/>
                      <w:highlight w:val="none"/>
                      <w:u w:val="none"/>
                    </w:rPr>
                    <w:t>ug/m</w:t>
                  </w:r>
                  <w:r>
                    <w:rPr>
                      <w:rFonts w:hint="eastAsia" w:ascii="Times New Roman" w:hAnsi="Times New Roman" w:eastAsia="宋体" w:cs="Times New Roman"/>
                      <w:color w:val="auto"/>
                      <w:sz w:val="21"/>
                      <w:szCs w:val="21"/>
                      <w:highlight w:val="none"/>
                      <w:u w:val="none"/>
                      <w:vertAlign w:val="superscript"/>
                      <w:lang w:val="en-US" w:eastAsia="zh-CN"/>
                    </w:rPr>
                    <w:t>3</w:t>
                  </w:r>
                </w:p>
              </w:tc>
              <w:tc>
                <w:tcPr>
                  <w:tcW w:w="858" w:type="pct"/>
                  <w:noWrap w:val="0"/>
                  <w:vAlign w:val="center"/>
                </w:tcPr>
                <w:p w14:paraId="5BAF8AD5">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70ug/m</w:t>
                  </w:r>
                  <w:r>
                    <w:rPr>
                      <w:rFonts w:hint="eastAsia" w:ascii="Times New Roman" w:hAnsi="Times New Roman" w:eastAsia="宋体" w:cs="Times New Roman"/>
                      <w:color w:val="auto"/>
                      <w:sz w:val="21"/>
                      <w:szCs w:val="21"/>
                      <w:highlight w:val="none"/>
                      <w:u w:val="none"/>
                      <w:vertAlign w:val="superscript"/>
                      <w:lang w:val="en-US" w:eastAsia="zh-CN"/>
                    </w:rPr>
                    <w:t>3</w:t>
                  </w:r>
                </w:p>
              </w:tc>
              <w:tc>
                <w:tcPr>
                  <w:tcW w:w="750" w:type="pct"/>
                  <w:noWrap w:val="0"/>
                  <w:vAlign w:val="center"/>
                </w:tcPr>
                <w:p w14:paraId="31F46B6E">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lang w:val="en-US" w:eastAsia="zh-CN"/>
                    </w:rPr>
                  </w:pPr>
                  <w:r>
                    <w:rPr>
                      <w:rFonts w:hint="eastAsia" w:cs="Times New Roman"/>
                      <w:color w:val="auto"/>
                      <w:sz w:val="21"/>
                      <w:szCs w:val="21"/>
                      <w:highlight w:val="none"/>
                      <w:u w:val="none"/>
                      <w:lang w:val="en-US" w:eastAsia="zh-CN"/>
                    </w:rPr>
                    <w:t>67.1</w:t>
                  </w:r>
                </w:p>
              </w:tc>
              <w:tc>
                <w:tcPr>
                  <w:tcW w:w="662" w:type="pct"/>
                  <w:noWrap w:val="0"/>
                  <w:vAlign w:val="center"/>
                </w:tcPr>
                <w:p w14:paraId="202FC67B">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达标</w:t>
                  </w:r>
                </w:p>
              </w:tc>
            </w:tr>
            <w:tr w14:paraId="0B2CF8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19" w:type="pct"/>
                  <w:noWrap w:val="0"/>
                  <w:vAlign w:val="center"/>
                </w:tcPr>
                <w:p w14:paraId="43D52716">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PM</w:t>
                  </w:r>
                  <w:r>
                    <w:rPr>
                      <w:rFonts w:hint="default" w:ascii="Times New Roman" w:hAnsi="Times New Roman" w:eastAsia="宋体" w:cs="Times New Roman"/>
                      <w:color w:val="auto"/>
                      <w:sz w:val="21"/>
                      <w:szCs w:val="21"/>
                      <w:highlight w:val="none"/>
                      <w:u w:val="none"/>
                      <w:vertAlign w:val="subscript"/>
                    </w:rPr>
                    <w:t>2.5</w:t>
                  </w:r>
                </w:p>
              </w:tc>
              <w:tc>
                <w:tcPr>
                  <w:tcW w:w="985" w:type="pct"/>
                  <w:vMerge w:val="continue"/>
                  <w:noWrap w:val="0"/>
                  <w:vAlign w:val="center"/>
                </w:tcPr>
                <w:p w14:paraId="507C88CB">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rPr>
                  </w:pPr>
                </w:p>
              </w:tc>
              <w:tc>
                <w:tcPr>
                  <w:tcW w:w="924" w:type="pct"/>
                  <w:noWrap w:val="0"/>
                  <w:vAlign w:val="center"/>
                </w:tcPr>
                <w:p w14:paraId="1009C817">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lang w:val="en-US" w:eastAsia="zh-CN"/>
                    </w:rPr>
                    <w:t>2</w:t>
                  </w:r>
                  <w:r>
                    <w:rPr>
                      <w:rFonts w:hint="eastAsia" w:cs="Times New Roman"/>
                      <w:color w:val="auto"/>
                      <w:sz w:val="21"/>
                      <w:szCs w:val="21"/>
                      <w:highlight w:val="none"/>
                      <w:u w:val="none"/>
                      <w:lang w:val="en-US" w:eastAsia="zh-CN"/>
                    </w:rPr>
                    <w:t>8</w:t>
                  </w:r>
                  <w:r>
                    <w:rPr>
                      <w:rFonts w:hint="default" w:ascii="Times New Roman" w:hAnsi="Times New Roman" w:eastAsia="宋体" w:cs="Times New Roman"/>
                      <w:color w:val="auto"/>
                      <w:sz w:val="21"/>
                      <w:szCs w:val="21"/>
                      <w:highlight w:val="none"/>
                      <w:u w:val="none"/>
                    </w:rPr>
                    <w:t>ug/m</w:t>
                  </w:r>
                  <w:r>
                    <w:rPr>
                      <w:rFonts w:hint="eastAsia" w:ascii="Times New Roman" w:hAnsi="Times New Roman" w:eastAsia="宋体" w:cs="Times New Roman"/>
                      <w:color w:val="auto"/>
                      <w:sz w:val="21"/>
                      <w:szCs w:val="21"/>
                      <w:highlight w:val="none"/>
                      <w:u w:val="none"/>
                      <w:vertAlign w:val="superscript"/>
                      <w:lang w:val="en-US" w:eastAsia="zh-CN"/>
                    </w:rPr>
                    <w:t>3</w:t>
                  </w:r>
                </w:p>
              </w:tc>
              <w:tc>
                <w:tcPr>
                  <w:tcW w:w="858" w:type="pct"/>
                  <w:noWrap w:val="0"/>
                  <w:vAlign w:val="center"/>
                </w:tcPr>
                <w:p w14:paraId="7C42BD17">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35ug/m</w:t>
                  </w:r>
                  <w:r>
                    <w:rPr>
                      <w:rFonts w:hint="eastAsia" w:ascii="Times New Roman" w:hAnsi="Times New Roman" w:eastAsia="宋体" w:cs="Times New Roman"/>
                      <w:color w:val="auto"/>
                      <w:sz w:val="21"/>
                      <w:szCs w:val="21"/>
                      <w:highlight w:val="none"/>
                      <w:u w:val="none"/>
                      <w:vertAlign w:val="superscript"/>
                      <w:lang w:val="en-US" w:eastAsia="zh-CN"/>
                    </w:rPr>
                    <w:t>3</w:t>
                  </w:r>
                </w:p>
              </w:tc>
              <w:tc>
                <w:tcPr>
                  <w:tcW w:w="750" w:type="pct"/>
                  <w:noWrap w:val="0"/>
                  <w:vAlign w:val="center"/>
                </w:tcPr>
                <w:p w14:paraId="727D7C8C">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lang w:val="en-US" w:eastAsia="zh-CN"/>
                    </w:rPr>
                  </w:pPr>
                  <w:r>
                    <w:rPr>
                      <w:rFonts w:hint="eastAsia" w:cs="Times New Roman"/>
                      <w:color w:val="auto"/>
                      <w:sz w:val="21"/>
                      <w:szCs w:val="21"/>
                      <w:highlight w:val="none"/>
                      <w:u w:val="none"/>
                      <w:lang w:val="en-US" w:eastAsia="zh-CN"/>
                    </w:rPr>
                    <w:t>80</w:t>
                  </w:r>
                </w:p>
              </w:tc>
              <w:tc>
                <w:tcPr>
                  <w:tcW w:w="662" w:type="pct"/>
                  <w:noWrap w:val="0"/>
                  <w:vAlign w:val="center"/>
                </w:tcPr>
                <w:p w14:paraId="1E2DA726">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达标</w:t>
                  </w:r>
                </w:p>
              </w:tc>
            </w:tr>
            <w:tr w14:paraId="0AA68A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19" w:type="pct"/>
                  <w:noWrap w:val="0"/>
                  <w:vAlign w:val="center"/>
                </w:tcPr>
                <w:p w14:paraId="67CCB300">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二氧化硫</w:t>
                  </w:r>
                </w:p>
              </w:tc>
              <w:tc>
                <w:tcPr>
                  <w:tcW w:w="985" w:type="pct"/>
                  <w:vMerge w:val="continue"/>
                  <w:noWrap w:val="0"/>
                  <w:vAlign w:val="center"/>
                </w:tcPr>
                <w:p w14:paraId="0AA2B8A3">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rPr>
                  </w:pPr>
                </w:p>
              </w:tc>
              <w:tc>
                <w:tcPr>
                  <w:tcW w:w="924" w:type="pct"/>
                  <w:noWrap w:val="0"/>
                  <w:vAlign w:val="center"/>
                </w:tcPr>
                <w:p w14:paraId="033041FA">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rPr>
                  </w:pPr>
                  <w:r>
                    <w:rPr>
                      <w:rFonts w:hint="eastAsia" w:cs="Times New Roman"/>
                      <w:color w:val="auto"/>
                      <w:sz w:val="21"/>
                      <w:szCs w:val="21"/>
                      <w:highlight w:val="none"/>
                      <w:u w:val="none"/>
                      <w:lang w:val="en-US" w:eastAsia="zh-CN"/>
                    </w:rPr>
                    <w:t>9</w:t>
                  </w:r>
                  <w:r>
                    <w:rPr>
                      <w:rFonts w:hint="default" w:ascii="Times New Roman" w:hAnsi="Times New Roman" w:eastAsia="宋体" w:cs="Times New Roman"/>
                      <w:color w:val="auto"/>
                      <w:sz w:val="21"/>
                      <w:szCs w:val="21"/>
                      <w:highlight w:val="none"/>
                      <w:u w:val="none"/>
                    </w:rPr>
                    <w:t>ug/m</w:t>
                  </w:r>
                  <w:r>
                    <w:rPr>
                      <w:rFonts w:hint="eastAsia" w:ascii="Times New Roman" w:hAnsi="Times New Roman" w:eastAsia="宋体" w:cs="Times New Roman"/>
                      <w:color w:val="auto"/>
                      <w:sz w:val="21"/>
                      <w:szCs w:val="21"/>
                      <w:highlight w:val="none"/>
                      <w:u w:val="none"/>
                      <w:vertAlign w:val="superscript"/>
                      <w:lang w:val="en-US" w:eastAsia="zh-CN"/>
                    </w:rPr>
                    <w:t>3</w:t>
                  </w:r>
                </w:p>
              </w:tc>
              <w:tc>
                <w:tcPr>
                  <w:tcW w:w="858" w:type="pct"/>
                  <w:noWrap w:val="0"/>
                  <w:vAlign w:val="center"/>
                </w:tcPr>
                <w:p w14:paraId="584E402F">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60ug/m</w:t>
                  </w:r>
                  <w:r>
                    <w:rPr>
                      <w:rFonts w:hint="eastAsia" w:ascii="Times New Roman" w:hAnsi="Times New Roman" w:eastAsia="宋体" w:cs="Times New Roman"/>
                      <w:color w:val="auto"/>
                      <w:sz w:val="21"/>
                      <w:szCs w:val="21"/>
                      <w:highlight w:val="none"/>
                      <w:u w:val="none"/>
                      <w:vertAlign w:val="superscript"/>
                      <w:lang w:val="en-US" w:eastAsia="zh-CN"/>
                    </w:rPr>
                    <w:t>3</w:t>
                  </w:r>
                </w:p>
              </w:tc>
              <w:tc>
                <w:tcPr>
                  <w:tcW w:w="750" w:type="pct"/>
                  <w:noWrap w:val="0"/>
                  <w:vAlign w:val="center"/>
                </w:tcPr>
                <w:p w14:paraId="2A100A27">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lang w:val="en-US" w:eastAsia="zh-CN"/>
                    </w:rPr>
                  </w:pPr>
                  <w:r>
                    <w:rPr>
                      <w:rFonts w:hint="eastAsia" w:cs="Times New Roman"/>
                      <w:color w:val="auto"/>
                      <w:sz w:val="21"/>
                      <w:szCs w:val="21"/>
                      <w:highlight w:val="none"/>
                      <w:u w:val="none"/>
                      <w:lang w:val="en-US" w:eastAsia="zh-CN"/>
                    </w:rPr>
                    <w:t>15</w:t>
                  </w:r>
                </w:p>
              </w:tc>
              <w:tc>
                <w:tcPr>
                  <w:tcW w:w="662" w:type="pct"/>
                  <w:noWrap w:val="0"/>
                  <w:vAlign w:val="center"/>
                </w:tcPr>
                <w:p w14:paraId="339AEC5C">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达标</w:t>
                  </w:r>
                </w:p>
              </w:tc>
            </w:tr>
            <w:tr w14:paraId="569216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19" w:type="pct"/>
                  <w:noWrap w:val="0"/>
                  <w:vAlign w:val="center"/>
                </w:tcPr>
                <w:p w14:paraId="29E17AB0">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二氧化氮</w:t>
                  </w:r>
                </w:p>
              </w:tc>
              <w:tc>
                <w:tcPr>
                  <w:tcW w:w="985" w:type="pct"/>
                  <w:vMerge w:val="continue"/>
                  <w:noWrap w:val="0"/>
                  <w:vAlign w:val="center"/>
                </w:tcPr>
                <w:p w14:paraId="6C9ACBB5">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rPr>
                  </w:pPr>
                </w:p>
              </w:tc>
              <w:tc>
                <w:tcPr>
                  <w:tcW w:w="924" w:type="pct"/>
                  <w:noWrap w:val="0"/>
                  <w:vAlign w:val="center"/>
                </w:tcPr>
                <w:p w14:paraId="50E324E2">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rPr>
                  </w:pPr>
                  <w:r>
                    <w:rPr>
                      <w:rFonts w:hint="eastAsia" w:cs="Times New Roman"/>
                      <w:color w:val="auto"/>
                      <w:sz w:val="21"/>
                      <w:szCs w:val="21"/>
                      <w:highlight w:val="none"/>
                      <w:u w:val="none"/>
                      <w:lang w:val="en-US" w:eastAsia="zh-CN"/>
                    </w:rPr>
                    <w:t>9</w:t>
                  </w:r>
                  <w:r>
                    <w:rPr>
                      <w:rFonts w:hint="default" w:ascii="Times New Roman" w:hAnsi="Times New Roman" w:eastAsia="宋体" w:cs="Times New Roman"/>
                      <w:color w:val="auto"/>
                      <w:sz w:val="21"/>
                      <w:szCs w:val="21"/>
                      <w:highlight w:val="none"/>
                      <w:u w:val="none"/>
                    </w:rPr>
                    <w:t>ug/m</w:t>
                  </w:r>
                  <w:r>
                    <w:rPr>
                      <w:rFonts w:hint="eastAsia" w:ascii="Times New Roman" w:hAnsi="Times New Roman" w:eastAsia="宋体" w:cs="Times New Roman"/>
                      <w:color w:val="auto"/>
                      <w:sz w:val="21"/>
                      <w:szCs w:val="21"/>
                      <w:highlight w:val="none"/>
                      <w:u w:val="none"/>
                      <w:vertAlign w:val="superscript"/>
                      <w:lang w:val="en-US" w:eastAsia="zh-CN"/>
                    </w:rPr>
                    <w:t>3</w:t>
                  </w:r>
                </w:p>
              </w:tc>
              <w:tc>
                <w:tcPr>
                  <w:tcW w:w="858" w:type="pct"/>
                  <w:noWrap w:val="0"/>
                  <w:vAlign w:val="center"/>
                </w:tcPr>
                <w:p w14:paraId="65C7942E">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40ug/m</w:t>
                  </w:r>
                  <w:r>
                    <w:rPr>
                      <w:rFonts w:hint="eastAsia" w:ascii="Times New Roman" w:hAnsi="Times New Roman" w:eastAsia="宋体" w:cs="Times New Roman"/>
                      <w:color w:val="auto"/>
                      <w:sz w:val="21"/>
                      <w:szCs w:val="21"/>
                      <w:highlight w:val="none"/>
                      <w:u w:val="none"/>
                      <w:vertAlign w:val="superscript"/>
                      <w:lang w:val="en-US" w:eastAsia="zh-CN"/>
                    </w:rPr>
                    <w:t>3</w:t>
                  </w:r>
                </w:p>
              </w:tc>
              <w:tc>
                <w:tcPr>
                  <w:tcW w:w="750" w:type="pct"/>
                  <w:noWrap w:val="0"/>
                  <w:vAlign w:val="center"/>
                </w:tcPr>
                <w:p w14:paraId="10EC89C9">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lang w:val="en-US" w:eastAsia="zh-CN"/>
                    </w:rPr>
                  </w:pPr>
                  <w:r>
                    <w:rPr>
                      <w:rFonts w:hint="eastAsia" w:cs="Times New Roman"/>
                      <w:color w:val="auto"/>
                      <w:sz w:val="21"/>
                      <w:szCs w:val="21"/>
                      <w:highlight w:val="none"/>
                      <w:u w:val="none"/>
                      <w:lang w:val="en-US" w:eastAsia="zh-CN"/>
                    </w:rPr>
                    <w:t>22.5</w:t>
                  </w:r>
                </w:p>
              </w:tc>
              <w:tc>
                <w:tcPr>
                  <w:tcW w:w="662" w:type="pct"/>
                  <w:noWrap w:val="0"/>
                  <w:vAlign w:val="center"/>
                </w:tcPr>
                <w:p w14:paraId="3F927606">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达标</w:t>
                  </w:r>
                </w:p>
              </w:tc>
            </w:tr>
            <w:tr w14:paraId="4C913C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19" w:type="pct"/>
                  <w:noWrap w:val="0"/>
                  <w:vAlign w:val="center"/>
                </w:tcPr>
                <w:p w14:paraId="323F6555">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臭氧</w:t>
                  </w:r>
                </w:p>
              </w:tc>
              <w:tc>
                <w:tcPr>
                  <w:tcW w:w="985" w:type="pct"/>
                  <w:noWrap w:val="0"/>
                  <w:vAlign w:val="center"/>
                </w:tcPr>
                <w:p w14:paraId="6DE33C78">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CO第95百分值</w:t>
                  </w:r>
                </w:p>
              </w:tc>
              <w:tc>
                <w:tcPr>
                  <w:tcW w:w="924" w:type="pct"/>
                  <w:noWrap w:val="0"/>
                  <w:vAlign w:val="center"/>
                </w:tcPr>
                <w:p w14:paraId="723C2292">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rPr>
                  </w:pPr>
                  <w:r>
                    <w:rPr>
                      <w:rFonts w:hint="eastAsia" w:cs="Times New Roman"/>
                      <w:color w:val="auto"/>
                      <w:sz w:val="21"/>
                      <w:szCs w:val="21"/>
                      <w:highlight w:val="none"/>
                      <w:u w:val="none"/>
                      <w:lang w:val="en-US" w:eastAsia="zh-CN"/>
                    </w:rPr>
                    <w:t>126</w:t>
                  </w:r>
                  <w:r>
                    <w:rPr>
                      <w:rFonts w:hint="default" w:ascii="Times New Roman" w:hAnsi="Times New Roman" w:eastAsia="宋体" w:cs="Times New Roman"/>
                      <w:color w:val="auto"/>
                      <w:sz w:val="21"/>
                      <w:szCs w:val="21"/>
                      <w:highlight w:val="none"/>
                      <w:u w:val="none"/>
                    </w:rPr>
                    <w:t>ug/m</w:t>
                  </w:r>
                  <w:r>
                    <w:rPr>
                      <w:rFonts w:hint="eastAsia" w:ascii="Times New Roman" w:hAnsi="Times New Roman" w:eastAsia="宋体" w:cs="Times New Roman"/>
                      <w:color w:val="auto"/>
                      <w:sz w:val="21"/>
                      <w:szCs w:val="21"/>
                      <w:highlight w:val="none"/>
                      <w:u w:val="none"/>
                      <w:vertAlign w:val="superscript"/>
                      <w:lang w:val="en-US" w:eastAsia="zh-CN"/>
                    </w:rPr>
                    <w:t>3</w:t>
                  </w:r>
                </w:p>
              </w:tc>
              <w:tc>
                <w:tcPr>
                  <w:tcW w:w="858" w:type="pct"/>
                  <w:noWrap w:val="0"/>
                  <w:vAlign w:val="center"/>
                </w:tcPr>
                <w:p w14:paraId="14D9DB96">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160ug/m</w:t>
                  </w:r>
                  <w:r>
                    <w:rPr>
                      <w:rFonts w:hint="eastAsia" w:ascii="Times New Roman" w:hAnsi="Times New Roman" w:eastAsia="宋体" w:cs="Times New Roman"/>
                      <w:color w:val="auto"/>
                      <w:sz w:val="21"/>
                      <w:szCs w:val="21"/>
                      <w:highlight w:val="none"/>
                      <w:u w:val="none"/>
                      <w:vertAlign w:val="superscript"/>
                      <w:lang w:val="en-US" w:eastAsia="zh-CN"/>
                    </w:rPr>
                    <w:t>3</w:t>
                  </w:r>
                </w:p>
              </w:tc>
              <w:tc>
                <w:tcPr>
                  <w:tcW w:w="750" w:type="pct"/>
                  <w:noWrap w:val="0"/>
                  <w:vAlign w:val="center"/>
                </w:tcPr>
                <w:p w14:paraId="52E3A4FC">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lang w:val="en-US" w:eastAsia="zh-CN"/>
                    </w:rPr>
                  </w:pPr>
                  <w:r>
                    <w:rPr>
                      <w:rFonts w:hint="eastAsia" w:cs="Times New Roman"/>
                      <w:color w:val="auto"/>
                      <w:sz w:val="21"/>
                      <w:szCs w:val="21"/>
                      <w:highlight w:val="none"/>
                      <w:u w:val="none"/>
                      <w:lang w:val="en-US" w:eastAsia="zh-CN"/>
                    </w:rPr>
                    <w:t>78.8</w:t>
                  </w:r>
                </w:p>
              </w:tc>
              <w:tc>
                <w:tcPr>
                  <w:tcW w:w="662" w:type="pct"/>
                  <w:noWrap w:val="0"/>
                  <w:vAlign w:val="center"/>
                </w:tcPr>
                <w:p w14:paraId="68B2CEEC">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达标</w:t>
                  </w:r>
                </w:p>
              </w:tc>
            </w:tr>
            <w:tr w14:paraId="4048DC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19" w:type="pct"/>
                  <w:noWrap w:val="0"/>
                  <w:vAlign w:val="center"/>
                </w:tcPr>
                <w:p w14:paraId="38D1FE3F">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一氧化碳</w:t>
                  </w:r>
                </w:p>
              </w:tc>
              <w:tc>
                <w:tcPr>
                  <w:tcW w:w="985" w:type="pct"/>
                  <w:noWrap w:val="0"/>
                  <w:vAlign w:val="center"/>
                </w:tcPr>
                <w:p w14:paraId="4F040DA6">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日最大8h第90百分位</w:t>
                  </w:r>
                </w:p>
              </w:tc>
              <w:tc>
                <w:tcPr>
                  <w:tcW w:w="924" w:type="pct"/>
                  <w:noWrap w:val="0"/>
                  <w:vAlign w:val="center"/>
                </w:tcPr>
                <w:p w14:paraId="1D826586">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rPr>
                  </w:pPr>
                  <w:r>
                    <w:rPr>
                      <w:rFonts w:hint="eastAsia" w:cs="Times New Roman"/>
                      <w:color w:val="auto"/>
                      <w:sz w:val="21"/>
                      <w:szCs w:val="21"/>
                      <w:highlight w:val="none"/>
                      <w:u w:val="none"/>
                      <w:lang w:val="en-US" w:eastAsia="zh-CN"/>
                    </w:rPr>
                    <w:t>1.0</w:t>
                  </w:r>
                  <w:r>
                    <w:rPr>
                      <w:rFonts w:hint="default" w:ascii="Times New Roman" w:hAnsi="Times New Roman" w:eastAsia="宋体" w:cs="Times New Roman"/>
                      <w:color w:val="auto"/>
                      <w:sz w:val="21"/>
                      <w:szCs w:val="21"/>
                      <w:highlight w:val="none"/>
                      <w:u w:val="none"/>
                    </w:rPr>
                    <w:t>mg/m</w:t>
                  </w:r>
                  <w:r>
                    <w:rPr>
                      <w:rFonts w:hint="eastAsia" w:ascii="Times New Roman" w:hAnsi="Times New Roman" w:eastAsia="宋体" w:cs="Times New Roman"/>
                      <w:color w:val="auto"/>
                      <w:sz w:val="21"/>
                      <w:szCs w:val="21"/>
                      <w:highlight w:val="none"/>
                      <w:u w:val="none"/>
                      <w:vertAlign w:val="superscript"/>
                      <w:lang w:val="en-US" w:eastAsia="zh-CN"/>
                    </w:rPr>
                    <w:t>3</w:t>
                  </w:r>
                </w:p>
              </w:tc>
              <w:tc>
                <w:tcPr>
                  <w:tcW w:w="858" w:type="pct"/>
                  <w:noWrap w:val="0"/>
                  <w:vAlign w:val="center"/>
                </w:tcPr>
                <w:p w14:paraId="6FBA3CBF">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4mg/m</w:t>
                  </w:r>
                  <w:r>
                    <w:rPr>
                      <w:rFonts w:hint="eastAsia" w:ascii="Times New Roman" w:hAnsi="Times New Roman" w:eastAsia="宋体" w:cs="Times New Roman"/>
                      <w:color w:val="auto"/>
                      <w:sz w:val="21"/>
                      <w:szCs w:val="21"/>
                      <w:highlight w:val="none"/>
                      <w:u w:val="none"/>
                      <w:vertAlign w:val="superscript"/>
                      <w:lang w:val="en-US" w:eastAsia="zh-CN"/>
                    </w:rPr>
                    <w:t>3</w:t>
                  </w:r>
                </w:p>
              </w:tc>
              <w:tc>
                <w:tcPr>
                  <w:tcW w:w="750" w:type="pct"/>
                  <w:noWrap w:val="0"/>
                  <w:vAlign w:val="center"/>
                </w:tcPr>
                <w:p w14:paraId="600138B0">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lang w:val="en-US" w:eastAsia="zh-CN"/>
                    </w:rPr>
                  </w:pPr>
                  <w:r>
                    <w:rPr>
                      <w:rFonts w:hint="eastAsia" w:cs="Times New Roman"/>
                      <w:color w:val="auto"/>
                      <w:sz w:val="21"/>
                      <w:szCs w:val="21"/>
                      <w:highlight w:val="none"/>
                      <w:u w:val="none"/>
                      <w:lang w:val="en-US" w:eastAsia="zh-CN"/>
                    </w:rPr>
                    <w:t>25</w:t>
                  </w:r>
                </w:p>
              </w:tc>
              <w:tc>
                <w:tcPr>
                  <w:tcW w:w="662" w:type="pct"/>
                  <w:noWrap w:val="0"/>
                  <w:vAlign w:val="center"/>
                </w:tcPr>
                <w:p w14:paraId="389591A5">
                  <w:pPr>
                    <w:spacing w:line="240" w:lineRule="auto"/>
                    <w:ind w:left="0" w:leftChars="0" w:firstLine="0" w:firstLineChars="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达标</w:t>
                  </w:r>
                </w:p>
              </w:tc>
            </w:tr>
          </w:tbl>
          <w:p w14:paraId="7B79E66A">
            <w:pPr>
              <w:keepNext w:val="0"/>
              <w:keepLines w:val="0"/>
              <w:widowControl/>
              <w:suppressLineNumbers w:val="0"/>
              <w:pBdr>
                <w:top w:val="none" w:color="auto" w:sz="0" w:space="0"/>
                <w:left w:val="none" w:color="auto" w:sz="0" w:space="0"/>
                <w:bottom w:val="none" w:color="auto" w:sz="0" w:space="0"/>
                <w:right w:val="none" w:color="auto" w:sz="0" w:space="0"/>
              </w:pBdr>
              <w:spacing w:before="120" w:beforeLines="50" w:beforeAutospacing="0" w:after="0" w:afterAutospacing="0" w:line="360" w:lineRule="auto"/>
              <w:ind w:left="0" w:right="0" w:firstLine="480" w:firstLineChars="200"/>
              <w:jc w:val="left"/>
              <w:rPr>
                <w:rFonts w:ascii="Times New Roman" w:hAnsi="Times New Roman" w:eastAsia="宋体" w:cs="Times New Roman"/>
                <w:bCs/>
                <w:color w:val="auto"/>
                <w:kern w:val="2"/>
                <w:sz w:val="24"/>
                <w:szCs w:val="24"/>
                <w:u w:val="none"/>
                <w:lang w:val="en-US" w:eastAsia="zh-CN" w:bidi="ar"/>
              </w:rPr>
            </w:pPr>
            <w:r>
              <w:rPr>
                <w:rFonts w:hint="default"/>
                <w:sz w:val="24"/>
                <w:u w:val="none"/>
              </w:rPr>
              <w:t>由表3-1可见，</w:t>
            </w:r>
            <w:r>
              <w:rPr>
                <w:rFonts w:hint="default"/>
                <w:sz w:val="24"/>
                <w:u w:val="none"/>
                <w:lang w:val="en-US" w:eastAsia="zh-CN"/>
              </w:rPr>
              <w:t>202</w:t>
            </w:r>
            <w:r>
              <w:rPr>
                <w:rFonts w:hint="eastAsia"/>
                <w:sz w:val="24"/>
                <w:u w:val="none"/>
                <w:lang w:val="en-US" w:eastAsia="zh-CN"/>
              </w:rPr>
              <w:t>4</w:t>
            </w:r>
            <w:r>
              <w:rPr>
                <w:rFonts w:hint="default"/>
                <w:sz w:val="24"/>
                <w:u w:val="none"/>
                <w:lang w:val="en-US" w:eastAsia="zh-CN"/>
              </w:rPr>
              <w:t>年</w:t>
            </w:r>
            <w:r>
              <w:rPr>
                <w:rFonts w:hint="eastAsia"/>
                <w:sz w:val="24"/>
                <w:u w:val="none"/>
                <w:lang w:val="en-US" w:eastAsia="zh-CN"/>
              </w:rPr>
              <w:t>东安县</w:t>
            </w:r>
            <w:r>
              <w:rPr>
                <w:rFonts w:hint="default"/>
                <w:sz w:val="24"/>
                <w:u w:val="none"/>
              </w:rPr>
              <w:t>常规大气污染物PM</w:t>
            </w:r>
            <w:r>
              <w:rPr>
                <w:rFonts w:hint="default"/>
                <w:sz w:val="24"/>
                <w:u w:val="none"/>
                <w:vertAlign w:val="subscript"/>
              </w:rPr>
              <w:t>10</w:t>
            </w:r>
            <w:r>
              <w:rPr>
                <w:rFonts w:hint="default"/>
                <w:sz w:val="24"/>
                <w:u w:val="none"/>
              </w:rPr>
              <w:t>、PM</w:t>
            </w:r>
            <w:r>
              <w:rPr>
                <w:rFonts w:hint="default"/>
                <w:sz w:val="24"/>
                <w:u w:val="none"/>
                <w:vertAlign w:val="subscript"/>
              </w:rPr>
              <w:t>2.5</w:t>
            </w:r>
            <w:r>
              <w:rPr>
                <w:rFonts w:hint="default"/>
                <w:sz w:val="24"/>
                <w:u w:val="none"/>
              </w:rPr>
              <w:t>、SO</w:t>
            </w:r>
            <w:r>
              <w:rPr>
                <w:rFonts w:hint="default"/>
                <w:sz w:val="24"/>
                <w:u w:val="none"/>
                <w:vertAlign w:val="subscript"/>
              </w:rPr>
              <w:t>2</w:t>
            </w:r>
            <w:r>
              <w:rPr>
                <w:rFonts w:hint="default"/>
                <w:sz w:val="24"/>
                <w:u w:val="none"/>
              </w:rPr>
              <w:t>、NO</w:t>
            </w:r>
            <w:r>
              <w:rPr>
                <w:rFonts w:hint="default"/>
                <w:sz w:val="24"/>
                <w:u w:val="none"/>
                <w:vertAlign w:val="subscript"/>
              </w:rPr>
              <w:t>2</w:t>
            </w:r>
            <w:r>
              <w:rPr>
                <w:rFonts w:hint="default"/>
                <w:sz w:val="24"/>
                <w:u w:val="none"/>
              </w:rPr>
              <w:t>、臭氧、一氧化碳监测因子的年评价指标满足《环境空气质量标准》</w:t>
            </w:r>
            <w:r>
              <w:rPr>
                <w:rFonts w:hint="default"/>
                <w:sz w:val="24"/>
                <w:u w:val="none"/>
                <w:lang w:eastAsia="zh-CN"/>
              </w:rPr>
              <w:t>（</w:t>
            </w:r>
            <w:r>
              <w:rPr>
                <w:rFonts w:hint="default"/>
                <w:sz w:val="24"/>
                <w:u w:val="none"/>
              </w:rPr>
              <w:t>GB3095-20</w:t>
            </w:r>
            <w:r>
              <w:rPr>
                <w:rFonts w:hint="eastAsia"/>
                <w:sz w:val="24"/>
                <w:u w:val="none"/>
                <w:lang w:val="en-US" w:eastAsia="zh-CN"/>
              </w:rPr>
              <w:t>26</w:t>
            </w:r>
            <w:r>
              <w:rPr>
                <w:rFonts w:hint="default"/>
                <w:sz w:val="24"/>
                <w:u w:val="none"/>
                <w:lang w:eastAsia="zh-CN"/>
              </w:rPr>
              <w:t>）</w:t>
            </w:r>
            <w:r>
              <w:rPr>
                <w:rFonts w:hint="eastAsia"/>
                <w:sz w:val="24"/>
                <w:u w:val="none"/>
                <w:lang w:val="en-US" w:eastAsia="zh-CN"/>
              </w:rPr>
              <w:t>中过渡期</w:t>
            </w:r>
            <w:r>
              <w:rPr>
                <w:rFonts w:hint="default"/>
                <w:sz w:val="24"/>
                <w:u w:val="none"/>
              </w:rPr>
              <w:t>二级标准年均值要求，因此</w:t>
            </w:r>
            <w:r>
              <w:rPr>
                <w:rFonts w:hint="default"/>
                <w:sz w:val="24"/>
                <w:u w:val="none"/>
                <w:lang w:eastAsia="zh-CN"/>
              </w:rPr>
              <w:t>，</w:t>
            </w:r>
            <w:r>
              <w:rPr>
                <w:rFonts w:hint="default"/>
                <w:sz w:val="24"/>
                <w:u w:val="none"/>
              </w:rPr>
              <w:t>项目所在区域为</w:t>
            </w:r>
            <w:r>
              <w:rPr>
                <w:rFonts w:hint="default"/>
                <w:sz w:val="24"/>
                <w:u w:val="none"/>
                <w:lang w:val="en-US" w:eastAsia="zh-CN"/>
              </w:rPr>
              <w:t>环境空气质量</w:t>
            </w:r>
            <w:r>
              <w:rPr>
                <w:rFonts w:hint="default"/>
                <w:sz w:val="24"/>
                <w:u w:val="none"/>
              </w:rPr>
              <w:t>达标区</w:t>
            </w:r>
            <w:r>
              <w:rPr>
                <w:rFonts w:hint="default"/>
                <w:sz w:val="24"/>
                <w:u w:val="none"/>
                <w:lang w:val="en-US" w:eastAsia="zh-CN"/>
              </w:rPr>
              <w:t>。</w:t>
            </w:r>
          </w:p>
          <w:p w14:paraId="3D22D03C">
            <w:pPr>
              <w:widowControl w:val="0"/>
              <w:spacing w:before="120" w:beforeLines="50"/>
              <w:ind w:firstLine="480"/>
              <w:rPr>
                <w:rFonts w:hint="default" w:ascii="Times New Roman" w:hAnsi="Times New Roman" w:cs="Times New Roman"/>
                <w:b/>
                <w:color w:val="auto"/>
                <w:sz w:val="24"/>
                <w:u w:val="none"/>
              </w:rPr>
            </w:pPr>
            <w:r>
              <w:rPr>
                <w:rFonts w:hint="default" w:ascii="Times New Roman" w:hAnsi="Times New Roman" w:cs="Times New Roman"/>
                <w:color w:val="auto"/>
                <w:sz w:val="24"/>
                <w:szCs w:val="24"/>
                <w:u w:val="none"/>
              </w:rPr>
              <w:t>②其他污染物环境质量现状</w:t>
            </w:r>
          </w:p>
          <w:p w14:paraId="529C4A2A">
            <w:pPr>
              <w:spacing w:before="120" w:beforeLines="50" w:line="360" w:lineRule="auto"/>
              <w:ind w:firstLine="480" w:firstLineChars="200"/>
              <w:rPr>
                <w:rFonts w:hint="default" w:ascii="Times New Roman" w:hAnsi="Times New Roman" w:cs="Times New Roman"/>
                <w:bCs/>
                <w:color w:val="auto"/>
                <w:sz w:val="24"/>
                <w:u w:val="none"/>
              </w:rPr>
            </w:pPr>
            <w:r>
              <w:rPr>
                <w:rFonts w:hint="default" w:ascii="Times New Roman" w:hAnsi="Times New Roman" w:cs="Times New Roman"/>
                <w:bCs/>
                <w:color w:val="auto"/>
                <w:sz w:val="24"/>
                <w:u w:val="none"/>
              </w:rPr>
              <w:t>本项目相关其他污染物为颗粒物和挥发性有机物，本项目引用《永州福源环保有限公司3000t/a危险废物集中收集贮存项目环境影响报告表》中所做监测。永州福源环保有限公司3000t/a危险废物集中收集贮存项目位于本项目西北680m，其周边环境空气质量可代表本项目所在区域环境空气质量。</w:t>
            </w:r>
          </w:p>
          <w:p w14:paraId="08AA27AB">
            <w:pPr>
              <w:spacing w:before="120" w:beforeLines="50" w:line="360" w:lineRule="auto"/>
              <w:ind w:firstLine="480" w:firstLineChars="200"/>
              <w:rPr>
                <w:rFonts w:hint="default" w:ascii="Times New Roman" w:hAnsi="Times New Roman" w:cs="Times New Roman"/>
                <w:bCs/>
                <w:color w:val="auto"/>
                <w:sz w:val="24"/>
                <w:u w:val="none"/>
              </w:rPr>
            </w:pPr>
            <w:r>
              <w:rPr>
                <w:rFonts w:hint="default" w:ascii="Times New Roman" w:hAnsi="Times New Roman" w:cs="Times New Roman"/>
                <w:bCs/>
                <w:color w:val="auto"/>
                <w:sz w:val="24"/>
                <w:u w:val="none"/>
              </w:rPr>
              <w:t>永州福源环保有限公司3000t/a危险废物集中收集贮存项目环境影响评价时委托湖南中额环保科技有限公司于2023年10月8-10日在其厂区周边敏感点设两个监测点进行了现状监测，监测内容包括其主要特征污染物颗粒物、总挥发性有机物、氨和硫化氢，本评价引用本项目相关的颗粒物、总挥发性有机物的监测数据进行评价，监测数据及评价结果见下表：</w:t>
            </w:r>
          </w:p>
          <w:p w14:paraId="413D1A46">
            <w:pPr>
              <w:snapToGrid w:val="0"/>
              <w:jc w:val="center"/>
              <w:rPr>
                <w:rFonts w:hint="default" w:ascii="Times New Roman" w:hAnsi="Times New Roman" w:cs="Times New Roman"/>
                <w:b/>
                <w:bCs/>
                <w:color w:val="auto"/>
                <w:szCs w:val="21"/>
                <w:u w:val="none"/>
              </w:rPr>
            </w:pPr>
            <w:r>
              <w:rPr>
                <w:rFonts w:hint="default" w:ascii="Times New Roman" w:hAnsi="Times New Roman" w:cs="Times New Roman"/>
                <w:b/>
                <w:bCs/>
                <w:color w:val="auto"/>
                <w:szCs w:val="21"/>
                <w:u w:val="none"/>
              </w:rPr>
              <w:t>表3-</w:t>
            </w:r>
            <w:r>
              <w:rPr>
                <w:rFonts w:hint="eastAsia" w:cs="Times New Roman"/>
                <w:b/>
                <w:bCs/>
                <w:color w:val="auto"/>
                <w:szCs w:val="21"/>
                <w:u w:val="none"/>
                <w:lang w:val="en-US" w:eastAsia="zh-CN"/>
              </w:rPr>
              <w:t>2</w:t>
            </w:r>
            <w:r>
              <w:rPr>
                <w:rFonts w:hint="default" w:ascii="Times New Roman" w:hAnsi="Times New Roman" w:cs="Times New Roman"/>
                <w:b/>
                <w:bCs/>
                <w:color w:val="auto"/>
                <w:szCs w:val="21"/>
                <w:u w:val="none"/>
              </w:rPr>
              <w:t>项目环境空气检测结果 浓度单位：mg/m</w:t>
            </w:r>
            <w:r>
              <w:rPr>
                <w:rFonts w:hint="default" w:ascii="Times New Roman" w:hAnsi="Times New Roman" w:cs="Times New Roman"/>
                <w:b/>
                <w:bCs/>
                <w:color w:val="auto"/>
                <w:szCs w:val="21"/>
                <w:u w:val="none"/>
                <w:vertAlign w:val="superscript"/>
              </w:rPr>
              <w:t>3</w:t>
            </w:r>
          </w:p>
          <w:tbl>
            <w:tblPr>
              <w:tblStyle w:val="38"/>
              <w:tblW w:w="82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1"/>
              <w:gridCol w:w="1152"/>
              <w:gridCol w:w="1123"/>
              <w:gridCol w:w="1338"/>
              <w:gridCol w:w="897"/>
              <w:gridCol w:w="1137"/>
              <w:gridCol w:w="764"/>
              <w:gridCol w:w="692"/>
            </w:tblGrid>
            <w:tr w14:paraId="28CC8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51" w:type="dxa"/>
                  <w:vMerge w:val="restart"/>
                  <w:tcBorders>
                    <w:top w:val="single" w:color="auto" w:sz="4" w:space="0"/>
                    <w:left w:val="single" w:color="auto" w:sz="4" w:space="0"/>
                    <w:bottom w:val="single" w:color="auto" w:sz="4" w:space="0"/>
                    <w:right w:val="single" w:color="auto" w:sz="4" w:space="0"/>
                  </w:tcBorders>
                  <w:vAlign w:val="center"/>
                </w:tcPr>
                <w:p w14:paraId="540B78FF">
                  <w:pPr>
                    <w:pStyle w:val="129"/>
                    <w:adjustRightInd w:val="0"/>
                    <w:snapToGrid w:val="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点位</w:t>
                  </w:r>
                </w:p>
                <w:p w14:paraId="04035AC4">
                  <w:pPr>
                    <w:pStyle w:val="129"/>
                    <w:adjustRightInd w:val="0"/>
                    <w:snapToGrid w:val="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名称</w:t>
                  </w:r>
                </w:p>
              </w:tc>
              <w:tc>
                <w:tcPr>
                  <w:tcW w:w="1152" w:type="dxa"/>
                  <w:vMerge w:val="restart"/>
                  <w:tcBorders>
                    <w:top w:val="single" w:color="auto" w:sz="4" w:space="0"/>
                    <w:left w:val="single" w:color="auto" w:sz="4" w:space="0"/>
                    <w:bottom w:val="single" w:color="auto" w:sz="4" w:space="0"/>
                    <w:right w:val="single" w:color="auto" w:sz="4" w:space="0"/>
                  </w:tcBorders>
                  <w:vAlign w:val="center"/>
                </w:tcPr>
                <w:p w14:paraId="08BA4C98">
                  <w:pPr>
                    <w:pStyle w:val="129"/>
                    <w:adjustRightInd w:val="0"/>
                    <w:snapToGrid w:val="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污染物</w:t>
                  </w:r>
                </w:p>
              </w:tc>
              <w:tc>
                <w:tcPr>
                  <w:tcW w:w="1123" w:type="dxa"/>
                  <w:vMerge w:val="restart"/>
                  <w:tcBorders>
                    <w:top w:val="single" w:color="auto" w:sz="4" w:space="0"/>
                    <w:left w:val="single" w:color="auto" w:sz="4" w:space="0"/>
                    <w:bottom w:val="single" w:color="auto" w:sz="4" w:space="0"/>
                    <w:right w:val="single" w:color="auto" w:sz="4" w:space="0"/>
                  </w:tcBorders>
                  <w:vAlign w:val="center"/>
                </w:tcPr>
                <w:p w14:paraId="2506E3A6">
                  <w:pPr>
                    <w:pStyle w:val="129"/>
                    <w:adjustRightInd w:val="0"/>
                    <w:snapToGrid w:val="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评价标准mg/m</w:t>
                  </w:r>
                  <w:r>
                    <w:rPr>
                      <w:rFonts w:hint="default" w:ascii="Times New Roman" w:hAnsi="Times New Roman" w:cs="Times New Roman"/>
                      <w:color w:val="auto"/>
                      <w:szCs w:val="21"/>
                      <w:u w:val="none"/>
                      <w:vertAlign w:val="superscript"/>
                    </w:rPr>
                    <w:t>3</w:t>
                  </w:r>
                </w:p>
              </w:tc>
              <w:tc>
                <w:tcPr>
                  <w:tcW w:w="1338" w:type="dxa"/>
                  <w:vMerge w:val="restart"/>
                  <w:tcBorders>
                    <w:top w:val="single" w:color="auto" w:sz="4" w:space="0"/>
                    <w:left w:val="single" w:color="auto" w:sz="4" w:space="0"/>
                    <w:bottom w:val="single" w:color="auto" w:sz="4" w:space="0"/>
                    <w:right w:val="single" w:color="auto" w:sz="4" w:space="0"/>
                  </w:tcBorders>
                  <w:vAlign w:val="center"/>
                </w:tcPr>
                <w:p w14:paraId="5ED37222">
                  <w:pPr>
                    <w:pStyle w:val="129"/>
                    <w:adjustRightInd w:val="0"/>
                    <w:snapToGrid w:val="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监测浓度范围mg/m</w:t>
                  </w:r>
                  <w:r>
                    <w:rPr>
                      <w:rFonts w:hint="default" w:ascii="Times New Roman" w:hAnsi="Times New Roman" w:cs="Times New Roman"/>
                      <w:color w:val="auto"/>
                      <w:szCs w:val="21"/>
                      <w:u w:val="none"/>
                      <w:vertAlign w:val="superscript"/>
                    </w:rPr>
                    <w:t>3</w:t>
                  </w:r>
                </w:p>
              </w:tc>
              <w:tc>
                <w:tcPr>
                  <w:tcW w:w="897" w:type="dxa"/>
                  <w:vMerge w:val="restart"/>
                  <w:tcBorders>
                    <w:top w:val="single" w:color="auto" w:sz="4" w:space="0"/>
                    <w:left w:val="single" w:color="auto" w:sz="4" w:space="0"/>
                    <w:bottom w:val="single" w:color="auto" w:sz="4" w:space="0"/>
                    <w:right w:val="single" w:color="auto" w:sz="4" w:space="0"/>
                  </w:tcBorders>
                  <w:vAlign w:val="center"/>
                </w:tcPr>
                <w:p w14:paraId="46A57599">
                  <w:pPr>
                    <w:pStyle w:val="129"/>
                    <w:adjustRightInd w:val="0"/>
                    <w:snapToGrid w:val="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平均值mg/m</w:t>
                  </w:r>
                  <w:r>
                    <w:rPr>
                      <w:rFonts w:hint="default" w:ascii="Times New Roman" w:hAnsi="Times New Roman" w:cs="Times New Roman"/>
                      <w:color w:val="auto"/>
                      <w:szCs w:val="21"/>
                      <w:u w:val="none"/>
                      <w:vertAlign w:val="superscript"/>
                    </w:rPr>
                    <w:t>3</w:t>
                  </w:r>
                </w:p>
              </w:tc>
              <w:tc>
                <w:tcPr>
                  <w:tcW w:w="1137" w:type="dxa"/>
                  <w:vMerge w:val="restart"/>
                  <w:tcBorders>
                    <w:top w:val="single" w:color="auto" w:sz="4" w:space="0"/>
                    <w:left w:val="single" w:color="auto" w:sz="4" w:space="0"/>
                    <w:bottom w:val="single" w:color="auto" w:sz="4" w:space="0"/>
                    <w:right w:val="single" w:color="auto" w:sz="4" w:space="0"/>
                  </w:tcBorders>
                  <w:vAlign w:val="center"/>
                </w:tcPr>
                <w:p w14:paraId="6C119548">
                  <w:pPr>
                    <w:pStyle w:val="129"/>
                    <w:adjustRightInd w:val="0"/>
                    <w:snapToGrid w:val="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最大浓度占标率/%</w:t>
                  </w:r>
                </w:p>
              </w:tc>
              <w:tc>
                <w:tcPr>
                  <w:tcW w:w="764" w:type="dxa"/>
                  <w:vMerge w:val="restart"/>
                  <w:tcBorders>
                    <w:top w:val="single" w:color="auto" w:sz="4" w:space="0"/>
                    <w:left w:val="single" w:color="auto" w:sz="4" w:space="0"/>
                    <w:bottom w:val="single" w:color="auto" w:sz="4" w:space="0"/>
                    <w:right w:val="single" w:color="auto" w:sz="4" w:space="0"/>
                  </w:tcBorders>
                  <w:vAlign w:val="center"/>
                </w:tcPr>
                <w:p w14:paraId="1064DE16">
                  <w:pPr>
                    <w:pStyle w:val="129"/>
                    <w:adjustRightInd w:val="0"/>
                    <w:snapToGrid w:val="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超标率/%</w:t>
                  </w:r>
                </w:p>
              </w:tc>
              <w:tc>
                <w:tcPr>
                  <w:tcW w:w="692" w:type="dxa"/>
                  <w:vMerge w:val="restart"/>
                  <w:tcBorders>
                    <w:top w:val="single" w:color="auto" w:sz="4" w:space="0"/>
                    <w:left w:val="single" w:color="auto" w:sz="4" w:space="0"/>
                    <w:bottom w:val="single" w:color="auto" w:sz="4" w:space="0"/>
                    <w:right w:val="single" w:color="auto" w:sz="4" w:space="0"/>
                  </w:tcBorders>
                  <w:vAlign w:val="center"/>
                </w:tcPr>
                <w:p w14:paraId="17D38A00">
                  <w:pPr>
                    <w:pStyle w:val="129"/>
                    <w:adjustRightInd w:val="0"/>
                    <w:snapToGrid w:val="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达标情况</w:t>
                  </w:r>
                </w:p>
              </w:tc>
            </w:tr>
            <w:tr w14:paraId="3509E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51" w:type="dxa"/>
                  <w:vMerge w:val="continue"/>
                  <w:tcBorders>
                    <w:top w:val="single" w:color="auto" w:sz="4" w:space="0"/>
                    <w:left w:val="single" w:color="auto" w:sz="4" w:space="0"/>
                    <w:bottom w:val="single" w:color="auto" w:sz="4" w:space="0"/>
                    <w:right w:val="single" w:color="auto" w:sz="4" w:space="0"/>
                  </w:tcBorders>
                  <w:vAlign w:val="center"/>
                </w:tcPr>
                <w:p w14:paraId="1552829D">
                  <w:pPr>
                    <w:pStyle w:val="129"/>
                    <w:adjustRightInd w:val="0"/>
                    <w:snapToGrid w:val="0"/>
                    <w:ind w:firstLine="400"/>
                    <w:jc w:val="center"/>
                    <w:rPr>
                      <w:rFonts w:hint="default" w:ascii="Times New Roman" w:hAnsi="Times New Roman" w:cs="Times New Roman"/>
                      <w:color w:val="auto"/>
                      <w:szCs w:val="21"/>
                      <w:u w:val="none"/>
                    </w:rPr>
                  </w:pPr>
                </w:p>
              </w:tc>
              <w:tc>
                <w:tcPr>
                  <w:tcW w:w="1152" w:type="dxa"/>
                  <w:vMerge w:val="continue"/>
                  <w:tcBorders>
                    <w:top w:val="single" w:color="auto" w:sz="4" w:space="0"/>
                    <w:left w:val="single" w:color="auto" w:sz="4" w:space="0"/>
                    <w:bottom w:val="single" w:color="auto" w:sz="4" w:space="0"/>
                    <w:right w:val="single" w:color="auto" w:sz="4" w:space="0"/>
                  </w:tcBorders>
                  <w:vAlign w:val="center"/>
                </w:tcPr>
                <w:p w14:paraId="397A30A5">
                  <w:pPr>
                    <w:pStyle w:val="129"/>
                    <w:adjustRightInd w:val="0"/>
                    <w:snapToGrid w:val="0"/>
                    <w:ind w:firstLine="400"/>
                    <w:jc w:val="center"/>
                    <w:rPr>
                      <w:rFonts w:hint="default" w:ascii="Times New Roman" w:hAnsi="Times New Roman" w:cs="Times New Roman"/>
                      <w:color w:val="auto"/>
                      <w:szCs w:val="21"/>
                      <w:u w:val="none"/>
                    </w:rPr>
                  </w:pPr>
                </w:p>
              </w:tc>
              <w:tc>
                <w:tcPr>
                  <w:tcW w:w="1123" w:type="dxa"/>
                  <w:vMerge w:val="continue"/>
                  <w:tcBorders>
                    <w:top w:val="single" w:color="auto" w:sz="4" w:space="0"/>
                    <w:left w:val="single" w:color="auto" w:sz="4" w:space="0"/>
                    <w:bottom w:val="single" w:color="auto" w:sz="4" w:space="0"/>
                    <w:right w:val="single" w:color="auto" w:sz="4" w:space="0"/>
                  </w:tcBorders>
                  <w:vAlign w:val="center"/>
                </w:tcPr>
                <w:p w14:paraId="417D5986">
                  <w:pPr>
                    <w:pStyle w:val="129"/>
                    <w:adjustRightInd w:val="0"/>
                    <w:snapToGrid w:val="0"/>
                    <w:ind w:firstLine="400"/>
                    <w:jc w:val="center"/>
                    <w:rPr>
                      <w:rFonts w:hint="default" w:ascii="Times New Roman" w:hAnsi="Times New Roman" w:cs="Times New Roman"/>
                      <w:color w:val="auto"/>
                      <w:szCs w:val="21"/>
                      <w:u w:val="none"/>
                    </w:rPr>
                  </w:pPr>
                </w:p>
              </w:tc>
              <w:tc>
                <w:tcPr>
                  <w:tcW w:w="1338" w:type="dxa"/>
                  <w:vMerge w:val="continue"/>
                  <w:tcBorders>
                    <w:top w:val="single" w:color="auto" w:sz="4" w:space="0"/>
                    <w:left w:val="single" w:color="auto" w:sz="4" w:space="0"/>
                    <w:bottom w:val="single" w:color="auto" w:sz="4" w:space="0"/>
                    <w:right w:val="single" w:color="auto" w:sz="4" w:space="0"/>
                  </w:tcBorders>
                  <w:vAlign w:val="center"/>
                </w:tcPr>
                <w:p w14:paraId="57212777">
                  <w:pPr>
                    <w:pStyle w:val="129"/>
                    <w:adjustRightInd w:val="0"/>
                    <w:snapToGrid w:val="0"/>
                    <w:ind w:firstLine="400"/>
                    <w:jc w:val="center"/>
                    <w:rPr>
                      <w:rFonts w:hint="default" w:ascii="Times New Roman" w:hAnsi="Times New Roman" w:cs="Times New Roman"/>
                      <w:color w:val="auto"/>
                      <w:szCs w:val="21"/>
                      <w:u w:val="none"/>
                    </w:rPr>
                  </w:pPr>
                </w:p>
              </w:tc>
              <w:tc>
                <w:tcPr>
                  <w:tcW w:w="897" w:type="dxa"/>
                  <w:vMerge w:val="continue"/>
                  <w:tcBorders>
                    <w:top w:val="single" w:color="auto" w:sz="4" w:space="0"/>
                    <w:left w:val="single" w:color="auto" w:sz="4" w:space="0"/>
                    <w:bottom w:val="single" w:color="auto" w:sz="4" w:space="0"/>
                    <w:right w:val="single" w:color="auto" w:sz="4" w:space="0"/>
                  </w:tcBorders>
                  <w:vAlign w:val="center"/>
                </w:tcPr>
                <w:p w14:paraId="27AB2624">
                  <w:pPr>
                    <w:pStyle w:val="129"/>
                    <w:adjustRightInd w:val="0"/>
                    <w:snapToGrid w:val="0"/>
                    <w:ind w:firstLine="400"/>
                    <w:jc w:val="center"/>
                    <w:rPr>
                      <w:rFonts w:hint="default" w:ascii="Times New Roman" w:hAnsi="Times New Roman" w:cs="Times New Roman"/>
                      <w:color w:val="auto"/>
                      <w:szCs w:val="21"/>
                      <w:u w:val="none"/>
                    </w:rPr>
                  </w:pPr>
                </w:p>
              </w:tc>
              <w:tc>
                <w:tcPr>
                  <w:tcW w:w="1137" w:type="dxa"/>
                  <w:vMerge w:val="continue"/>
                  <w:tcBorders>
                    <w:top w:val="single" w:color="auto" w:sz="4" w:space="0"/>
                    <w:left w:val="single" w:color="auto" w:sz="4" w:space="0"/>
                    <w:bottom w:val="single" w:color="auto" w:sz="4" w:space="0"/>
                    <w:right w:val="single" w:color="auto" w:sz="4" w:space="0"/>
                  </w:tcBorders>
                  <w:vAlign w:val="center"/>
                </w:tcPr>
                <w:p w14:paraId="0B0469E2">
                  <w:pPr>
                    <w:pStyle w:val="129"/>
                    <w:adjustRightInd w:val="0"/>
                    <w:snapToGrid w:val="0"/>
                    <w:ind w:firstLine="400"/>
                    <w:jc w:val="center"/>
                    <w:rPr>
                      <w:rFonts w:hint="default" w:ascii="Times New Roman" w:hAnsi="Times New Roman" w:cs="Times New Roman"/>
                      <w:color w:val="auto"/>
                      <w:szCs w:val="21"/>
                      <w:u w:val="none"/>
                    </w:rPr>
                  </w:pPr>
                </w:p>
              </w:tc>
              <w:tc>
                <w:tcPr>
                  <w:tcW w:w="764" w:type="dxa"/>
                  <w:vMerge w:val="continue"/>
                  <w:tcBorders>
                    <w:top w:val="single" w:color="auto" w:sz="4" w:space="0"/>
                    <w:left w:val="single" w:color="auto" w:sz="4" w:space="0"/>
                    <w:bottom w:val="single" w:color="auto" w:sz="4" w:space="0"/>
                    <w:right w:val="single" w:color="auto" w:sz="4" w:space="0"/>
                  </w:tcBorders>
                  <w:vAlign w:val="center"/>
                </w:tcPr>
                <w:p w14:paraId="31C2F834">
                  <w:pPr>
                    <w:pStyle w:val="129"/>
                    <w:adjustRightInd w:val="0"/>
                    <w:snapToGrid w:val="0"/>
                    <w:ind w:firstLine="400"/>
                    <w:jc w:val="center"/>
                    <w:rPr>
                      <w:rFonts w:hint="default" w:ascii="Times New Roman" w:hAnsi="Times New Roman" w:cs="Times New Roman"/>
                      <w:color w:val="auto"/>
                      <w:szCs w:val="21"/>
                      <w:u w:val="none"/>
                    </w:rPr>
                  </w:pPr>
                </w:p>
              </w:tc>
              <w:tc>
                <w:tcPr>
                  <w:tcW w:w="692" w:type="dxa"/>
                  <w:vMerge w:val="continue"/>
                  <w:tcBorders>
                    <w:top w:val="single" w:color="auto" w:sz="4" w:space="0"/>
                    <w:left w:val="single" w:color="auto" w:sz="4" w:space="0"/>
                    <w:bottom w:val="single" w:color="auto" w:sz="4" w:space="0"/>
                    <w:right w:val="single" w:color="auto" w:sz="4" w:space="0"/>
                  </w:tcBorders>
                  <w:vAlign w:val="center"/>
                </w:tcPr>
                <w:p w14:paraId="0C3A3EEA">
                  <w:pPr>
                    <w:pStyle w:val="129"/>
                    <w:adjustRightInd w:val="0"/>
                    <w:snapToGrid w:val="0"/>
                    <w:ind w:firstLine="400"/>
                    <w:jc w:val="center"/>
                    <w:rPr>
                      <w:rFonts w:hint="default" w:ascii="Times New Roman" w:hAnsi="Times New Roman" w:cs="Times New Roman"/>
                      <w:color w:val="auto"/>
                      <w:szCs w:val="21"/>
                      <w:u w:val="none"/>
                    </w:rPr>
                  </w:pPr>
                </w:p>
              </w:tc>
            </w:tr>
            <w:tr w14:paraId="35F9B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151" w:type="dxa"/>
                  <w:vMerge w:val="restart"/>
                  <w:tcBorders>
                    <w:top w:val="single" w:color="auto" w:sz="4" w:space="0"/>
                    <w:left w:val="single" w:color="auto" w:sz="4" w:space="0"/>
                    <w:right w:val="single" w:color="auto" w:sz="4" w:space="0"/>
                  </w:tcBorders>
                  <w:vAlign w:val="center"/>
                </w:tcPr>
                <w:p w14:paraId="7A6CD994">
                  <w:pPr>
                    <w:pStyle w:val="129"/>
                    <w:adjustRightInd w:val="0"/>
                    <w:snapToGrid w:val="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G1厂区东南面云生竹业公租房小区</w:t>
                  </w:r>
                </w:p>
              </w:tc>
              <w:tc>
                <w:tcPr>
                  <w:tcW w:w="1152" w:type="dxa"/>
                  <w:tcBorders>
                    <w:top w:val="single" w:color="auto" w:sz="4" w:space="0"/>
                    <w:left w:val="single" w:color="auto" w:sz="4" w:space="0"/>
                    <w:bottom w:val="single" w:color="auto" w:sz="4" w:space="0"/>
                    <w:right w:val="single" w:color="auto" w:sz="4" w:space="0"/>
                  </w:tcBorders>
                  <w:vAlign w:val="center"/>
                </w:tcPr>
                <w:p w14:paraId="7163D316">
                  <w:pPr>
                    <w:pStyle w:val="129"/>
                    <w:adjustRightInd w:val="0"/>
                    <w:snapToGrid w:val="0"/>
                    <w:ind w:firstLine="210" w:firstLineChars="10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颗粒物</w:t>
                  </w:r>
                </w:p>
              </w:tc>
              <w:tc>
                <w:tcPr>
                  <w:tcW w:w="1123" w:type="dxa"/>
                  <w:tcBorders>
                    <w:top w:val="single" w:color="auto" w:sz="4" w:space="0"/>
                    <w:left w:val="single" w:color="auto" w:sz="4" w:space="0"/>
                    <w:bottom w:val="single" w:color="auto" w:sz="4" w:space="0"/>
                    <w:right w:val="single" w:color="auto" w:sz="4" w:space="0"/>
                  </w:tcBorders>
                  <w:vAlign w:val="center"/>
                </w:tcPr>
                <w:p w14:paraId="47944F39">
                  <w:pPr>
                    <w:pStyle w:val="129"/>
                    <w:adjustRightInd w:val="0"/>
                    <w:snapToGrid w:val="0"/>
                    <w:ind w:firstLine="210" w:firstLineChars="100"/>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0.3</w:t>
                  </w:r>
                </w:p>
              </w:tc>
              <w:tc>
                <w:tcPr>
                  <w:tcW w:w="1338" w:type="dxa"/>
                  <w:tcBorders>
                    <w:top w:val="single" w:color="auto" w:sz="4" w:space="0"/>
                    <w:left w:val="single" w:color="auto" w:sz="4" w:space="0"/>
                    <w:bottom w:val="single" w:color="auto" w:sz="4" w:space="0"/>
                    <w:right w:val="single" w:color="auto" w:sz="4" w:space="0"/>
                  </w:tcBorders>
                  <w:vAlign w:val="center"/>
                </w:tcPr>
                <w:p w14:paraId="1BCAF5EB">
                  <w:pPr>
                    <w:pStyle w:val="129"/>
                    <w:adjustRightInd w:val="0"/>
                    <w:snapToGrid w:val="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0.081~0.086</w:t>
                  </w:r>
                </w:p>
              </w:tc>
              <w:tc>
                <w:tcPr>
                  <w:tcW w:w="897" w:type="dxa"/>
                  <w:tcBorders>
                    <w:top w:val="single" w:color="auto" w:sz="4" w:space="0"/>
                    <w:left w:val="single" w:color="auto" w:sz="4" w:space="0"/>
                    <w:bottom w:val="single" w:color="auto" w:sz="4" w:space="0"/>
                    <w:right w:val="single" w:color="auto" w:sz="4" w:space="0"/>
                  </w:tcBorders>
                  <w:vAlign w:val="center"/>
                </w:tcPr>
                <w:p w14:paraId="16B1D0E0">
                  <w:pPr>
                    <w:pStyle w:val="129"/>
                    <w:adjustRightInd w:val="0"/>
                    <w:snapToGrid w:val="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0.084</w:t>
                  </w:r>
                </w:p>
              </w:tc>
              <w:tc>
                <w:tcPr>
                  <w:tcW w:w="1137" w:type="dxa"/>
                  <w:tcBorders>
                    <w:top w:val="single" w:color="auto" w:sz="4" w:space="0"/>
                    <w:left w:val="single" w:color="auto" w:sz="4" w:space="0"/>
                    <w:bottom w:val="single" w:color="auto" w:sz="4" w:space="0"/>
                    <w:right w:val="single" w:color="auto" w:sz="4" w:space="0"/>
                  </w:tcBorders>
                  <w:vAlign w:val="center"/>
                </w:tcPr>
                <w:p w14:paraId="7875C10C">
                  <w:pPr>
                    <w:pStyle w:val="129"/>
                    <w:adjustRightInd w:val="0"/>
                    <w:snapToGrid w:val="0"/>
                    <w:ind w:firstLine="210" w:firstLineChars="10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28</w:t>
                  </w:r>
                </w:p>
              </w:tc>
              <w:tc>
                <w:tcPr>
                  <w:tcW w:w="764" w:type="dxa"/>
                  <w:tcBorders>
                    <w:top w:val="single" w:color="auto" w:sz="4" w:space="0"/>
                    <w:left w:val="single" w:color="auto" w:sz="4" w:space="0"/>
                    <w:bottom w:val="single" w:color="auto" w:sz="4" w:space="0"/>
                    <w:right w:val="single" w:color="auto" w:sz="4" w:space="0"/>
                  </w:tcBorders>
                  <w:vAlign w:val="center"/>
                </w:tcPr>
                <w:p w14:paraId="49902249">
                  <w:pPr>
                    <w:pStyle w:val="129"/>
                    <w:adjustRightInd w:val="0"/>
                    <w:snapToGrid w:val="0"/>
                    <w:ind w:firstLine="210" w:firstLineChars="100"/>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0</w:t>
                  </w:r>
                </w:p>
              </w:tc>
              <w:tc>
                <w:tcPr>
                  <w:tcW w:w="692" w:type="dxa"/>
                  <w:tcBorders>
                    <w:top w:val="single" w:color="auto" w:sz="4" w:space="0"/>
                    <w:left w:val="single" w:color="auto" w:sz="4" w:space="0"/>
                    <w:bottom w:val="single" w:color="auto" w:sz="4" w:space="0"/>
                    <w:right w:val="single" w:color="auto" w:sz="4" w:space="0"/>
                  </w:tcBorders>
                  <w:vAlign w:val="center"/>
                </w:tcPr>
                <w:p w14:paraId="3C555AA7">
                  <w:pPr>
                    <w:pStyle w:val="129"/>
                    <w:adjustRightInd w:val="0"/>
                    <w:snapToGrid w:val="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达标</w:t>
                  </w:r>
                </w:p>
              </w:tc>
            </w:tr>
            <w:tr w14:paraId="0B60A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151" w:type="dxa"/>
                  <w:vMerge w:val="continue"/>
                  <w:tcBorders>
                    <w:left w:val="single" w:color="auto" w:sz="4" w:space="0"/>
                    <w:right w:val="single" w:color="auto" w:sz="4" w:space="0"/>
                  </w:tcBorders>
                  <w:vAlign w:val="center"/>
                </w:tcPr>
                <w:p w14:paraId="26A7F868">
                  <w:pPr>
                    <w:pStyle w:val="129"/>
                    <w:adjustRightInd w:val="0"/>
                    <w:snapToGrid w:val="0"/>
                    <w:ind w:firstLine="400"/>
                    <w:jc w:val="center"/>
                    <w:rPr>
                      <w:rFonts w:hint="default" w:ascii="Times New Roman" w:hAnsi="Times New Roman" w:cs="Times New Roman"/>
                      <w:color w:val="auto"/>
                      <w:szCs w:val="21"/>
                      <w:u w:val="none"/>
                    </w:rPr>
                  </w:pPr>
                </w:p>
              </w:tc>
              <w:tc>
                <w:tcPr>
                  <w:tcW w:w="1152" w:type="dxa"/>
                  <w:tcBorders>
                    <w:top w:val="single" w:color="auto" w:sz="4" w:space="0"/>
                    <w:left w:val="single" w:color="auto" w:sz="4" w:space="0"/>
                    <w:bottom w:val="single" w:color="auto" w:sz="4" w:space="0"/>
                    <w:right w:val="single" w:color="auto" w:sz="4" w:space="0"/>
                  </w:tcBorders>
                  <w:vAlign w:val="center"/>
                </w:tcPr>
                <w:p w14:paraId="22918A09">
                  <w:pPr>
                    <w:pStyle w:val="129"/>
                    <w:adjustRightInd w:val="0"/>
                    <w:snapToGrid w:val="0"/>
                    <w:ind w:firstLine="210" w:firstLineChars="100"/>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TVOC</w:t>
                  </w:r>
                </w:p>
              </w:tc>
              <w:tc>
                <w:tcPr>
                  <w:tcW w:w="1123" w:type="dxa"/>
                  <w:tcBorders>
                    <w:top w:val="single" w:color="auto" w:sz="4" w:space="0"/>
                    <w:left w:val="single" w:color="auto" w:sz="4" w:space="0"/>
                    <w:bottom w:val="single" w:color="auto" w:sz="4" w:space="0"/>
                    <w:right w:val="single" w:color="auto" w:sz="4" w:space="0"/>
                  </w:tcBorders>
                  <w:vAlign w:val="center"/>
                </w:tcPr>
                <w:p w14:paraId="054AADA2">
                  <w:pPr>
                    <w:pStyle w:val="129"/>
                    <w:adjustRightInd w:val="0"/>
                    <w:snapToGrid w:val="0"/>
                    <w:ind w:firstLine="210" w:firstLineChars="100"/>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0.6</w:t>
                  </w:r>
                </w:p>
              </w:tc>
              <w:tc>
                <w:tcPr>
                  <w:tcW w:w="1338" w:type="dxa"/>
                  <w:tcBorders>
                    <w:top w:val="single" w:color="auto" w:sz="4" w:space="0"/>
                    <w:left w:val="single" w:color="auto" w:sz="4" w:space="0"/>
                    <w:bottom w:val="single" w:color="auto" w:sz="4" w:space="0"/>
                    <w:right w:val="single" w:color="auto" w:sz="4" w:space="0"/>
                  </w:tcBorders>
                  <w:vAlign w:val="center"/>
                </w:tcPr>
                <w:p w14:paraId="2FAD39A2">
                  <w:pPr>
                    <w:adjustRightInd w:val="0"/>
                    <w:snapToGrid w:val="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0.0083~0.0.0089</w:t>
                  </w:r>
                </w:p>
              </w:tc>
              <w:tc>
                <w:tcPr>
                  <w:tcW w:w="897" w:type="dxa"/>
                  <w:tcBorders>
                    <w:top w:val="single" w:color="auto" w:sz="4" w:space="0"/>
                    <w:left w:val="single" w:color="auto" w:sz="4" w:space="0"/>
                    <w:bottom w:val="single" w:color="auto" w:sz="4" w:space="0"/>
                    <w:right w:val="single" w:color="auto" w:sz="4" w:space="0"/>
                  </w:tcBorders>
                  <w:vAlign w:val="center"/>
                </w:tcPr>
                <w:p w14:paraId="29F58E87">
                  <w:pPr>
                    <w:pStyle w:val="129"/>
                    <w:adjustRightInd w:val="0"/>
                    <w:snapToGrid w:val="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0.0086</w:t>
                  </w:r>
                </w:p>
              </w:tc>
              <w:tc>
                <w:tcPr>
                  <w:tcW w:w="1137" w:type="dxa"/>
                  <w:tcBorders>
                    <w:top w:val="single" w:color="auto" w:sz="4" w:space="0"/>
                    <w:left w:val="single" w:color="auto" w:sz="4" w:space="0"/>
                    <w:bottom w:val="single" w:color="auto" w:sz="4" w:space="0"/>
                    <w:right w:val="single" w:color="auto" w:sz="4" w:space="0"/>
                  </w:tcBorders>
                  <w:vAlign w:val="center"/>
                </w:tcPr>
                <w:p w14:paraId="74D56762">
                  <w:pPr>
                    <w:pStyle w:val="129"/>
                    <w:adjustRightInd w:val="0"/>
                    <w:snapToGrid w:val="0"/>
                    <w:ind w:firstLine="210" w:firstLineChars="10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1.4</w:t>
                  </w:r>
                </w:p>
              </w:tc>
              <w:tc>
                <w:tcPr>
                  <w:tcW w:w="764" w:type="dxa"/>
                  <w:tcBorders>
                    <w:top w:val="single" w:color="auto" w:sz="4" w:space="0"/>
                    <w:left w:val="single" w:color="auto" w:sz="4" w:space="0"/>
                    <w:bottom w:val="single" w:color="auto" w:sz="4" w:space="0"/>
                    <w:right w:val="single" w:color="auto" w:sz="4" w:space="0"/>
                  </w:tcBorders>
                  <w:vAlign w:val="center"/>
                </w:tcPr>
                <w:p w14:paraId="7CDB4126">
                  <w:pPr>
                    <w:pStyle w:val="129"/>
                    <w:adjustRightInd w:val="0"/>
                    <w:snapToGrid w:val="0"/>
                    <w:ind w:firstLine="210" w:firstLineChars="100"/>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0</w:t>
                  </w:r>
                </w:p>
              </w:tc>
              <w:tc>
                <w:tcPr>
                  <w:tcW w:w="692" w:type="dxa"/>
                  <w:tcBorders>
                    <w:top w:val="single" w:color="auto" w:sz="4" w:space="0"/>
                    <w:left w:val="single" w:color="auto" w:sz="4" w:space="0"/>
                    <w:bottom w:val="single" w:color="auto" w:sz="4" w:space="0"/>
                    <w:right w:val="single" w:color="auto" w:sz="4" w:space="0"/>
                  </w:tcBorders>
                  <w:vAlign w:val="center"/>
                </w:tcPr>
                <w:p w14:paraId="405A38C1">
                  <w:pPr>
                    <w:pStyle w:val="129"/>
                    <w:adjustRightInd w:val="0"/>
                    <w:snapToGrid w:val="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达标</w:t>
                  </w:r>
                </w:p>
              </w:tc>
            </w:tr>
            <w:tr w14:paraId="13ABF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151" w:type="dxa"/>
                  <w:vMerge w:val="restart"/>
                  <w:tcBorders>
                    <w:top w:val="single" w:color="auto" w:sz="4" w:space="0"/>
                    <w:left w:val="single" w:color="auto" w:sz="4" w:space="0"/>
                    <w:right w:val="single" w:color="auto" w:sz="4" w:space="0"/>
                  </w:tcBorders>
                  <w:vAlign w:val="center"/>
                </w:tcPr>
                <w:p w14:paraId="591845DF">
                  <w:pPr>
                    <w:pStyle w:val="129"/>
                    <w:adjustRightInd w:val="0"/>
                    <w:snapToGrid w:val="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lang w:val="zh-CN"/>
                    </w:rPr>
                    <w:t>G2厂区西北面老孙家</w:t>
                  </w:r>
                </w:p>
              </w:tc>
              <w:tc>
                <w:tcPr>
                  <w:tcW w:w="1152" w:type="dxa"/>
                  <w:tcBorders>
                    <w:top w:val="single" w:color="auto" w:sz="4" w:space="0"/>
                    <w:left w:val="single" w:color="auto" w:sz="4" w:space="0"/>
                    <w:bottom w:val="single" w:color="auto" w:sz="4" w:space="0"/>
                    <w:right w:val="single" w:color="auto" w:sz="4" w:space="0"/>
                  </w:tcBorders>
                  <w:vAlign w:val="center"/>
                </w:tcPr>
                <w:p w14:paraId="1D3479F2">
                  <w:pPr>
                    <w:pStyle w:val="129"/>
                    <w:adjustRightInd w:val="0"/>
                    <w:snapToGrid w:val="0"/>
                    <w:ind w:firstLine="210" w:firstLineChars="10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颗粒物</w:t>
                  </w:r>
                </w:p>
              </w:tc>
              <w:tc>
                <w:tcPr>
                  <w:tcW w:w="1123" w:type="dxa"/>
                  <w:tcBorders>
                    <w:top w:val="single" w:color="auto" w:sz="4" w:space="0"/>
                    <w:left w:val="single" w:color="auto" w:sz="4" w:space="0"/>
                    <w:bottom w:val="single" w:color="auto" w:sz="4" w:space="0"/>
                    <w:right w:val="single" w:color="auto" w:sz="4" w:space="0"/>
                  </w:tcBorders>
                  <w:vAlign w:val="center"/>
                </w:tcPr>
                <w:p w14:paraId="5487E39F">
                  <w:pPr>
                    <w:pStyle w:val="129"/>
                    <w:adjustRightInd w:val="0"/>
                    <w:snapToGrid w:val="0"/>
                    <w:ind w:firstLine="210" w:firstLineChars="100"/>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0.3</w:t>
                  </w:r>
                </w:p>
              </w:tc>
              <w:tc>
                <w:tcPr>
                  <w:tcW w:w="1338" w:type="dxa"/>
                  <w:tcBorders>
                    <w:top w:val="single" w:color="auto" w:sz="4" w:space="0"/>
                    <w:left w:val="single" w:color="auto" w:sz="4" w:space="0"/>
                    <w:bottom w:val="single" w:color="auto" w:sz="4" w:space="0"/>
                    <w:right w:val="single" w:color="auto" w:sz="4" w:space="0"/>
                  </w:tcBorders>
                  <w:vAlign w:val="center"/>
                </w:tcPr>
                <w:p w14:paraId="7FA2938D">
                  <w:pPr>
                    <w:pStyle w:val="129"/>
                    <w:adjustRightInd w:val="0"/>
                    <w:snapToGrid w:val="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0.076~0.083</w:t>
                  </w:r>
                </w:p>
              </w:tc>
              <w:tc>
                <w:tcPr>
                  <w:tcW w:w="897" w:type="dxa"/>
                  <w:tcBorders>
                    <w:top w:val="single" w:color="auto" w:sz="4" w:space="0"/>
                    <w:left w:val="single" w:color="auto" w:sz="4" w:space="0"/>
                    <w:bottom w:val="single" w:color="auto" w:sz="4" w:space="0"/>
                    <w:right w:val="single" w:color="auto" w:sz="4" w:space="0"/>
                  </w:tcBorders>
                  <w:vAlign w:val="center"/>
                </w:tcPr>
                <w:p w14:paraId="25D6110B">
                  <w:pPr>
                    <w:pStyle w:val="129"/>
                    <w:adjustRightInd w:val="0"/>
                    <w:snapToGrid w:val="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0.080</w:t>
                  </w:r>
                </w:p>
              </w:tc>
              <w:tc>
                <w:tcPr>
                  <w:tcW w:w="1137" w:type="dxa"/>
                  <w:tcBorders>
                    <w:top w:val="single" w:color="auto" w:sz="4" w:space="0"/>
                    <w:left w:val="single" w:color="auto" w:sz="4" w:space="0"/>
                    <w:bottom w:val="single" w:color="auto" w:sz="4" w:space="0"/>
                    <w:right w:val="single" w:color="auto" w:sz="4" w:space="0"/>
                  </w:tcBorders>
                  <w:vAlign w:val="center"/>
                </w:tcPr>
                <w:p w14:paraId="57D05F94">
                  <w:pPr>
                    <w:pStyle w:val="129"/>
                    <w:adjustRightInd w:val="0"/>
                    <w:snapToGrid w:val="0"/>
                    <w:ind w:firstLine="210" w:firstLineChars="10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27</w:t>
                  </w:r>
                </w:p>
              </w:tc>
              <w:tc>
                <w:tcPr>
                  <w:tcW w:w="764" w:type="dxa"/>
                  <w:tcBorders>
                    <w:top w:val="single" w:color="auto" w:sz="4" w:space="0"/>
                    <w:left w:val="single" w:color="auto" w:sz="4" w:space="0"/>
                    <w:bottom w:val="single" w:color="auto" w:sz="4" w:space="0"/>
                    <w:right w:val="single" w:color="auto" w:sz="4" w:space="0"/>
                  </w:tcBorders>
                  <w:vAlign w:val="center"/>
                </w:tcPr>
                <w:p w14:paraId="6AC8D487">
                  <w:pPr>
                    <w:pStyle w:val="129"/>
                    <w:adjustRightInd w:val="0"/>
                    <w:snapToGrid w:val="0"/>
                    <w:ind w:firstLine="210" w:firstLineChars="100"/>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0</w:t>
                  </w:r>
                </w:p>
              </w:tc>
              <w:tc>
                <w:tcPr>
                  <w:tcW w:w="692" w:type="dxa"/>
                  <w:tcBorders>
                    <w:top w:val="single" w:color="auto" w:sz="4" w:space="0"/>
                    <w:left w:val="single" w:color="auto" w:sz="4" w:space="0"/>
                    <w:bottom w:val="single" w:color="auto" w:sz="4" w:space="0"/>
                    <w:right w:val="single" w:color="auto" w:sz="4" w:space="0"/>
                  </w:tcBorders>
                  <w:vAlign w:val="center"/>
                </w:tcPr>
                <w:p w14:paraId="517605A0">
                  <w:pPr>
                    <w:pStyle w:val="129"/>
                    <w:adjustRightInd w:val="0"/>
                    <w:snapToGrid w:val="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达标</w:t>
                  </w:r>
                </w:p>
              </w:tc>
            </w:tr>
            <w:tr w14:paraId="2DF77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51" w:type="dxa"/>
                  <w:vMerge w:val="continue"/>
                  <w:tcBorders>
                    <w:left w:val="single" w:color="auto" w:sz="4" w:space="0"/>
                    <w:right w:val="single" w:color="auto" w:sz="4" w:space="0"/>
                  </w:tcBorders>
                  <w:vAlign w:val="center"/>
                </w:tcPr>
                <w:p w14:paraId="245DB943">
                  <w:pPr>
                    <w:pStyle w:val="129"/>
                    <w:adjustRightInd w:val="0"/>
                    <w:snapToGrid w:val="0"/>
                    <w:ind w:firstLine="400"/>
                    <w:jc w:val="center"/>
                    <w:rPr>
                      <w:rFonts w:hint="default" w:ascii="Times New Roman" w:hAnsi="Times New Roman" w:cs="Times New Roman"/>
                      <w:color w:val="auto"/>
                      <w:szCs w:val="21"/>
                      <w:u w:val="none"/>
                    </w:rPr>
                  </w:pPr>
                </w:p>
              </w:tc>
              <w:tc>
                <w:tcPr>
                  <w:tcW w:w="1152" w:type="dxa"/>
                  <w:tcBorders>
                    <w:top w:val="single" w:color="auto" w:sz="4" w:space="0"/>
                    <w:left w:val="single" w:color="auto" w:sz="4" w:space="0"/>
                    <w:bottom w:val="single" w:color="auto" w:sz="4" w:space="0"/>
                    <w:right w:val="single" w:color="auto" w:sz="4" w:space="0"/>
                  </w:tcBorders>
                  <w:vAlign w:val="center"/>
                </w:tcPr>
                <w:p w14:paraId="54D6B682">
                  <w:pPr>
                    <w:pStyle w:val="129"/>
                    <w:adjustRightInd w:val="0"/>
                    <w:snapToGrid w:val="0"/>
                    <w:ind w:firstLine="210" w:firstLineChars="10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TVOC</w:t>
                  </w:r>
                </w:p>
              </w:tc>
              <w:tc>
                <w:tcPr>
                  <w:tcW w:w="1123" w:type="dxa"/>
                  <w:tcBorders>
                    <w:top w:val="single" w:color="auto" w:sz="4" w:space="0"/>
                    <w:left w:val="single" w:color="auto" w:sz="4" w:space="0"/>
                    <w:bottom w:val="single" w:color="auto" w:sz="4" w:space="0"/>
                    <w:right w:val="single" w:color="auto" w:sz="4" w:space="0"/>
                  </w:tcBorders>
                  <w:vAlign w:val="center"/>
                </w:tcPr>
                <w:p w14:paraId="137AA588">
                  <w:pPr>
                    <w:pStyle w:val="129"/>
                    <w:adjustRightInd w:val="0"/>
                    <w:snapToGrid w:val="0"/>
                    <w:ind w:firstLine="210" w:firstLineChars="100"/>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0.6</w:t>
                  </w:r>
                </w:p>
              </w:tc>
              <w:tc>
                <w:tcPr>
                  <w:tcW w:w="1338" w:type="dxa"/>
                  <w:tcBorders>
                    <w:top w:val="single" w:color="auto" w:sz="4" w:space="0"/>
                    <w:left w:val="single" w:color="auto" w:sz="4" w:space="0"/>
                    <w:bottom w:val="single" w:color="auto" w:sz="4" w:space="0"/>
                    <w:right w:val="single" w:color="auto" w:sz="4" w:space="0"/>
                  </w:tcBorders>
                  <w:vAlign w:val="center"/>
                </w:tcPr>
                <w:p w14:paraId="266B30A9">
                  <w:pPr>
                    <w:adjustRightInd w:val="0"/>
                    <w:snapToGrid w:val="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0.0074~0.0079</w:t>
                  </w:r>
                </w:p>
              </w:tc>
              <w:tc>
                <w:tcPr>
                  <w:tcW w:w="897" w:type="dxa"/>
                  <w:tcBorders>
                    <w:top w:val="single" w:color="auto" w:sz="4" w:space="0"/>
                    <w:left w:val="single" w:color="auto" w:sz="4" w:space="0"/>
                    <w:bottom w:val="single" w:color="auto" w:sz="4" w:space="0"/>
                    <w:right w:val="single" w:color="auto" w:sz="4" w:space="0"/>
                  </w:tcBorders>
                  <w:vAlign w:val="center"/>
                </w:tcPr>
                <w:p w14:paraId="4653E75F">
                  <w:pPr>
                    <w:pStyle w:val="129"/>
                    <w:adjustRightInd w:val="0"/>
                    <w:snapToGrid w:val="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0.0077</w:t>
                  </w:r>
                </w:p>
              </w:tc>
              <w:tc>
                <w:tcPr>
                  <w:tcW w:w="1137" w:type="dxa"/>
                  <w:tcBorders>
                    <w:top w:val="single" w:color="auto" w:sz="4" w:space="0"/>
                    <w:left w:val="single" w:color="auto" w:sz="4" w:space="0"/>
                    <w:bottom w:val="single" w:color="auto" w:sz="4" w:space="0"/>
                    <w:right w:val="single" w:color="auto" w:sz="4" w:space="0"/>
                  </w:tcBorders>
                  <w:vAlign w:val="center"/>
                </w:tcPr>
                <w:p w14:paraId="73738875">
                  <w:pPr>
                    <w:pStyle w:val="129"/>
                    <w:adjustRightInd w:val="0"/>
                    <w:snapToGrid w:val="0"/>
                    <w:ind w:firstLine="210" w:firstLineChars="10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1.3</w:t>
                  </w:r>
                </w:p>
              </w:tc>
              <w:tc>
                <w:tcPr>
                  <w:tcW w:w="764" w:type="dxa"/>
                  <w:tcBorders>
                    <w:top w:val="single" w:color="auto" w:sz="4" w:space="0"/>
                    <w:left w:val="single" w:color="auto" w:sz="4" w:space="0"/>
                    <w:bottom w:val="single" w:color="auto" w:sz="4" w:space="0"/>
                    <w:right w:val="single" w:color="auto" w:sz="4" w:space="0"/>
                  </w:tcBorders>
                  <w:vAlign w:val="center"/>
                </w:tcPr>
                <w:p w14:paraId="0416894D">
                  <w:pPr>
                    <w:pStyle w:val="129"/>
                    <w:adjustRightInd w:val="0"/>
                    <w:snapToGrid w:val="0"/>
                    <w:ind w:firstLine="210" w:firstLineChars="100"/>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0</w:t>
                  </w:r>
                </w:p>
              </w:tc>
              <w:tc>
                <w:tcPr>
                  <w:tcW w:w="692" w:type="dxa"/>
                  <w:tcBorders>
                    <w:top w:val="single" w:color="auto" w:sz="4" w:space="0"/>
                    <w:left w:val="single" w:color="auto" w:sz="4" w:space="0"/>
                    <w:bottom w:val="single" w:color="auto" w:sz="4" w:space="0"/>
                    <w:right w:val="single" w:color="auto" w:sz="4" w:space="0"/>
                  </w:tcBorders>
                  <w:vAlign w:val="center"/>
                </w:tcPr>
                <w:p w14:paraId="42011C14">
                  <w:pPr>
                    <w:pStyle w:val="129"/>
                    <w:adjustRightInd w:val="0"/>
                    <w:snapToGrid w:val="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达标</w:t>
                  </w:r>
                </w:p>
              </w:tc>
            </w:tr>
          </w:tbl>
          <w:p w14:paraId="2A6E8A36">
            <w:pPr>
              <w:pStyle w:val="124"/>
              <w:spacing w:line="460" w:lineRule="exact"/>
              <w:ind w:firstLine="480"/>
              <w:rPr>
                <w:rFonts w:hint="default" w:ascii="Times New Roman" w:hAnsi="Times New Roman" w:cs="Times New Roman"/>
                <w:color w:val="auto"/>
                <w:sz w:val="24"/>
                <w:u w:val="none"/>
              </w:rPr>
            </w:pPr>
            <w:r>
              <w:rPr>
                <w:rFonts w:hint="default" w:ascii="Times New Roman" w:hAnsi="Times New Roman" w:cs="Times New Roman"/>
                <w:color w:val="auto"/>
                <w:sz w:val="24"/>
                <w:u w:val="none"/>
              </w:rPr>
              <w:t>从上表可以看出，两个监测点环境空气中总挥发性有机物可满足《环境影响评价技术导则 大气环境》（HJ2.2-2018）中附录D标准限值，颗粒物可满足《环境空气质量标准》（GB3095-20</w:t>
            </w:r>
            <w:r>
              <w:rPr>
                <w:rFonts w:hint="default" w:ascii="Times New Roman" w:hAnsi="Times New Roman" w:cs="Times New Roman"/>
                <w:color w:val="auto"/>
                <w:sz w:val="24"/>
                <w:u w:val="none"/>
                <w:lang w:val="en-US" w:eastAsia="zh-CN"/>
              </w:rPr>
              <w:t>26</w:t>
            </w:r>
            <w:r>
              <w:rPr>
                <w:rFonts w:hint="default" w:ascii="Times New Roman" w:hAnsi="Times New Roman" w:cs="Times New Roman"/>
                <w:color w:val="auto"/>
                <w:sz w:val="24"/>
                <w:u w:val="none"/>
              </w:rPr>
              <w:t>)中二级标准限值。因此，本评价认为本项目拟建地周边环境空气质量较好。</w:t>
            </w:r>
          </w:p>
          <w:p w14:paraId="6FE08EEC">
            <w:pPr>
              <w:pStyle w:val="29"/>
              <w:widowControl w:val="0"/>
              <w:spacing w:line="460" w:lineRule="exact"/>
              <w:ind w:firstLine="474"/>
              <w:rPr>
                <w:rFonts w:hint="default" w:ascii="Times New Roman" w:hAnsi="Times New Roman" w:cs="Times New Roman"/>
                <w:color w:val="auto"/>
                <w:sz w:val="24"/>
                <w:u w:val="none"/>
                <w:lang w:val="en-GB"/>
              </w:rPr>
            </w:pPr>
            <w:r>
              <w:rPr>
                <w:rFonts w:hint="default" w:ascii="Times New Roman" w:hAnsi="Times New Roman" w:cs="Times New Roman"/>
                <w:b/>
                <w:color w:val="auto"/>
                <w:sz w:val="24"/>
                <w:u w:val="none"/>
              </w:rPr>
              <w:t>2、地表水质量现状</w:t>
            </w:r>
          </w:p>
          <w:p w14:paraId="7C9FBF03">
            <w:pPr>
              <w:pStyle w:val="124"/>
              <w:spacing w:line="460" w:lineRule="exact"/>
              <w:ind w:firstLine="480"/>
              <w:rPr>
                <w:rFonts w:hint="default" w:ascii="Times New Roman" w:hAnsi="Times New Roman" w:eastAsia="宋体" w:cs="Times New Roman"/>
                <w:color w:val="auto"/>
                <w:sz w:val="24"/>
                <w:u w:val="none"/>
              </w:rPr>
            </w:pPr>
            <w:r>
              <w:rPr>
                <w:rFonts w:hint="default" w:ascii="Times New Roman" w:hAnsi="Times New Roman" w:eastAsia="宋体" w:cs="Times New Roman"/>
                <w:color w:val="auto"/>
                <w:sz w:val="24"/>
                <w:u w:val="none"/>
              </w:rPr>
              <w:t>本次评价引用永州市生态环境局东安分局发布的《东安县环境质量简报（2025年6月）》中监测结果：“按照《地表水和污水监测技术规范》及《环境监测质量保证手册》（第二版）质量保证要求，本月4个地表水</w:t>
            </w:r>
          </w:p>
          <w:p w14:paraId="63FC67DE">
            <w:pPr>
              <w:pStyle w:val="124"/>
              <w:spacing w:line="460" w:lineRule="exact"/>
              <w:ind w:firstLine="480"/>
              <w:rPr>
                <w:rFonts w:hint="default" w:ascii="Times New Roman" w:hAnsi="Times New Roman" w:eastAsia="宋体" w:cs="Times New Roman"/>
                <w:color w:val="auto"/>
                <w:sz w:val="24"/>
                <w:u w:val="none"/>
              </w:rPr>
            </w:pPr>
            <w:r>
              <w:rPr>
                <w:rFonts w:hint="default" w:ascii="Times New Roman" w:hAnsi="Times New Roman" w:eastAsia="宋体" w:cs="Times New Roman"/>
                <w:color w:val="auto"/>
                <w:sz w:val="24"/>
                <w:u w:val="none"/>
              </w:rPr>
              <w:t>监测断面，其中，紫水河入湘江口、江边院子、大夫庙为3个国控监测断面，湘江伍家组为省控断面。地表水水质评价指标为：《地表水环境质量标准》（GB3838-2002）表1中除水温、总氮、粪大肠菌群以外的21项基本指标，所有断面均达标，达标率为100%，水质优。”因此，本评价认为项目拟建地周边地表水环境较好。</w:t>
            </w:r>
          </w:p>
          <w:p w14:paraId="072764E5">
            <w:pPr>
              <w:pStyle w:val="96"/>
              <w:spacing w:line="360" w:lineRule="auto"/>
              <w:ind w:left="107" w:firstLine="480"/>
              <w:rPr>
                <w:rFonts w:hint="default" w:ascii="Times New Roman" w:hAnsi="Times New Roman" w:cs="Times New Roman"/>
                <w:b/>
                <w:sz w:val="24"/>
                <w:u w:val="none"/>
              </w:rPr>
            </w:pPr>
            <w:r>
              <w:rPr>
                <w:rFonts w:hint="default" w:ascii="Times New Roman" w:hAnsi="Times New Roman" w:cs="Times New Roman"/>
                <w:b/>
                <w:sz w:val="24"/>
                <w:u w:val="none"/>
              </w:rPr>
              <w:t>3、项目所在地声环境质量现状</w:t>
            </w:r>
          </w:p>
          <w:p w14:paraId="65885154">
            <w:pPr>
              <w:autoSpaceDE w:val="0"/>
              <w:autoSpaceDN w:val="0"/>
              <w:adjustRightInd w:val="0"/>
              <w:snapToGrid w:val="0"/>
              <w:spacing w:line="360" w:lineRule="auto"/>
              <w:ind w:firstLine="480" w:firstLineChars="200"/>
              <w:rPr>
                <w:rFonts w:hint="default" w:ascii="Times New Roman" w:hAnsi="Times New Roman" w:eastAsia="宋体" w:cs="Times New Roman"/>
                <w:color w:val="auto"/>
                <w:kern w:val="0"/>
                <w:sz w:val="24"/>
                <w:szCs w:val="24"/>
                <w:u w:val="none" w:color="auto"/>
                <w:lang w:val="en-GB" w:eastAsia="zh-CN"/>
              </w:rPr>
            </w:pPr>
            <w:r>
              <w:rPr>
                <w:rFonts w:hint="default" w:ascii="Times New Roman" w:hAnsi="Times New Roman" w:eastAsia="宋体" w:cs="Times New Roman"/>
                <w:color w:val="auto"/>
                <w:kern w:val="0"/>
                <w:sz w:val="24"/>
                <w:szCs w:val="24"/>
                <w:u w:val="none" w:color="auto"/>
                <w:lang w:val="en-GB" w:eastAsia="zh-CN"/>
              </w:rPr>
              <w:t>本项目位于</w:t>
            </w:r>
            <w:r>
              <w:rPr>
                <w:rFonts w:hint="default" w:ascii="Times New Roman" w:hAnsi="Times New Roman" w:cs="Times New Roman"/>
                <w:color w:val="auto"/>
                <w:sz w:val="24"/>
                <w:u w:val="none"/>
                <w:lang w:eastAsia="zh-CN"/>
              </w:rPr>
              <w:t>永州市东安县白牙市镇工业园金源路3号厂房1楼</w:t>
            </w:r>
            <w:r>
              <w:rPr>
                <w:rFonts w:hint="default" w:ascii="Times New Roman" w:hAnsi="Times New Roman" w:eastAsia="宋体" w:cs="Times New Roman"/>
                <w:color w:val="auto"/>
                <w:kern w:val="0"/>
                <w:sz w:val="24"/>
                <w:szCs w:val="24"/>
                <w:u w:val="none" w:color="auto"/>
                <w:lang w:val="en-GB" w:eastAsia="zh-CN"/>
              </w:rPr>
              <w:t>，通过项目保护目标调查，本项目厂界外周边50米范围内不存在声环境保护目标。根据《建设项目环境影响报告表编制技术指南》（污染影响类）声环境：根据厂界外周边50米范围内存在声环境保护目标的建设项目，应监测保护目标声环境质量现状并评价达标情况。本项目厂界周边50米范围内无声环境保护目标，因此无需开展声环境质量现状监测。</w:t>
            </w:r>
          </w:p>
          <w:p w14:paraId="6A528AFA">
            <w:pPr>
              <w:pStyle w:val="96"/>
              <w:ind w:left="107" w:firstLine="480" w:firstLineChars="200"/>
              <w:rPr>
                <w:rFonts w:hint="default" w:ascii="Times New Roman" w:hAnsi="Times New Roman" w:cs="Times New Roman"/>
                <w:b/>
                <w:sz w:val="24"/>
              </w:rPr>
            </w:pPr>
            <w:r>
              <w:rPr>
                <w:rFonts w:hint="default" w:ascii="Times New Roman" w:hAnsi="Times New Roman" w:eastAsia="Times New Roman" w:cs="Times New Roman"/>
                <w:b/>
                <w:sz w:val="24"/>
              </w:rPr>
              <w:t>4</w:t>
            </w:r>
            <w:r>
              <w:rPr>
                <w:rFonts w:hint="default" w:ascii="Times New Roman" w:hAnsi="Times New Roman" w:cs="Times New Roman"/>
                <w:b/>
                <w:sz w:val="24"/>
              </w:rPr>
              <w:t>、生态环境</w:t>
            </w:r>
          </w:p>
          <w:p w14:paraId="4AC8A99E">
            <w:pPr>
              <w:pStyle w:val="96"/>
              <w:spacing w:before="173" w:line="374" w:lineRule="auto"/>
              <w:ind w:left="107" w:right="26" w:firstLine="508"/>
              <w:rPr>
                <w:rFonts w:hint="default" w:ascii="Times New Roman" w:hAnsi="Times New Roman" w:cs="Times New Roman"/>
                <w:sz w:val="24"/>
              </w:rPr>
            </w:pPr>
            <w:r>
              <w:rPr>
                <w:rFonts w:hint="default" w:ascii="Times New Roman" w:hAnsi="Times New Roman" w:cs="Times New Roman"/>
                <w:sz w:val="24"/>
              </w:rPr>
              <w:t>本项目总用地面积为</w:t>
            </w:r>
            <w:r>
              <w:rPr>
                <w:rFonts w:hint="default" w:ascii="Times New Roman" w:hAnsi="Times New Roman" w:eastAsia="宋体" w:cs="Times New Roman"/>
                <w:sz w:val="24"/>
                <w:lang w:val="en-US" w:eastAsia="zh-CN"/>
              </w:rPr>
              <w:t>2000</w:t>
            </w:r>
            <w:r>
              <w:rPr>
                <w:rFonts w:hint="default" w:ascii="Times New Roman" w:hAnsi="Times New Roman" w:eastAsia="Times New Roman" w:cs="Times New Roman"/>
                <w:sz w:val="24"/>
              </w:rPr>
              <w:t>m</w:t>
            </w:r>
            <w:r>
              <w:rPr>
                <w:rFonts w:hint="default" w:ascii="Times New Roman" w:hAnsi="Times New Roman" w:eastAsia="Times New Roman" w:cs="Times New Roman"/>
                <w:position w:val="8"/>
                <w:sz w:val="15"/>
              </w:rPr>
              <w:t>2</w:t>
            </w:r>
            <w:r>
              <w:rPr>
                <w:rFonts w:hint="default" w:ascii="Times New Roman" w:hAnsi="Times New Roman" w:cs="Times New Roman"/>
                <w:sz w:val="24"/>
              </w:rPr>
              <w:t>，项目占地为工业用地，不涉及基本农田及生态公益林，占地范围内有无生态保护目标。</w:t>
            </w:r>
          </w:p>
          <w:p w14:paraId="60C96958">
            <w:pPr>
              <w:pStyle w:val="96"/>
              <w:ind w:left="107" w:firstLine="480" w:firstLineChars="200"/>
              <w:rPr>
                <w:rFonts w:hint="default" w:ascii="Times New Roman" w:hAnsi="Times New Roman" w:cs="Times New Roman"/>
                <w:b/>
                <w:sz w:val="24"/>
              </w:rPr>
            </w:pPr>
            <w:r>
              <w:rPr>
                <w:rFonts w:hint="default" w:ascii="Times New Roman" w:hAnsi="Times New Roman" w:eastAsia="Times New Roman" w:cs="Times New Roman"/>
                <w:b/>
                <w:sz w:val="24"/>
              </w:rPr>
              <w:t>5</w:t>
            </w:r>
            <w:r>
              <w:rPr>
                <w:rFonts w:hint="default" w:ascii="Times New Roman" w:hAnsi="Times New Roman" w:cs="Times New Roman"/>
                <w:b/>
                <w:sz w:val="24"/>
              </w:rPr>
              <w:t>、地下水、土壤环境</w:t>
            </w:r>
          </w:p>
          <w:p w14:paraId="394D22D7">
            <w:pPr>
              <w:pStyle w:val="96"/>
              <w:spacing w:before="173" w:line="374" w:lineRule="auto"/>
              <w:ind w:left="107" w:right="-29" w:firstLine="508"/>
              <w:rPr>
                <w:rFonts w:hint="default" w:ascii="Times New Roman" w:hAnsi="Times New Roman" w:cs="Times New Roman"/>
                <w:sz w:val="24"/>
              </w:rPr>
            </w:pPr>
            <w:r>
              <w:rPr>
                <w:rFonts w:hint="default" w:ascii="Times New Roman" w:hAnsi="Times New Roman" w:cs="Times New Roman"/>
                <w:spacing w:val="-13"/>
                <w:sz w:val="24"/>
              </w:rPr>
              <w:t>根据《建设项目环境影响报告表编制技术指南</w:t>
            </w:r>
            <w:r>
              <w:rPr>
                <w:rFonts w:hint="default" w:ascii="Times New Roman" w:hAnsi="Times New Roman" w:cs="Times New Roman"/>
                <w:sz w:val="24"/>
              </w:rPr>
              <w:t>（污染影响类</w:t>
            </w:r>
            <w:r>
              <w:rPr>
                <w:rFonts w:hint="default" w:ascii="Times New Roman" w:hAnsi="Times New Roman" w:cs="Times New Roman"/>
                <w:spacing w:val="-142"/>
                <w:sz w:val="24"/>
              </w:rPr>
              <w:t>）</w:t>
            </w:r>
            <w:r>
              <w:rPr>
                <w:rFonts w:hint="default" w:ascii="Times New Roman" w:hAnsi="Times New Roman" w:cs="Times New Roman"/>
                <w:sz w:val="24"/>
              </w:rPr>
              <w:t>（试行</w:t>
            </w:r>
            <w:r>
              <w:rPr>
                <w:rFonts w:hint="default" w:ascii="Times New Roman" w:hAnsi="Times New Roman" w:cs="Times New Roman"/>
                <w:spacing w:val="-120"/>
                <w:sz w:val="24"/>
              </w:rPr>
              <w:t>）</w:t>
            </w:r>
            <w:r>
              <w:rPr>
                <w:rFonts w:hint="default" w:ascii="Times New Roman" w:hAnsi="Times New Roman" w:cs="Times New Roman"/>
                <w:sz w:val="24"/>
              </w:rPr>
              <w:t>》</w:t>
            </w:r>
            <w:r>
              <w:rPr>
                <w:rFonts w:hint="default" w:ascii="Times New Roman" w:hAnsi="Times New Roman" w:cs="Times New Roman"/>
                <w:spacing w:val="-4"/>
                <w:sz w:val="24"/>
              </w:rPr>
              <w:t>中提到的“原则上不开展环境质量现状调查。建设项目存在土壤、地下水</w:t>
            </w:r>
            <w:r>
              <w:rPr>
                <w:rFonts w:hint="default" w:ascii="Times New Roman" w:hAnsi="Times New Roman" w:cs="Times New Roman"/>
                <w:spacing w:val="-5"/>
                <w:sz w:val="24"/>
              </w:rPr>
              <w:t>环境污染途径的，应结合污染源、保护目标分布情况开展现状调查以留作</w:t>
            </w:r>
            <w:r>
              <w:rPr>
                <w:rFonts w:hint="default" w:ascii="Times New Roman" w:hAnsi="Times New Roman" w:cs="Times New Roman"/>
                <w:spacing w:val="-13"/>
                <w:sz w:val="24"/>
              </w:rPr>
              <w:t>背景值”。本项目位于工业园内，生产工艺主要污染物为有机废气、粉尘，不涉及土壤、地下水环境的污染途径，故可不开展现状调查。</w:t>
            </w:r>
          </w:p>
          <w:p w14:paraId="5ED79C70">
            <w:pPr>
              <w:pStyle w:val="96"/>
              <w:spacing w:before="1"/>
              <w:ind w:left="107"/>
              <w:rPr>
                <w:rFonts w:hint="default" w:ascii="Times New Roman" w:hAnsi="Times New Roman" w:cs="Times New Roman"/>
                <w:b/>
                <w:sz w:val="24"/>
              </w:rPr>
            </w:pPr>
            <w:r>
              <w:rPr>
                <w:rFonts w:hint="default" w:ascii="Times New Roman" w:hAnsi="Times New Roman" w:eastAsia="宋体" w:cs="Times New Roman"/>
                <w:b/>
                <w:sz w:val="24"/>
                <w:lang w:val="en-US" w:eastAsia="zh-CN"/>
              </w:rPr>
              <w:t xml:space="preserve">    6</w:t>
            </w:r>
            <w:r>
              <w:rPr>
                <w:rFonts w:hint="default" w:ascii="Times New Roman" w:hAnsi="Times New Roman" w:cs="Times New Roman"/>
                <w:b/>
                <w:sz w:val="24"/>
              </w:rPr>
              <w:t>、电磁辐射</w:t>
            </w:r>
          </w:p>
          <w:p w14:paraId="63C53ADD">
            <w:pPr>
              <w:spacing w:line="500" w:lineRule="exact"/>
              <w:ind w:firstLine="480" w:firstLineChars="200"/>
              <w:rPr>
                <w:rFonts w:hint="default" w:ascii="Times New Roman" w:hAnsi="Times New Roman" w:cs="Times New Roman"/>
                <w:color w:val="auto"/>
                <w:u w:val="none"/>
              </w:rPr>
            </w:pPr>
            <w:r>
              <w:rPr>
                <w:rFonts w:hint="default" w:ascii="Times New Roman" w:hAnsi="Times New Roman" w:cs="Times New Roman"/>
                <w:sz w:val="24"/>
              </w:rPr>
              <w:t>本项目不涉及电磁辐射设备，不进行电磁辐射影响评价，因此无需进行电磁辐射环境现状调查。</w:t>
            </w:r>
          </w:p>
        </w:tc>
      </w:tr>
      <w:tr w14:paraId="062BD9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457" w:hRule="atLeast"/>
          <w:jc w:val="center"/>
        </w:trPr>
        <w:tc>
          <w:tcPr>
            <w:tcW w:w="430" w:type="dxa"/>
            <w:vAlign w:val="center"/>
          </w:tcPr>
          <w:p w14:paraId="0393909D">
            <w:pPr>
              <w:adjustRightInd w:val="0"/>
              <w:snapToGrid w:val="0"/>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环境</w:t>
            </w:r>
          </w:p>
          <w:p w14:paraId="116BCED4">
            <w:pPr>
              <w:adjustRightInd w:val="0"/>
              <w:snapToGrid w:val="0"/>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保护</w:t>
            </w:r>
          </w:p>
          <w:p w14:paraId="552A803F">
            <w:pPr>
              <w:adjustRightInd w:val="0"/>
              <w:snapToGrid w:val="0"/>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目标</w:t>
            </w:r>
          </w:p>
        </w:tc>
        <w:tc>
          <w:tcPr>
            <w:tcW w:w="8631" w:type="dxa"/>
          </w:tcPr>
          <w:p w14:paraId="0151B293">
            <w:pPr>
              <w:pStyle w:val="48"/>
              <w:spacing w:line="360" w:lineRule="auto"/>
              <w:ind w:firstLine="480" w:firstLineChars="200"/>
              <w:rPr>
                <w:rFonts w:hint="default" w:ascii="Times New Roman" w:hAnsi="Times New Roman" w:cs="Times New Roman"/>
                <w:color w:val="auto"/>
                <w:u w:val="none"/>
              </w:rPr>
            </w:pPr>
            <w:r>
              <w:rPr>
                <w:rFonts w:hint="default" w:ascii="Times New Roman" w:hAnsi="Times New Roman" w:cs="Times New Roman"/>
                <w:color w:val="auto"/>
                <w:u w:val="none"/>
              </w:rPr>
              <w:t>本项目位于东安经济开发区白牙片区，据调查，项目厂界外500m范围内无自然保护区、风景名胜区等生态敏感区，无地下水集中式饮用水水源和热水、矿泉水、温泉等特殊地下水资源等；本次大气环境保护目标调查列出厂界外500m范围内居住区和城郊区中人群较集中的区域等保护目标的名称及与建设项目厂界位置关系；调查厂界外50m范围内声环境保护目标；确定需纳入保护的环境保护目标详见表3-</w:t>
            </w:r>
            <w:r>
              <w:rPr>
                <w:rFonts w:hint="eastAsia" w:ascii="Times New Roman" w:hAnsi="Times New Roman" w:cs="Times New Roman"/>
                <w:color w:val="auto"/>
                <w:u w:val="none"/>
                <w:lang w:val="en-US" w:eastAsia="zh-CN"/>
              </w:rPr>
              <w:t>3</w:t>
            </w:r>
            <w:r>
              <w:rPr>
                <w:rFonts w:hint="default" w:ascii="Times New Roman" w:hAnsi="Times New Roman" w:cs="Times New Roman"/>
                <w:color w:val="auto"/>
                <w:u w:val="none"/>
              </w:rPr>
              <w:t>。</w:t>
            </w:r>
          </w:p>
          <w:p w14:paraId="28141D9A">
            <w:pPr>
              <w:adjustRightInd w:val="0"/>
              <w:snapToGrid w:val="0"/>
              <w:jc w:val="center"/>
              <w:rPr>
                <w:rFonts w:hint="default" w:ascii="Times New Roman" w:hAnsi="Times New Roman" w:cs="Times New Roman"/>
                <w:b/>
                <w:color w:val="auto"/>
                <w:sz w:val="24"/>
                <w:u w:val="none"/>
              </w:rPr>
            </w:pPr>
            <w:r>
              <w:rPr>
                <w:rFonts w:hint="default" w:ascii="Times New Roman" w:hAnsi="Times New Roman" w:cs="Times New Roman"/>
                <w:b/>
                <w:color w:val="auto"/>
                <w:sz w:val="24"/>
                <w:u w:val="none"/>
              </w:rPr>
              <w:t>表3-</w:t>
            </w:r>
            <w:r>
              <w:rPr>
                <w:rFonts w:hint="eastAsia" w:cs="Times New Roman"/>
                <w:b/>
                <w:color w:val="auto"/>
                <w:sz w:val="24"/>
                <w:u w:val="none"/>
                <w:lang w:val="en-US" w:eastAsia="zh-CN"/>
              </w:rPr>
              <w:t>3</w:t>
            </w:r>
            <w:r>
              <w:rPr>
                <w:rFonts w:hint="default" w:ascii="Times New Roman" w:hAnsi="Times New Roman" w:cs="Times New Roman"/>
                <w:b/>
                <w:color w:val="auto"/>
                <w:sz w:val="24"/>
                <w:u w:val="none"/>
              </w:rPr>
              <w:t xml:space="preserve"> 主要环境保护目标与环境敏感点</w:t>
            </w:r>
          </w:p>
          <w:tbl>
            <w:tblPr>
              <w:tblStyle w:val="38"/>
              <w:tblW w:w="802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57"/>
              <w:gridCol w:w="1523"/>
              <w:gridCol w:w="1444"/>
              <w:gridCol w:w="1237"/>
              <w:gridCol w:w="1342"/>
              <w:gridCol w:w="1824"/>
            </w:tblGrid>
            <w:tr w14:paraId="4FD815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657" w:type="dxa"/>
                  <w:tcBorders>
                    <w:top w:val="single" w:color="auto" w:sz="6" w:space="0"/>
                    <w:left w:val="single" w:color="auto" w:sz="6" w:space="0"/>
                    <w:bottom w:val="single" w:color="auto" w:sz="6" w:space="0"/>
                    <w:right w:val="single" w:color="auto" w:sz="6" w:space="0"/>
                  </w:tcBorders>
                  <w:vAlign w:val="center"/>
                </w:tcPr>
                <w:p w14:paraId="19BA56E2">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类别</w:t>
                  </w:r>
                </w:p>
              </w:tc>
              <w:tc>
                <w:tcPr>
                  <w:tcW w:w="1523" w:type="dxa"/>
                  <w:tcBorders>
                    <w:top w:val="single" w:color="auto" w:sz="6" w:space="0"/>
                    <w:left w:val="single" w:color="auto" w:sz="6" w:space="0"/>
                    <w:bottom w:val="single" w:color="auto" w:sz="6" w:space="0"/>
                    <w:right w:val="single" w:color="auto" w:sz="6" w:space="0"/>
                  </w:tcBorders>
                  <w:vAlign w:val="center"/>
                </w:tcPr>
                <w:p w14:paraId="63A803A8">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坐标</w:t>
                  </w:r>
                </w:p>
              </w:tc>
              <w:tc>
                <w:tcPr>
                  <w:tcW w:w="1444" w:type="dxa"/>
                  <w:tcBorders>
                    <w:top w:val="single" w:color="auto" w:sz="6" w:space="0"/>
                    <w:left w:val="single" w:color="auto" w:sz="6" w:space="0"/>
                    <w:bottom w:val="single" w:color="auto" w:sz="6" w:space="0"/>
                    <w:right w:val="single" w:color="auto" w:sz="6" w:space="0"/>
                  </w:tcBorders>
                  <w:vAlign w:val="center"/>
                </w:tcPr>
                <w:p w14:paraId="28EB1329">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目标名称</w:t>
                  </w:r>
                </w:p>
              </w:tc>
              <w:tc>
                <w:tcPr>
                  <w:tcW w:w="1237" w:type="dxa"/>
                  <w:tcBorders>
                    <w:top w:val="single" w:color="auto" w:sz="6" w:space="0"/>
                    <w:left w:val="single" w:color="auto" w:sz="6" w:space="0"/>
                    <w:bottom w:val="single" w:color="auto" w:sz="6" w:space="0"/>
                    <w:right w:val="single" w:color="auto" w:sz="6" w:space="0"/>
                  </w:tcBorders>
                  <w:vAlign w:val="center"/>
                </w:tcPr>
                <w:p w14:paraId="3E252A28">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功能/规模</w:t>
                  </w:r>
                </w:p>
              </w:tc>
              <w:tc>
                <w:tcPr>
                  <w:tcW w:w="1342" w:type="dxa"/>
                  <w:tcBorders>
                    <w:top w:val="single" w:color="auto" w:sz="6" w:space="0"/>
                    <w:left w:val="single" w:color="auto" w:sz="6" w:space="0"/>
                    <w:bottom w:val="single" w:color="auto" w:sz="6" w:space="0"/>
                    <w:right w:val="single" w:color="auto" w:sz="6" w:space="0"/>
                  </w:tcBorders>
                  <w:vAlign w:val="center"/>
                </w:tcPr>
                <w:p w14:paraId="6FDCD494">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方位及厂界相对距离</w:t>
                  </w:r>
                </w:p>
              </w:tc>
              <w:tc>
                <w:tcPr>
                  <w:tcW w:w="1824" w:type="dxa"/>
                  <w:tcBorders>
                    <w:top w:val="single" w:color="auto" w:sz="6" w:space="0"/>
                    <w:left w:val="single" w:color="auto" w:sz="6" w:space="0"/>
                    <w:bottom w:val="single" w:color="auto" w:sz="6" w:space="0"/>
                    <w:right w:val="single" w:color="auto" w:sz="6" w:space="0"/>
                  </w:tcBorders>
                  <w:vAlign w:val="center"/>
                </w:tcPr>
                <w:p w14:paraId="715988A6">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保护级别</w:t>
                  </w:r>
                </w:p>
              </w:tc>
            </w:tr>
            <w:tr w14:paraId="0F7982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3" w:hRule="atLeast"/>
                <w:jc w:val="center"/>
              </w:trPr>
              <w:tc>
                <w:tcPr>
                  <w:tcW w:w="657" w:type="dxa"/>
                  <w:vMerge w:val="restart"/>
                  <w:tcBorders>
                    <w:top w:val="single" w:color="auto" w:sz="6" w:space="0"/>
                    <w:left w:val="single" w:color="auto" w:sz="6" w:space="0"/>
                    <w:right w:val="single" w:color="auto" w:sz="6" w:space="0"/>
                  </w:tcBorders>
                  <w:vAlign w:val="center"/>
                </w:tcPr>
                <w:p w14:paraId="103A648E">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大气环境</w:t>
                  </w:r>
                </w:p>
              </w:tc>
              <w:tc>
                <w:tcPr>
                  <w:tcW w:w="1523" w:type="dxa"/>
                  <w:tcBorders>
                    <w:top w:val="single" w:color="auto" w:sz="6" w:space="0"/>
                    <w:left w:val="single" w:color="auto" w:sz="6" w:space="0"/>
                    <w:bottom w:val="single" w:color="auto" w:sz="6" w:space="0"/>
                    <w:right w:val="single" w:color="auto" w:sz="6" w:space="0"/>
                  </w:tcBorders>
                </w:tcPr>
                <w:p w14:paraId="6C4C9690">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E111.336658</w:t>
                  </w:r>
                </w:p>
                <w:p w14:paraId="62F8FE42">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N26.401377</w:t>
                  </w:r>
                </w:p>
              </w:tc>
              <w:tc>
                <w:tcPr>
                  <w:tcW w:w="1444" w:type="dxa"/>
                  <w:tcBorders>
                    <w:top w:val="single" w:color="auto" w:sz="6" w:space="0"/>
                    <w:left w:val="single" w:color="auto" w:sz="6" w:space="0"/>
                    <w:bottom w:val="single" w:color="auto" w:sz="6" w:space="0"/>
                    <w:right w:val="single" w:color="auto" w:sz="6" w:space="0"/>
                  </w:tcBorders>
                  <w:vAlign w:val="center"/>
                </w:tcPr>
                <w:p w14:paraId="7AAACF95">
                  <w:pPr>
                    <w:spacing w:line="300" w:lineRule="exact"/>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东安发展集团有限公司</w:t>
                  </w:r>
                </w:p>
              </w:tc>
              <w:tc>
                <w:tcPr>
                  <w:tcW w:w="1237" w:type="dxa"/>
                  <w:tcBorders>
                    <w:top w:val="single" w:color="auto" w:sz="6" w:space="0"/>
                    <w:left w:val="single" w:color="auto" w:sz="6" w:space="0"/>
                    <w:bottom w:val="single" w:color="auto" w:sz="6" w:space="0"/>
                    <w:right w:val="single" w:color="auto" w:sz="6" w:space="0"/>
                  </w:tcBorders>
                  <w:vAlign w:val="center"/>
                </w:tcPr>
                <w:p w14:paraId="3812557D">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办公/30人</w:t>
                  </w:r>
                </w:p>
              </w:tc>
              <w:tc>
                <w:tcPr>
                  <w:tcW w:w="1342" w:type="dxa"/>
                  <w:tcBorders>
                    <w:top w:val="single" w:color="auto" w:sz="6" w:space="0"/>
                    <w:left w:val="single" w:color="auto" w:sz="6" w:space="0"/>
                    <w:bottom w:val="single" w:color="auto" w:sz="6" w:space="0"/>
                    <w:right w:val="single" w:color="auto" w:sz="6" w:space="0"/>
                  </w:tcBorders>
                  <w:vAlign w:val="center"/>
                </w:tcPr>
                <w:p w14:paraId="29830DA8">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lang w:val="en-US" w:eastAsia="zh-CN"/>
                    </w:rPr>
                    <w:t>东</w:t>
                  </w:r>
                  <w:r>
                    <w:rPr>
                      <w:rFonts w:hint="default" w:ascii="Times New Roman" w:hAnsi="Times New Roman" w:cs="Times New Roman"/>
                      <w:color w:val="auto"/>
                      <w:szCs w:val="21"/>
                      <w:u w:val="none"/>
                    </w:rPr>
                    <w:t>南，</w:t>
                  </w:r>
                  <w:r>
                    <w:rPr>
                      <w:rFonts w:hint="default" w:ascii="Times New Roman" w:hAnsi="Times New Roman" w:cs="Times New Roman"/>
                      <w:color w:val="auto"/>
                      <w:szCs w:val="21"/>
                      <w:u w:val="none"/>
                      <w:lang w:val="en-US" w:eastAsia="zh-CN"/>
                    </w:rPr>
                    <w:t>9</w:t>
                  </w:r>
                  <w:r>
                    <w:rPr>
                      <w:rFonts w:hint="default" w:ascii="Times New Roman" w:hAnsi="Times New Roman" w:cs="Times New Roman"/>
                      <w:color w:val="auto"/>
                      <w:szCs w:val="21"/>
                      <w:u w:val="none"/>
                    </w:rPr>
                    <w:t>5m</w:t>
                  </w:r>
                </w:p>
              </w:tc>
              <w:tc>
                <w:tcPr>
                  <w:tcW w:w="1824" w:type="dxa"/>
                  <w:vMerge w:val="restart"/>
                  <w:tcBorders>
                    <w:top w:val="single" w:color="auto" w:sz="6" w:space="0"/>
                    <w:left w:val="single" w:color="auto" w:sz="6" w:space="0"/>
                    <w:right w:val="single" w:color="auto" w:sz="6" w:space="0"/>
                  </w:tcBorders>
                  <w:vAlign w:val="center"/>
                </w:tcPr>
                <w:p w14:paraId="070AE770">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GB3095-20</w:t>
                  </w:r>
                  <w:r>
                    <w:rPr>
                      <w:rFonts w:hint="default" w:ascii="Times New Roman" w:hAnsi="Times New Roman" w:cs="Times New Roman"/>
                      <w:color w:val="auto"/>
                      <w:szCs w:val="21"/>
                      <w:u w:val="none"/>
                      <w:lang w:val="en-US" w:eastAsia="zh-CN"/>
                    </w:rPr>
                    <w:t>26</w:t>
                  </w:r>
                  <w:r>
                    <w:rPr>
                      <w:rFonts w:hint="default" w:ascii="Times New Roman" w:hAnsi="Times New Roman" w:cs="Times New Roman"/>
                      <w:color w:val="auto"/>
                      <w:szCs w:val="21"/>
                      <w:u w:val="none"/>
                    </w:rPr>
                    <w:t>中二级</w:t>
                  </w:r>
                </w:p>
              </w:tc>
            </w:tr>
            <w:tr w14:paraId="77748F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3" w:hRule="atLeast"/>
                <w:jc w:val="center"/>
              </w:trPr>
              <w:tc>
                <w:tcPr>
                  <w:tcW w:w="657" w:type="dxa"/>
                  <w:vMerge w:val="continue"/>
                  <w:tcBorders>
                    <w:left w:val="single" w:color="auto" w:sz="6" w:space="0"/>
                    <w:right w:val="single" w:color="auto" w:sz="6" w:space="0"/>
                  </w:tcBorders>
                  <w:vAlign w:val="center"/>
                </w:tcPr>
                <w:p w14:paraId="17078A2B">
                  <w:pPr>
                    <w:spacing w:line="300" w:lineRule="exact"/>
                    <w:jc w:val="center"/>
                    <w:rPr>
                      <w:rFonts w:hint="default" w:ascii="Times New Roman" w:hAnsi="Times New Roman" w:cs="Times New Roman"/>
                      <w:color w:val="auto"/>
                      <w:szCs w:val="21"/>
                      <w:u w:val="none"/>
                    </w:rPr>
                  </w:pPr>
                </w:p>
              </w:tc>
              <w:tc>
                <w:tcPr>
                  <w:tcW w:w="1523" w:type="dxa"/>
                  <w:tcBorders>
                    <w:top w:val="single" w:color="auto" w:sz="6" w:space="0"/>
                    <w:left w:val="single" w:color="auto" w:sz="6" w:space="0"/>
                    <w:bottom w:val="single" w:color="auto" w:sz="6" w:space="0"/>
                    <w:right w:val="single" w:color="auto" w:sz="6" w:space="0"/>
                  </w:tcBorders>
                </w:tcPr>
                <w:p w14:paraId="1806929A">
                  <w:pPr>
                    <w:spacing w:line="300" w:lineRule="exact"/>
                    <w:jc w:val="center"/>
                    <w:rPr>
                      <w:rFonts w:hint="default" w:ascii="Times New Roman" w:hAnsi="Times New Roman" w:eastAsia="宋体" w:cs="Times New Roman"/>
                      <w:color w:val="auto"/>
                      <w:szCs w:val="21"/>
                      <w:u w:val="none"/>
                      <w:lang w:val="en-US" w:eastAsia="zh-CN"/>
                    </w:rPr>
                  </w:pPr>
                  <w:r>
                    <w:rPr>
                      <w:rFonts w:hint="default" w:ascii="Times New Roman" w:hAnsi="Times New Roman" w:cs="Times New Roman"/>
                      <w:color w:val="auto"/>
                      <w:szCs w:val="21"/>
                      <w:u w:val="none"/>
                    </w:rPr>
                    <w:t>E111.33</w:t>
                  </w:r>
                  <w:r>
                    <w:rPr>
                      <w:rFonts w:hint="default" w:ascii="Times New Roman" w:hAnsi="Times New Roman" w:cs="Times New Roman"/>
                      <w:color w:val="auto"/>
                      <w:szCs w:val="21"/>
                      <w:u w:val="none"/>
                      <w:lang w:val="en-US" w:eastAsia="zh-CN"/>
                    </w:rPr>
                    <w:t>397</w:t>
                  </w:r>
                </w:p>
                <w:p w14:paraId="04E0E775">
                  <w:pPr>
                    <w:spacing w:line="300" w:lineRule="exact"/>
                    <w:jc w:val="center"/>
                    <w:rPr>
                      <w:rFonts w:hint="default" w:ascii="Times New Roman" w:hAnsi="Times New Roman" w:eastAsia="宋体" w:cs="Times New Roman"/>
                      <w:color w:val="auto"/>
                      <w:szCs w:val="21"/>
                      <w:u w:val="none"/>
                      <w:lang w:val="en-US" w:eastAsia="zh-CN"/>
                    </w:rPr>
                  </w:pPr>
                  <w:r>
                    <w:rPr>
                      <w:rFonts w:hint="default" w:ascii="Times New Roman" w:hAnsi="Times New Roman" w:cs="Times New Roman"/>
                      <w:color w:val="auto"/>
                      <w:szCs w:val="21"/>
                      <w:u w:val="none"/>
                    </w:rPr>
                    <w:t>N26.40</w:t>
                  </w:r>
                  <w:r>
                    <w:rPr>
                      <w:rFonts w:hint="default" w:ascii="Times New Roman" w:hAnsi="Times New Roman" w:cs="Times New Roman"/>
                      <w:color w:val="auto"/>
                      <w:szCs w:val="21"/>
                      <w:u w:val="none"/>
                      <w:lang w:val="en-US" w:eastAsia="zh-CN"/>
                    </w:rPr>
                    <w:t>5602</w:t>
                  </w:r>
                </w:p>
              </w:tc>
              <w:tc>
                <w:tcPr>
                  <w:tcW w:w="1444" w:type="dxa"/>
                  <w:tcBorders>
                    <w:top w:val="single" w:color="auto" w:sz="6" w:space="0"/>
                    <w:left w:val="single" w:color="auto" w:sz="6" w:space="0"/>
                    <w:bottom w:val="single" w:color="auto" w:sz="6" w:space="0"/>
                    <w:right w:val="single" w:color="auto" w:sz="6" w:space="0"/>
                  </w:tcBorders>
                  <w:vAlign w:val="center"/>
                </w:tcPr>
                <w:p w14:paraId="64C2817E">
                  <w:pPr>
                    <w:rPr>
                      <w:rFonts w:hint="default" w:ascii="Times New Roman" w:hAnsi="Times New Roman" w:eastAsia="宋体" w:cs="Times New Roman"/>
                      <w:color w:val="auto"/>
                      <w:szCs w:val="21"/>
                      <w:highlight w:val="none"/>
                      <w:u w:val="none"/>
                      <w:lang w:val="en-US" w:eastAsia="zh-CN"/>
                    </w:rPr>
                  </w:pPr>
                  <w:r>
                    <w:rPr>
                      <w:rFonts w:hint="default" w:ascii="Times New Roman" w:hAnsi="Times New Roman" w:eastAsia="宋体" w:cs="Times New Roman"/>
                      <w:highlight w:val="none"/>
                      <w:lang w:val="en-US" w:eastAsia="zh-CN"/>
                    </w:rPr>
                    <w:t>东安金桥中等职业学校</w:t>
                  </w:r>
                </w:p>
              </w:tc>
              <w:tc>
                <w:tcPr>
                  <w:tcW w:w="1237" w:type="dxa"/>
                  <w:tcBorders>
                    <w:top w:val="single" w:color="auto" w:sz="6" w:space="0"/>
                    <w:left w:val="single" w:color="auto" w:sz="6" w:space="0"/>
                    <w:bottom w:val="single" w:color="auto" w:sz="6" w:space="0"/>
                    <w:right w:val="single" w:color="auto" w:sz="6" w:space="0"/>
                  </w:tcBorders>
                  <w:vAlign w:val="center"/>
                </w:tcPr>
                <w:p w14:paraId="0E42C866">
                  <w:pPr>
                    <w:spacing w:line="300" w:lineRule="exact"/>
                    <w:jc w:val="center"/>
                    <w:rPr>
                      <w:rFonts w:hint="default" w:ascii="Times New Roman" w:hAnsi="Times New Roman" w:cs="Times New Roman"/>
                      <w:color w:val="auto"/>
                      <w:szCs w:val="21"/>
                      <w:highlight w:val="none"/>
                      <w:u w:val="none"/>
                    </w:rPr>
                  </w:pPr>
                  <w:r>
                    <w:rPr>
                      <w:rFonts w:hint="default" w:ascii="Times New Roman" w:hAnsi="Times New Roman" w:eastAsia="宋体" w:cs="Times New Roman"/>
                      <w:highlight w:val="none"/>
                      <w:lang w:val="en-US" w:eastAsia="zh-CN"/>
                    </w:rPr>
                    <w:t>中等职业学校</w:t>
                  </w:r>
                </w:p>
              </w:tc>
              <w:tc>
                <w:tcPr>
                  <w:tcW w:w="1342" w:type="dxa"/>
                  <w:tcBorders>
                    <w:top w:val="single" w:color="auto" w:sz="6" w:space="0"/>
                    <w:left w:val="single" w:color="auto" w:sz="6" w:space="0"/>
                    <w:bottom w:val="single" w:color="auto" w:sz="6" w:space="0"/>
                    <w:right w:val="single" w:color="auto" w:sz="6" w:space="0"/>
                  </w:tcBorders>
                  <w:vAlign w:val="center"/>
                </w:tcPr>
                <w:p w14:paraId="5D7B340F">
                  <w:pPr>
                    <w:spacing w:line="300" w:lineRule="exact"/>
                    <w:jc w:val="center"/>
                    <w:rPr>
                      <w:rFonts w:hint="default" w:ascii="Times New Roman" w:hAnsi="Times New Roman" w:cs="Times New Roman"/>
                      <w:color w:val="auto"/>
                      <w:szCs w:val="21"/>
                      <w:highlight w:val="none"/>
                      <w:u w:val="none"/>
                      <w:lang w:val="en-US" w:eastAsia="zh-CN"/>
                    </w:rPr>
                  </w:pPr>
                  <w:r>
                    <w:rPr>
                      <w:rFonts w:hint="default" w:ascii="Times New Roman" w:hAnsi="Times New Roman" w:cs="Times New Roman"/>
                      <w:color w:val="auto"/>
                      <w:szCs w:val="21"/>
                      <w:highlight w:val="none"/>
                      <w:u w:val="none"/>
                      <w:lang w:val="en-US" w:eastAsia="zh-CN"/>
                    </w:rPr>
                    <w:t>东，300</w:t>
                  </w:r>
                  <w:r>
                    <w:rPr>
                      <w:rFonts w:hint="default" w:ascii="Times New Roman" w:hAnsi="Times New Roman" w:cs="Times New Roman"/>
                      <w:color w:val="auto"/>
                      <w:szCs w:val="21"/>
                      <w:highlight w:val="none"/>
                      <w:u w:val="none"/>
                    </w:rPr>
                    <w:t>m</w:t>
                  </w:r>
                </w:p>
              </w:tc>
              <w:tc>
                <w:tcPr>
                  <w:tcW w:w="1824" w:type="dxa"/>
                  <w:vMerge w:val="continue"/>
                  <w:tcBorders>
                    <w:left w:val="single" w:color="auto" w:sz="6" w:space="0"/>
                    <w:right w:val="single" w:color="auto" w:sz="6" w:space="0"/>
                  </w:tcBorders>
                  <w:vAlign w:val="center"/>
                </w:tcPr>
                <w:p w14:paraId="491D7A00">
                  <w:pPr>
                    <w:spacing w:line="300" w:lineRule="exact"/>
                    <w:jc w:val="center"/>
                    <w:rPr>
                      <w:rFonts w:hint="default" w:ascii="Times New Roman" w:hAnsi="Times New Roman" w:cs="Times New Roman"/>
                      <w:color w:val="auto"/>
                      <w:szCs w:val="21"/>
                      <w:u w:val="none"/>
                    </w:rPr>
                  </w:pPr>
                </w:p>
              </w:tc>
            </w:tr>
            <w:tr w14:paraId="515F33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3" w:hRule="atLeast"/>
                <w:jc w:val="center"/>
              </w:trPr>
              <w:tc>
                <w:tcPr>
                  <w:tcW w:w="657" w:type="dxa"/>
                  <w:vMerge w:val="continue"/>
                  <w:tcBorders>
                    <w:left w:val="single" w:color="auto" w:sz="6" w:space="0"/>
                    <w:right w:val="single" w:color="auto" w:sz="6" w:space="0"/>
                  </w:tcBorders>
                  <w:vAlign w:val="center"/>
                </w:tcPr>
                <w:p w14:paraId="47BBAC29">
                  <w:pPr>
                    <w:spacing w:line="300" w:lineRule="exact"/>
                    <w:jc w:val="center"/>
                    <w:rPr>
                      <w:rFonts w:hint="default" w:ascii="Times New Roman" w:hAnsi="Times New Roman" w:cs="Times New Roman"/>
                      <w:color w:val="auto"/>
                      <w:szCs w:val="21"/>
                      <w:u w:val="none"/>
                    </w:rPr>
                  </w:pPr>
                </w:p>
              </w:tc>
              <w:tc>
                <w:tcPr>
                  <w:tcW w:w="1523" w:type="dxa"/>
                  <w:tcBorders>
                    <w:top w:val="single" w:color="auto" w:sz="6" w:space="0"/>
                    <w:left w:val="single" w:color="auto" w:sz="6" w:space="0"/>
                    <w:bottom w:val="single" w:color="auto" w:sz="6" w:space="0"/>
                    <w:right w:val="single" w:color="auto" w:sz="6" w:space="0"/>
                  </w:tcBorders>
                  <w:vAlign w:val="top"/>
                </w:tcPr>
                <w:p w14:paraId="2A7F3C22">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E111.339454</w:t>
                  </w:r>
                </w:p>
                <w:p w14:paraId="3B207140">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N26.400066</w:t>
                  </w:r>
                </w:p>
              </w:tc>
              <w:tc>
                <w:tcPr>
                  <w:tcW w:w="1444" w:type="dxa"/>
                  <w:tcBorders>
                    <w:top w:val="single" w:color="auto" w:sz="6" w:space="0"/>
                    <w:left w:val="single" w:color="auto" w:sz="6" w:space="0"/>
                    <w:bottom w:val="single" w:color="auto" w:sz="6" w:space="0"/>
                    <w:right w:val="single" w:color="auto" w:sz="6" w:space="0"/>
                  </w:tcBorders>
                  <w:vAlign w:val="center"/>
                </w:tcPr>
                <w:p w14:paraId="787C7E9A">
                  <w:pPr>
                    <w:spacing w:line="300" w:lineRule="exact"/>
                    <w:jc w:val="center"/>
                    <w:rPr>
                      <w:rFonts w:hint="default" w:ascii="Times New Roman" w:hAnsi="Times New Roman" w:eastAsia="宋体" w:cs="Times New Roman"/>
                      <w:highlight w:val="yellow"/>
                      <w:lang w:val="en-US" w:eastAsia="zh-CN"/>
                    </w:rPr>
                  </w:pPr>
                  <w:r>
                    <w:rPr>
                      <w:rFonts w:hint="default" w:ascii="Times New Roman" w:hAnsi="Times New Roman" w:cs="Times New Roman"/>
                      <w:color w:val="auto"/>
                      <w:szCs w:val="21"/>
                      <w:u w:val="none"/>
                    </w:rPr>
                    <w:t>盈凯国际新城</w:t>
                  </w:r>
                </w:p>
              </w:tc>
              <w:tc>
                <w:tcPr>
                  <w:tcW w:w="1237" w:type="dxa"/>
                  <w:tcBorders>
                    <w:top w:val="single" w:color="auto" w:sz="6" w:space="0"/>
                    <w:left w:val="single" w:color="auto" w:sz="6" w:space="0"/>
                    <w:bottom w:val="single" w:color="auto" w:sz="6" w:space="0"/>
                    <w:right w:val="single" w:color="auto" w:sz="6" w:space="0"/>
                  </w:tcBorders>
                  <w:vAlign w:val="center"/>
                </w:tcPr>
                <w:p w14:paraId="6BE46B15">
                  <w:pPr>
                    <w:spacing w:line="300" w:lineRule="exact"/>
                    <w:jc w:val="center"/>
                    <w:rPr>
                      <w:rFonts w:hint="default" w:ascii="Times New Roman" w:hAnsi="Times New Roman" w:eastAsia="宋体" w:cs="Times New Roman"/>
                      <w:highlight w:val="yellow"/>
                      <w:lang w:val="en-US" w:eastAsia="zh-CN"/>
                    </w:rPr>
                  </w:pPr>
                  <w:r>
                    <w:rPr>
                      <w:rFonts w:hint="default" w:ascii="Times New Roman" w:hAnsi="Times New Roman" w:cs="Times New Roman"/>
                      <w:color w:val="auto"/>
                      <w:szCs w:val="21"/>
                      <w:u w:val="none"/>
                    </w:rPr>
                    <w:t>居住/800人</w:t>
                  </w:r>
                </w:p>
              </w:tc>
              <w:tc>
                <w:tcPr>
                  <w:tcW w:w="1342" w:type="dxa"/>
                  <w:tcBorders>
                    <w:top w:val="single" w:color="auto" w:sz="6" w:space="0"/>
                    <w:left w:val="single" w:color="auto" w:sz="6" w:space="0"/>
                    <w:bottom w:val="single" w:color="auto" w:sz="6" w:space="0"/>
                    <w:right w:val="single" w:color="auto" w:sz="6" w:space="0"/>
                  </w:tcBorders>
                  <w:vAlign w:val="center"/>
                </w:tcPr>
                <w:p w14:paraId="6E182A44">
                  <w:pPr>
                    <w:spacing w:line="300" w:lineRule="exact"/>
                    <w:jc w:val="center"/>
                    <w:rPr>
                      <w:rFonts w:hint="default" w:ascii="Times New Roman" w:hAnsi="Times New Roman" w:cs="Times New Roman"/>
                      <w:color w:val="auto"/>
                      <w:szCs w:val="21"/>
                      <w:u w:val="none"/>
                      <w:lang w:val="en-US" w:eastAsia="zh-CN"/>
                    </w:rPr>
                  </w:pPr>
                  <w:r>
                    <w:rPr>
                      <w:rFonts w:hint="default" w:ascii="Times New Roman" w:hAnsi="Times New Roman" w:cs="Times New Roman"/>
                      <w:color w:val="auto"/>
                      <w:szCs w:val="21"/>
                      <w:u w:val="none"/>
                    </w:rPr>
                    <w:t>东南，</w:t>
                  </w:r>
                  <w:r>
                    <w:rPr>
                      <w:rFonts w:hint="default" w:ascii="Times New Roman" w:hAnsi="Times New Roman" w:cs="Times New Roman"/>
                      <w:color w:val="auto"/>
                      <w:szCs w:val="21"/>
                      <w:u w:val="none"/>
                      <w:lang w:val="en-US" w:eastAsia="zh-CN"/>
                    </w:rPr>
                    <w:t>40</w:t>
                  </w:r>
                  <w:r>
                    <w:rPr>
                      <w:rFonts w:hint="default" w:ascii="Times New Roman" w:hAnsi="Times New Roman" w:cs="Times New Roman"/>
                      <w:color w:val="auto"/>
                      <w:szCs w:val="21"/>
                      <w:u w:val="none"/>
                    </w:rPr>
                    <w:t>0m</w:t>
                  </w:r>
                </w:p>
              </w:tc>
              <w:tc>
                <w:tcPr>
                  <w:tcW w:w="1824" w:type="dxa"/>
                  <w:vMerge w:val="continue"/>
                  <w:tcBorders>
                    <w:left w:val="single" w:color="auto" w:sz="6" w:space="0"/>
                    <w:right w:val="single" w:color="auto" w:sz="6" w:space="0"/>
                  </w:tcBorders>
                  <w:vAlign w:val="center"/>
                </w:tcPr>
                <w:p w14:paraId="60F81C2D">
                  <w:pPr>
                    <w:spacing w:line="300" w:lineRule="exact"/>
                    <w:jc w:val="center"/>
                    <w:rPr>
                      <w:rFonts w:hint="default" w:ascii="Times New Roman" w:hAnsi="Times New Roman" w:cs="Times New Roman"/>
                      <w:color w:val="auto"/>
                      <w:szCs w:val="21"/>
                      <w:u w:val="none"/>
                    </w:rPr>
                  </w:pPr>
                </w:p>
              </w:tc>
            </w:tr>
            <w:tr w14:paraId="5BA8D5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3" w:hRule="atLeast"/>
                <w:jc w:val="center"/>
              </w:trPr>
              <w:tc>
                <w:tcPr>
                  <w:tcW w:w="657" w:type="dxa"/>
                  <w:vMerge w:val="continue"/>
                  <w:tcBorders>
                    <w:left w:val="single" w:color="auto" w:sz="6" w:space="0"/>
                    <w:right w:val="single" w:color="auto" w:sz="6" w:space="0"/>
                  </w:tcBorders>
                  <w:vAlign w:val="center"/>
                </w:tcPr>
                <w:p w14:paraId="0D952A13">
                  <w:pPr>
                    <w:spacing w:line="300" w:lineRule="exact"/>
                    <w:jc w:val="center"/>
                    <w:rPr>
                      <w:rFonts w:hint="default" w:ascii="Times New Roman" w:hAnsi="Times New Roman" w:cs="Times New Roman"/>
                      <w:color w:val="auto"/>
                      <w:szCs w:val="21"/>
                      <w:u w:val="none"/>
                    </w:rPr>
                  </w:pPr>
                </w:p>
              </w:tc>
              <w:tc>
                <w:tcPr>
                  <w:tcW w:w="1523" w:type="dxa"/>
                  <w:tcBorders>
                    <w:top w:val="single" w:color="auto" w:sz="6" w:space="0"/>
                    <w:left w:val="single" w:color="auto" w:sz="6" w:space="0"/>
                    <w:bottom w:val="single" w:color="auto" w:sz="6" w:space="0"/>
                    <w:right w:val="single" w:color="auto" w:sz="6" w:space="0"/>
                  </w:tcBorders>
                  <w:vAlign w:val="top"/>
                </w:tcPr>
                <w:p w14:paraId="52F69152">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E111.336033</w:t>
                  </w:r>
                </w:p>
                <w:p w14:paraId="19FBD2AF">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N26.398407</w:t>
                  </w:r>
                </w:p>
              </w:tc>
              <w:tc>
                <w:tcPr>
                  <w:tcW w:w="1444" w:type="dxa"/>
                  <w:tcBorders>
                    <w:top w:val="single" w:color="auto" w:sz="6" w:space="0"/>
                    <w:left w:val="single" w:color="auto" w:sz="6" w:space="0"/>
                    <w:bottom w:val="single" w:color="auto" w:sz="6" w:space="0"/>
                    <w:right w:val="single" w:color="auto" w:sz="6" w:space="0"/>
                  </w:tcBorders>
                  <w:vAlign w:val="center"/>
                </w:tcPr>
                <w:p w14:paraId="1CBAD376">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官田村居民点</w:t>
                  </w:r>
                </w:p>
              </w:tc>
              <w:tc>
                <w:tcPr>
                  <w:tcW w:w="1237" w:type="dxa"/>
                  <w:tcBorders>
                    <w:top w:val="single" w:color="auto" w:sz="6" w:space="0"/>
                    <w:left w:val="single" w:color="auto" w:sz="6" w:space="0"/>
                    <w:bottom w:val="single" w:color="auto" w:sz="6" w:space="0"/>
                    <w:right w:val="single" w:color="auto" w:sz="6" w:space="0"/>
                  </w:tcBorders>
                  <w:vAlign w:val="center"/>
                </w:tcPr>
                <w:p w14:paraId="422401C3">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居住/200人</w:t>
                  </w:r>
                </w:p>
              </w:tc>
              <w:tc>
                <w:tcPr>
                  <w:tcW w:w="1342" w:type="dxa"/>
                  <w:tcBorders>
                    <w:top w:val="single" w:color="auto" w:sz="6" w:space="0"/>
                    <w:left w:val="single" w:color="auto" w:sz="6" w:space="0"/>
                    <w:bottom w:val="single" w:color="auto" w:sz="6" w:space="0"/>
                    <w:right w:val="single" w:color="auto" w:sz="6" w:space="0"/>
                  </w:tcBorders>
                  <w:vAlign w:val="center"/>
                </w:tcPr>
                <w:p w14:paraId="6C1C02D9">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南面，</w:t>
                  </w:r>
                  <w:r>
                    <w:rPr>
                      <w:rFonts w:hint="default" w:ascii="Times New Roman" w:hAnsi="Times New Roman" w:cs="Times New Roman"/>
                      <w:color w:val="auto"/>
                      <w:szCs w:val="21"/>
                      <w:u w:val="none"/>
                      <w:lang w:val="en-US" w:eastAsia="zh-CN"/>
                    </w:rPr>
                    <w:t>38</w:t>
                  </w:r>
                  <w:r>
                    <w:rPr>
                      <w:rFonts w:hint="default" w:ascii="Times New Roman" w:hAnsi="Times New Roman" w:cs="Times New Roman"/>
                      <w:color w:val="auto"/>
                      <w:szCs w:val="21"/>
                      <w:u w:val="none"/>
                    </w:rPr>
                    <w:t>0m</w:t>
                  </w:r>
                </w:p>
              </w:tc>
              <w:tc>
                <w:tcPr>
                  <w:tcW w:w="1824" w:type="dxa"/>
                  <w:vMerge w:val="continue"/>
                  <w:tcBorders>
                    <w:left w:val="single" w:color="auto" w:sz="6" w:space="0"/>
                    <w:right w:val="single" w:color="auto" w:sz="6" w:space="0"/>
                  </w:tcBorders>
                  <w:vAlign w:val="center"/>
                </w:tcPr>
                <w:p w14:paraId="62F010ED">
                  <w:pPr>
                    <w:spacing w:line="300" w:lineRule="exact"/>
                    <w:jc w:val="center"/>
                    <w:rPr>
                      <w:rFonts w:hint="default" w:ascii="Times New Roman" w:hAnsi="Times New Roman" w:cs="Times New Roman"/>
                      <w:color w:val="auto"/>
                      <w:szCs w:val="21"/>
                      <w:u w:val="none"/>
                    </w:rPr>
                  </w:pPr>
                </w:p>
              </w:tc>
            </w:tr>
            <w:tr w14:paraId="61452B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3" w:hRule="atLeast"/>
                <w:jc w:val="center"/>
              </w:trPr>
              <w:tc>
                <w:tcPr>
                  <w:tcW w:w="657" w:type="dxa"/>
                  <w:vMerge w:val="continue"/>
                  <w:tcBorders>
                    <w:left w:val="single" w:color="auto" w:sz="6" w:space="0"/>
                    <w:right w:val="single" w:color="auto" w:sz="6" w:space="0"/>
                  </w:tcBorders>
                  <w:vAlign w:val="center"/>
                </w:tcPr>
                <w:p w14:paraId="5466D0C8">
                  <w:pPr>
                    <w:spacing w:line="300" w:lineRule="exact"/>
                    <w:jc w:val="center"/>
                    <w:rPr>
                      <w:rFonts w:hint="default" w:ascii="Times New Roman" w:hAnsi="Times New Roman" w:cs="Times New Roman"/>
                      <w:color w:val="auto"/>
                      <w:szCs w:val="21"/>
                      <w:u w:val="none"/>
                    </w:rPr>
                  </w:pPr>
                </w:p>
              </w:tc>
              <w:tc>
                <w:tcPr>
                  <w:tcW w:w="1523" w:type="dxa"/>
                  <w:tcBorders>
                    <w:top w:val="single" w:color="auto" w:sz="6" w:space="0"/>
                    <w:left w:val="single" w:color="auto" w:sz="6" w:space="0"/>
                    <w:bottom w:val="single" w:color="auto" w:sz="6" w:space="0"/>
                    <w:right w:val="single" w:color="auto" w:sz="6" w:space="0"/>
                  </w:tcBorders>
                  <w:vAlign w:val="top"/>
                </w:tcPr>
                <w:p w14:paraId="349053E3">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E111.332145</w:t>
                  </w:r>
                </w:p>
                <w:p w14:paraId="48625E99">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N26.399116</w:t>
                  </w:r>
                </w:p>
              </w:tc>
              <w:tc>
                <w:tcPr>
                  <w:tcW w:w="1444" w:type="dxa"/>
                  <w:tcBorders>
                    <w:top w:val="single" w:color="auto" w:sz="6" w:space="0"/>
                    <w:left w:val="single" w:color="auto" w:sz="6" w:space="0"/>
                    <w:bottom w:val="single" w:color="auto" w:sz="6" w:space="0"/>
                    <w:right w:val="single" w:color="auto" w:sz="6" w:space="0"/>
                  </w:tcBorders>
                  <w:vAlign w:val="center"/>
                </w:tcPr>
                <w:p w14:paraId="01EE6EE8">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田园都市</w:t>
                  </w:r>
                </w:p>
              </w:tc>
              <w:tc>
                <w:tcPr>
                  <w:tcW w:w="1237" w:type="dxa"/>
                  <w:tcBorders>
                    <w:top w:val="single" w:color="auto" w:sz="6" w:space="0"/>
                    <w:left w:val="single" w:color="auto" w:sz="6" w:space="0"/>
                    <w:bottom w:val="single" w:color="auto" w:sz="6" w:space="0"/>
                    <w:right w:val="single" w:color="auto" w:sz="6" w:space="0"/>
                  </w:tcBorders>
                  <w:vAlign w:val="center"/>
                </w:tcPr>
                <w:p w14:paraId="513C66E5">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居住/2000人</w:t>
                  </w:r>
                </w:p>
              </w:tc>
              <w:tc>
                <w:tcPr>
                  <w:tcW w:w="1342" w:type="dxa"/>
                  <w:tcBorders>
                    <w:top w:val="single" w:color="auto" w:sz="6" w:space="0"/>
                    <w:left w:val="single" w:color="auto" w:sz="6" w:space="0"/>
                    <w:bottom w:val="single" w:color="auto" w:sz="6" w:space="0"/>
                    <w:right w:val="single" w:color="auto" w:sz="6" w:space="0"/>
                  </w:tcBorders>
                  <w:vAlign w:val="center"/>
                </w:tcPr>
                <w:p w14:paraId="7CE7A1E6">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西南，</w:t>
                  </w:r>
                  <w:r>
                    <w:rPr>
                      <w:rFonts w:hint="default" w:ascii="Times New Roman" w:hAnsi="Times New Roman" w:cs="Times New Roman"/>
                      <w:color w:val="auto"/>
                      <w:szCs w:val="21"/>
                      <w:u w:val="none"/>
                      <w:lang w:val="en-US" w:eastAsia="zh-CN"/>
                    </w:rPr>
                    <w:t>2</w:t>
                  </w:r>
                  <w:r>
                    <w:rPr>
                      <w:rFonts w:hint="default" w:ascii="Times New Roman" w:hAnsi="Times New Roman" w:cs="Times New Roman"/>
                      <w:color w:val="auto"/>
                      <w:szCs w:val="21"/>
                      <w:u w:val="none"/>
                    </w:rPr>
                    <w:t>00m</w:t>
                  </w:r>
                </w:p>
              </w:tc>
              <w:tc>
                <w:tcPr>
                  <w:tcW w:w="1824" w:type="dxa"/>
                  <w:vMerge w:val="continue"/>
                  <w:tcBorders>
                    <w:left w:val="single" w:color="auto" w:sz="6" w:space="0"/>
                    <w:right w:val="single" w:color="auto" w:sz="6" w:space="0"/>
                  </w:tcBorders>
                  <w:vAlign w:val="center"/>
                </w:tcPr>
                <w:p w14:paraId="54071116">
                  <w:pPr>
                    <w:spacing w:line="300" w:lineRule="exact"/>
                    <w:jc w:val="center"/>
                    <w:rPr>
                      <w:rFonts w:hint="default" w:ascii="Times New Roman" w:hAnsi="Times New Roman" w:cs="Times New Roman"/>
                      <w:color w:val="auto"/>
                      <w:szCs w:val="21"/>
                      <w:u w:val="none"/>
                    </w:rPr>
                  </w:pPr>
                </w:p>
              </w:tc>
            </w:tr>
            <w:tr w14:paraId="744826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3" w:hRule="atLeast"/>
                <w:jc w:val="center"/>
              </w:trPr>
              <w:tc>
                <w:tcPr>
                  <w:tcW w:w="657" w:type="dxa"/>
                  <w:vMerge w:val="continue"/>
                  <w:tcBorders>
                    <w:left w:val="single" w:color="auto" w:sz="6" w:space="0"/>
                    <w:right w:val="single" w:color="auto" w:sz="6" w:space="0"/>
                  </w:tcBorders>
                  <w:vAlign w:val="center"/>
                </w:tcPr>
                <w:p w14:paraId="4BF95E4C">
                  <w:pPr>
                    <w:spacing w:line="300" w:lineRule="exact"/>
                    <w:jc w:val="center"/>
                    <w:rPr>
                      <w:rFonts w:hint="default" w:ascii="Times New Roman" w:hAnsi="Times New Roman" w:cs="Times New Roman"/>
                      <w:color w:val="auto"/>
                      <w:szCs w:val="21"/>
                      <w:u w:val="none"/>
                    </w:rPr>
                  </w:pPr>
                </w:p>
              </w:tc>
              <w:tc>
                <w:tcPr>
                  <w:tcW w:w="1523" w:type="dxa"/>
                  <w:tcBorders>
                    <w:top w:val="single" w:color="auto" w:sz="6" w:space="0"/>
                    <w:left w:val="single" w:color="auto" w:sz="6" w:space="0"/>
                    <w:bottom w:val="single" w:color="auto" w:sz="6" w:space="0"/>
                    <w:right w:val="single" w:color="auto" w:sz="6" w:space="0"/>
                  </w:tcBorders>
                  <w:vAlign w:val="top"/>
                </w:tcPr>
                <w:p w14:paraId="0248C38D">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E111.332359</w:t>
                  </w:r>
                </w:p>
                <w:p w14:paraId="266E46DF">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N26.402441</w:t>
                  </w:r>
                </w:p>
              </w:tc>
              <w:tc>
                <w:tcPr>
                  <w:tcW w:w="1444" w:type="dxa"/>
                  <w:tcBorders>
                    <w:top w:val="single" w:color="auto" w:sz="6" w:space="0"/>
                    <w:left w:val="single" w:color="auto" w:sz="6" w:space="0"/>
                    <w:bottom w:val="single" w:color="auto" w:sz="6" w:space="0"/>
                    <w:right w:val="single" w:color="auto" w:sz="6" w:space="0"/>
                  </w:tcBorders>
                  <w:vAlign w:val="center"/>
                </w:tcPr>
                <w:p w14:paraId="11F213B5">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碧桂园</w:t>
                  </w:r>
                </w:p>
              </w:tc>
              <w:tc>
                <w:tcPr>
                  <w:tcW w:w="1237" w:type="dxa"/>
                  <w:tcBorders>
                    <w:top w:val="single" w:color="auto" w:sz="6" w:space="0"/>
                    <w:left w:val="single" w:color="auto" w:sz="6" w:space="0"/>
                    <w:bottom w:val="single" w:color="auto" w:sz="6" w:space="0"/>
                    <w:right w:val="single" w:color="auto" w:sz="6" w:space="0"/>
                  </w:tcBorders>
                  <w:vAlign w:val="center"/>
                </w:tcPr>
                <w:p w14:paraId="119994F3">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居住/1500人</w:t>
                  </w:r>
                </w:p>
              </w:tc>
              <w:tc>
                <w:tcPr>
                  <w:tcW w:w="1342" w:type="dxa"/>
                  <w:tcBorders>
                    <w:top w:val="single" w:color="auto" w:sz="6" w:space="0"/>
                    <w:left w:val="single" w:color="auto" w:sz="6" w:space="0"/>
                    <w:bottom w:val="single" w:color="auto" w:sz="6" w:space="0"/>
                    <w:right w:val="single" w:color="auto" w:sz="6" w:space="0"/>
                  </w:tcBorders>
                  <w:vAlign w:val="center"/>
                </w:tcPr>
                <w:p w14:paraId="620F866C">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西面，</w:t>
                  </w:r>
                  <w:r>
                    <w:rPr>
                      <w:rFonts w:hint="default" w:ascii="Times New Roman" w:hAnsi="Times New Roman" w:cs="Times New Roman"/>
                      <w:color w:val="auto"/>
                      <w:szCs w:val="21"/>
                      <w:u w:val="none"/>
                      <w:lang w:val="en-US" w:eastAsia="zh-CN"/>
                    </w:rPr>
                    <w:t>15</w:t>
                  </w:r>
                  <w:r>
                    <w:rPr>
                      <w:rFonts w:hint="default" w:ascii="Times New Roman" w:hAnsi="Times New Roman" w:cs="Times New Roman"/>
                      <w:color w:val="auto"/>
                      <w:szCs w:val="21"/>
                      <w:u w:val="none"/>
                    </w:rPr>
                    <w:t>0m</w:t>
                  </w:r>
                </w:p>
              </w:tc>
              <w:tc>
                <w:tcPr>
                  <w:tcW w:w="1824" w:type="dxa"/>
                  <w:vMerge w:val="continue"/>
                  <w:tcBorders>
                    <w:left w:val="single" w:color="auto" w:sz="6" w:space="0"/>
                    <w:right w:val="single" w:color="auto" w:sz="6" w:space="0"/>
                  </w:tcBorders>
                  <w:vAlign w:val="center"/>
                </w:tcPr>
                <w:p w14:paraId="68EB9E13">
                  <w:pPr>
                    <w:spacing w:line="300" w:lineRule="exact"/>
                    <w:jc w:val="center"/>
                    <w:rPr>
                      <w:rFonts w:hint="default" w:ascii="Times New Roman" w:hAnsi="Times New Roman" w:cs="Times New Roman"/>
                      <w:color w:val="auto"/>
                      <w:szCs w:val="21"/>
                      <w:u w:val="none"/>
                    </w:rPr>
                  </w:pPr>
                </w:p>
              </w:tc>
            </w:tr>
            <w:tr w14:paraId="581A30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3" w:hRule="atLeast"/>
                <w:jc w:val="center"/>
              </w:trPr>
              <w:tc>
                <w:tcPr>
                  <w:tcW w:w="657" w:type="dxa"/>
                  <w:vMerge w:val="continue"/>
                  <w:tcBorders>
                    <w:left w:val="single" w:color="auto" w:sz="6" w:space="0"/>
                    <w:right w:val="single" w:color="auto" w:sz="6" w:space="0"/>
                  </w:tcBorders>
                  <w:vAlign w:val="center"/>
                </w:tcPr>
                <w:p w14:paraId="35A81067">
                  <w:pPr>
                    <w:spacing w:line="300" w:lineRule="exact"/>
                    <w:jc w:val="center"/>
                    <w:rPr>
                      <w:rFonts w:hint="default" w:ascii="Times New Roman" w:hAnsi="Times New Roman" w:cs="Times New Roman"/>
                      <w:color w:val="auto"/>
                      <w:szCs w:val="21"/>
                      <w:u w:val="none"/>
                    </w:rPr>
                  </w:pPr>
                </w:p>
              </w:tc>
              <w:tc>
                <w:tcPr>
                  <w:tcW w:w="1523" w:type="dxa"/>
                  <w:tcBorders>
                    <w:top w:val="single" w:color="auto" w:sz="6" w:space="0"/>
                    <w:left w:val="single" w:color="auto" w:sz="6" w:space="0"/>
                    <w:bottom w:val="single" w:color="auto" w:sz="6" w:space="0"/>
                    <w:right w:val="single" w:color="auto" w:sz="6" w:space="0"/>
                  </w:tcBorders>
                </w:tcPr>
                <w:p w14:paraId="556D5E9E">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E111.332397</w:t>
                  </w:r>
                </w:p>
                <w:p w14:paraId="3C28A978">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N26.404932</w:t>
                  </w:r>
                </w:p>
              </w:tc>
              <w:tc>
                <w:tcPr>
                  <w:tcW w:w="1444" w:type="dxa"/>
                  <w:tcBorders>
                    <w:top w:val="single" w:color="auto" w:sz="6" w:space="0"/>
                    <w:left w:val="single" w:color="auto" w:sz="6" w:space="0"/>
                    <w:bottom w:val="single" w:color="auto" w:sz="6" w:space="0"/>
                    <w:right w:val="single" w:color="auto" w:sz="6" w:space="0"/>
                  </w:tcBorders>
                  <w:vAlign w:val="center"/>
                </w:tcPr>
                <w:p w14:paraId="2D03FC82">
                  <w:pPr>
                    <w:spacing w:line="300" w:lineRule="exact"/>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崇德华府</w:t>
                  </w:r>
                </w:p>
              </w:tc>
              <w:tc>
                <w:tcPr>
                  <w:tcW w:w="1237" w:type="dxa"/>
                  <w:tcBorders>
                    <w:top w:val="single" w:color="auto" w:sz="6" w:space="0"/>
                    <w:left w:val="single" w:color="auto" w:sz="6" w:space="0"/>
                    <w:bottom w:val="single" w:color="auto" w:sz="6" w:space="0"/>
                    <w:right w:val="single" w:color="auto" w:sz="6" w:space="0"/>
                  </w:tcBorders>
                  <w:vAlign w:val="center"/>
                </w:tcPr>
                <w:p w14:paraId="7F3B5BB5">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居住/</w:t>
                  </w:r>
                  <w:r>
                    <w:rPr>
                      <w:rFonts w:hint="default" w:ascii="Times New Roman" w:hAnsi="Times New Roman" w:cs="Times New Roman"/>
                      <w:color w:val="auto"/>
                      <w:szCs w:val="21"/>
                      <w:u w:val="none"/>
                      <w:lang w:val="en-US" w:eastAsia="zh-CN"/>
                    </w:rPr>
                    <w:t>2</w:t>
                  </w:r>
                  <w:r>
                    <w:rPr>
                      <w:rFonts w:hint="default" w:ascii="Times New Roman" w:hAnsi="Times New Roman" w:cs="Times New Roman"/>
                      <w:color w:val="auto"/>
                      <w:szCs w:val="21"/>
                      <w:u w:val="none"/>
                    </w:rPr>
                    <w:t>00人</w:t>
                  </w:r>
                </w:p>
              </w:tc>
              <w:tc>
                <w:tcPr>
                  <w:tcW w:w="1342" w:type="dxa"/>
                  <w:tcBorders>
                    <w:top w:val="single" w:color="auto" w:sz="6" w:space="0"/>
                    <w:left w:val="single" w:color="auto" w:sz="6" w:space="0"/>
                    <w:bottom w:val="single" w:color="auto" w:sz="6" w:space="0"/>
                    <w:right w:val="single" w:color="auto" w:sz="6" w:space="0"/>
                  </w:tcBorders>
                  <w:vAlign w:val="center"/>
                </w:tcPr>
                <w:p w14:paraId="33D5F168">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西北，3</w:t>
                  </w:r>
                  <w:r>
                    <w:rPr>
                      <w:rFonts w:hint="default" w:ascii="Times New Roman" w:hAnsi="Times New Roman" w:cs="Times New Roman"/>
                      <w:color w:val="auto"/>
                      <w:szCs w:val="21"/>
                      <w:u w:val="none"/>
                      <w:lang w:val="en-US" w:eastAsia="zh-CN"/>
                    </w:rPr>
                    <w:t>3</w:t>
                  </w:r>
                  <w:r>
                    <w:rPr>
                      <w:rFonts w:hint="default" w:ascii="Times New Roman" w:hAnsi="Times New Roman" w:cs="Times New Roman"/>
                      <w:color w:val="auto"/>
                      <w:szCs w:val="21"/>
                      <w:u w:val="none"/>
                    </w:rPr>
                    <w:t>0m</w:t>
                  </w:r>
                </w:p>
              </w:tc>
              <w:tc>
                <w:tcPr>
                  <w:tcW w:w="1824" w:type="dxa"/>
                  <w:vMerge w:val="continue"/>
                  <w:tcBorders>
                    <w:left w:val="single" w:color="auto" w:sz="6" w:space="0"/>
                    <w:right w:val="single" w:color="auto" w:sz="6" w:space="0"/>
                  </w:tcBorders>
                  <w:vAlign w:val="center"/>
                </w:tcPr>
                <w:p w14:paraId="2A79BA74">
                  <w:pPr>
                    <w:spacing w:line="300" w:lineRule="exact"/>
                    <w:jc w:val="center"/>
                    <w:rPr>
                      <w:rFonts w:hint="default" w:ascii="Times New Roman" w:hAnsi="Times New Roman" w:cs="Times New Roman"/>
                      <w:color w:val="auto"/>
                      <w:szCs w:val="21"/>
                      <w:u w:val="none"/>
                    </w:rPr>
                  </w:pPr>
                </w:p>
              </w:tc>
            </w:tr>
            <w:tr w14:paraId="14E771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3" w:hRule="atLeast"/>
                <w:jc w:val="center"/>
              </w:trPr>
              <w:tc>
                <w:tcPr>
                  <w:tcW w:w="657" w:type="dxa"/>
                  <w:tcBorders>
                    <w:top w:val="single" w:color="auto" w:sz="6" w:space="0"/>
                    <w:left w:val="single" w:color="auto" w:sz="6" w:space="0"/>
                    <w:right w:val="single" w:color="auto" w:sz="6" w:space="0"/>
                  </w:tcBorders>
                  <w:vAlign w:val="center"/>
                </w:tcPr>
                <w:p w14:paraId="5A3E132F">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声环境</w:t>
                  </w:r>
                </w:p>
              </w:tc>
              <w:tc>
                <w:tcPr>
                  <w:tcW w:w="1523" w:type="dxa"/>
                  <w:tcBorders>
                    <w:top w:val="single" w:color="auto" w:sz="6" w:space="0"/>
                    <w:left w:val="single" w:color="auto" w:sz="6" w:space="0"/>
                    <w:bottom w:val="single" w:color="auto" w:sz="6" w:space="0"/>
                    <w:right w:val="single" w:color="auto" w:sz="6" w:space="0"/>
                  </w:tcBorders>
                </w:tcPr>
                <w:p w14:paraId="703224EF">
                  <w:pPr>
                    <w:spacing w:line="300" w:lineRule="exact"/>
                    <w:jc w:val="center"/>
                    <w:rPr>
                      <w:rFonts w:hint="default" w:ascii="Times New Roman" w:hAnsi="Times New Roman" w:eastAsia="宋体" w:cs="Times New Roman"/>
                      <w:color w:val="auto"/>
                      <w:szCs w:val="21"/>
                      <w:u w:val="none"/>
                      <w:lang w:eastAsia="zh-CN"/>
                    </w:rPr>
                  </w:pPr>
                  <w:r>
                    <w:rPr>
                      <w:rFonts w:hint="default" w:ascii="Times New Roman" w:hAnsi="Times New Roman" w:cs="Times New Roman"/>
                      <w:color w:val="auto"/>
                      <w:szCs w:val="21"/>
                      <w:u w:val="none"/>
                      <w:lang w:val="en-US" w:eastAsia="zh-CN"/>
                    </w:rPr>
                    <w:t>/</w:t>
                  </w:r>
                </w:p>
              </w:tc>
              <w:tc>
                <w:tcPr>
                  <w:tcW w:w="1444" w:type="dxa"/>
                  <w:tcBorders>
                    <w:top w:val="single" w:color="auto" w:sz="6" w:space="0"/>
                    <w:left w:val="single" w:color="auto" w:sz="6" w:space="0"/>
                    <w:bottom w:val="single" w:color="auto" w:sz="6" w:space="0"/>
                    <w:right w:val="single" w:color="auto" w:sz="6" w:space="0"/>
                  </w:tcBorders>
                  <w:vAlign w:val="center"/>
                </w:tcPr>
                <w:p w14:paraId="5D047BD0">
                  <w:pPr>
                    <w:spacing w:line="300" w:lineRule="exact"/>
                    <w:jc w:val="center"/>
                    <w:rPr>
                      <w:rFonts w:hint="default" w:ascii="Times New Roman" w:hAnsi="Times New Roman" w:eastAsia="宋体" w:cs="Times New Roman"/>
                      <w:color w:val="auto"/>
                      <w:szCs w:val="21"/>
                      <w:u w:val="none"/>
                      <w:lang w:eastAsia="zh-CN"/>
                    </w:rPr>
                  </w:pPr>
                  <w:r>
                    <w:rPr>
                      <w:rFonts w:hint="default" w:ascii="Times New Roman" w:hAnsi="Times New Roman" w:cs="Times New Roman"/>
                      <w:color w:val="auto"/>
                      <w:szCs w:val="21"/>
                      <w:u w:val="none"/>
                      <w:lang w:val="en-US" w:eastAsia="zh-CN"/>
                    </w:rPr>
                    <w:t>/</w:t>
                  </w:r>
                </w:p>
              </w:tc>
              <w:tc>
                <w:tcPr>
                  <w:tcW w:w="1237" w:type="dxa"/>
                  <w:tcBorders>
                    <w:top w:val="single" w:color="auto" w:sz="6" w:space="0"/>
                    <w:left w:val="single" w:color="auto" w:sz="6" w:space="0"/>
                    <w:bottom w:val="single" w:color="auto" w:sz="6" w:space="0"/>
                    <w:right w:val="single" w:color="auto" w:sz="6" w:space="0"/>
                  </w:tcBorders>
                  <w:vAlign w:val="center"/>
                </w:tcPr>
                <w:p w14:paraId="3525D8ED">
                  <w:pPr>
                    <w:spacing w:line="300" w:lineRule="exact"/>
                    <w:jc w:val="center"/>
                    <w:rPr>
                      <w:rFonts w:hint="default" w:ascii="Times New Roman" w:hAnsi="Times New Roman" w:eastAsia="宋体" w:cs="Times New Roman"/>
                      <w:color w:val="auto"/>
                      <w:szCs w:val="21"/>
                      <w:u w:val="none"/>
                      <w:lang w:eastAsia="zh-CN"/>
                    </w:rPr>
                  </w:pPr>
                  <w:r>
                    <w:rPr>
                      <w:rFonts w:hint="default" w:ascii="Times New Roman" w:hAnsi="Times New Roman" w:cs="Times New Roman"/>
                      <w:color w:val="auto"/>
                      <w:szCs w:val="21"/>
                      <w:u w:val="none"/>
                      <w:lang w:val="en-US" w:eastAsia="zh-CN"/>
                    </w:rPr>
                    <w:t>/</w:t>
                  </w:r>
                </w:p>
              </w:tc>
              <w:tc>
                <w:tcPr>
                  <w:tcW w:w="1342" w:type="dxa"/>
                  <w:tcBorders>
                    <w:top w:val="single" w:color="auto" w:sz="6" w:space="0"/>
                    <w:left w:val="single" w:color="auto" w:sz="6" w:space="0"/>
                    <w:bottom w:val="single" w:color="auto" w:sz="6" w:space="0"/>
                    <w:right w:val="single" w:color="auto" w:sz="6" w:space="0"/>
                  </w:tcBorders>
                  <w:vAlign w:val="center"/>
                </w:tcPr>
                <w:p w14:paraId="34C07302">
                  <w:pPr>
                    <w:spacing w:line="300" w:lineRule="exact"/>
                    <w:jc w:val="center"/>
                    <w:rPr>
                      <w:rFonts w:hint="default" w:ascii="Times New Roman" w:hAnsi="Times New Roman" w:eastAsia="宋体" w:cs="Times New Roman"/>
                      <w:color w:val="auto"/>
                      <w:szCs w:val="21"/>
                      <w:u w:val="none"/>
                      <w:lang w:eastAsia="zh-CN"/>
                    </w:rPr>
                  </w:pPr>
                  <w:r>
                    <w:rPr>
                      <w:rFonts w:hint="default" w:ascii="Times New Roman" w:hAnsi="Times New Roman" w:cs="Times New Roman"/>
                      <w:color w:val="auto"/>
                      <w:szCs w:val="21"/>
                      <w:u w:val="none"/>
                      <w:lang w:val="en-US" w:eastAsia="zh-CN"/>
                    </w:rPr>
                    <w:t>/</w:t>
                  </w:r>
                </w:p>
              </w:tc>
              <w:tc>
                <w:tcPr>
                  <w:tcW w:w="1824" w:type="dxa"/>
                  <w:tcBorders>
                    <w:top w:val="single" w:color="auto" w:sz="6" w:space="0"/>
                    <w:left w:val="single" w:color="auto" w:sz="6" w:space="0"/>
                    <w:right w:val="single" w:color="auto" w:sz="6" w:space="0"/>
                  </w:tcBorders>
                  <w:vAlign w:val="center"/>
                </w:tcPr>
                <w:p w14:paraId="409ABE06">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GB3096-2008中2类标准</w:t>
                  </w:r>
                </w:p>
              </w:tc>
            </w:tr>
            <w:tr w14:paraId="59A870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8" w:hRule="atLeast"/>
                <w:jc w:val="center"/>
              </w:trPr>
              <w:tc>
                <w:tcPr>
                  <w:tcW w:w="657" w:type="dxa"/>
                  <w:vMerge w:val="restart"/>
                  <w:tcBorders>
                    <w:top w:val="single" w:color="auto" w:sz="6" w:space="0"/>
                    <w:left w:val="single" w:color="auto" w:sz="6" w:space="0"/>
                    <w:right w:val="single" w:color="auto" w:sz="6" w:space="0"/>
                  </w:tcBorders>
                  <w:vAlign w:val="center"/>
                </w:tcPr>
                <w:p w14:paraId="169F6278">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水环境</w:t>
                  </w:r>
                </w:p>
              </w:tc>
              <w:tc>
                <w:tcPr>
                  <w:tcW w:w="1523" w:type="dxa"/>
                  <w:tcBorders>
                    <w:top w:val="single" w:color="auto" w:sz="6" w:space="0"/>
                    <w:left w:val="single" w:color="auto" w:sz="6" w:space="0"/>
                    <w:bottom w:val="single" w:color="auto" w:sz="6" w:space="0"/>
                    <w:right w:val="single" w:color="auto" w:sz="6" w:space="0"/>
                  </w:tcBorders>
                  <w:vAlign w:val="center"/>
                </w:tcPr>
                <w:p w14:paraId="0AC7C7CB">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紫水</w:t>
                  </w:r>
                </w:p>
              </w:tc>
              <w:tc>
                <w:tcPr>
                  <w:tcW w:w="4023" w:type="dxa"/>
                  <w:gridSpan w:val="3"/>
                  <w:tcBorders>
                    <w:top w:val="single" w:color="auto" w:sz="6" w:space="0"/>
                    <w:left w:val="single" w:color="auto" w:sz="6" w:space="0"/>
                    <w:bottom w:val="single" w:color="auto" w:sz="6" w:space="0"/>
                    <w:right w:val="single" w:color="auto" w:sz="6" w:space="0"/>
                  </w:tcBorders>
                  <w:vAlign w:val="center"/>
                </w:tcPr>
                <w:p w14:paraId="5112D7A2">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小车至大江口(与紫水汇合处）段，渔业用水区，多年平均流量24m</w:t>
                  </w:r>
                  <w:r>
                    <w:rPr>
                      <w:rFonts w:hint="default" w:ascii="Times New Roman" w:hAnsi="Times New Roman" w:cs="Times New Roman"/>
                      <w:color w:val="auto"/>
                      <w:szCs w:val="21"/>
                      <w:u w:val="none"/>
                      <w:vertAlign w:val="superscript"/>
                    </w:rPr>
                    <w:t>3</w:t>
                  </w:r>
                  <w:r>
                    <w:rPr>
                      <w:rFonts w:hint="default" w:ascii="Times New Roman" w:hAnsi="Times New Roman" w:cs="Times New Roman"/>
                      <w:color w:val="auto"/>
                      <w:szCs w:val="21"/>
                      <w:u w:val="none"/>
                    </w:rPr>
                    <w:t>/s，为中河</w:t>
                  </w:r>
                </w:p>
              </w:tc>
              <w:tc>
                <w:tcPr>
                  <w:tcW w:w="1824" w:type="dxa"/>
                  <w:tcBorders>
                    <w:top w:val="single" w:color="auto" w:sz="6" w:space="0"/>
                    <w:left w:val="single" w:color="auto" w:sz="6" w:space="0"/>
                    <w:bottom w:val="single" w:color="auto" w:sz="6" w:space="0"/>
                    <w:right w:val="single" w:color="auto" w:sz="6" w:space="0"/>
                  </w:tcBorders>
                  <w:vAlign w:val="center"/>
                </w:tcPr>
                <w:p w14:paraId="222CBEB0">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GB3838-2002中Ⅲ类</w:t>
                  </w:r>
                </w:p>
              </w:tc>
            </w:tr>
            <w:tr w14:paraId="7811F8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8" w:hRule="atLeast"/>
                <w:jc w:val="center"/>
              </w:trPr>
              <w:tc>
                <w:tcPr>
                  <w:tcW w:w="657" w:type="dxa"/>
                  <w:vMerge w:val="continue"/>
                  <w:tcBorders>
                    <w:left w:val="single" w:color="auto" w:sz="6" w:space="0"/>
                    <w:right w:val="single" w:color="auto" w:sz="6" w:space="0"/>
                  </w:tcBorders>
                  <w:vAlign w:val="center"/>
                </w:tcPr>
                <w:p w14:paraId="3BA6A542">
                  <w:pPr>
                    <w:spacing w:line="300" w:lineRule="exact"/>
                    <w:jc w:val="center"/>
                    <w:rPr>
                      <w:rFonts w:hint="default" w:ascii="Times New Roman" w:hAnsi="Times New Roman" w:cs="Times New Roman"/>
                      <w:color w:val="auto"/>
                      <w:szCs w:val="21"/>
                      <w:u w:val="none"/>
                    </w:rPr>
                  </w:pPr>
                </w:p>
              </w:tc>
              <w:tc>
                <w:tcPr>
                  <w:tcW w:w="1523" w:type="dxa"/>
                  <w:tcBorders>
                    <w:top w:val="single" w:color="auto" w:sz="6" w:space="0"/>
                    <w:left w:val="single" w:color="auto" w:sz="6" w:space="0"/>
                    <w:bottom w:val="single" w:color="auto" w:sz="6" w:space="0"/>
                    <w:right w:val="single" w:color="auto" w:sz="6" w:space="0"/>
                  </w:tcBorders>
                  <w:vAlign w:val="center"/>
                </w:tcPr>
                <w:p w14:paraId="29F7BC8E">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宥江河</w:t>
                  </w:r>
                </w:p>
              </w:tc>
              <w:tc>
                <w:tcPr>
                  <w:tcW w:w="4023" w:type="dxa"/>
                  <w:gridSpan w:val="3"/>
                  <w:tcBorders>
                    <w:top w:val="single" w:color="auto" w:sz="6" w:space="0"/>
                    <w:left w:val="single" w:color="auto" w:sz="6" w:space="0"/>
                    <w:bottom w:val="single" w:color="auto" w:sz="6" w:space="0"/>
                    <w:right w:val="single" w:color="auto" w:sz="6" w:space="0"/>
                  </w:tcBorders>
                  <w:vAlign w:val="center"/>
                </w:tcPr>
                <w:p w14:paraId="6647C644">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渔业、农业用水，多年平均流量5m</w:t>
                  </w:r>
                  <w:r>
                    <w:rPr>
                      <w:rFonts w:hint="default" w:ascii="Times New Roman" w:hAnsi="Times New Roman" w:cs="Times New Roman"/>
                      <w:color w:val="auto"/>
                      <w:szCs w:val="21"/>
                      <w:u w:val="none"/>
                      <w:vertAlign w:val="superscript"/>
                    </w:rPr>
                    <w:t>3</w:t>
                  </w:r>
                  <w:r>
                    <w:rPr>
                      <w:rFonts w:hint="default" w:ascii="Times New Roman" w:hAnsi="Times New Roman" w:cs="Times New Roman"/>
                      <w:color w:val="auto"/>
                      <w:szCs w:val="21"/>
                      <w:u w:val="none"/>
                    </w:rPr>
                    <w:t>/s</w:t>
                  </w:r>
                </w:p>
              </w:tc>
              <w:tc>
                <w:tcPr>
                  <w:tcW w:w="1824" w:type="dxa"/>
                  <w:tcBorders>
                    <w:top w:val="single" w:color="auto" w:sz="6" w:space="0"/>
                    <w:left w:val="single" w:color="auto" w:sz="6" w:space="0"/>
                    <w:bottom w:val="single" w:color="auto" w:sz="6" w:space="0"/>
                    <w:right w:val="single" w:color="auto" w:sz="6" w:space="0"/>
                  </w:tcBorders>
                  <w:vAlign w:val="center"/>
                </w:tcPr>
                <w:p w14:paraId="3C684A0B">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GB3838-2002中Ⅲ类</w:t>
                  </w:r>
                </w:p>
              </w:tc>
            </w:tr>
            <w:tr w14:paraId="0AB185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8" w:hRule="atLeast"/>
                <w:jc w:val="center"/>
              </w:trPr>
              <w:tc>
                <w:tcPr>
                  <w:tcW w:w="657" w:type="dxa"/>
                  <w:vMerge w:val="continue"/>
                  <w:tcBorders>
                    <w:left w:val="single" w:color="auto" w:sz="6" w:space="0"/>
                    <w:right w:val="single" w:color="auto" w:sz="6" w:space="0"/>
                  </w:tcBorders>
                  <w:vAlign w:val="center"/>
                </w:tcPr>
                <w:p w14:paraId="3DD94EEF">
                  <w:pPr>
                    <w:widowControl/>
                    <w:spacing w:line="300" w:lineRule="exact"/>
                    <w:jc w:val="left"/>
                    <w:rPr>
                      <w:rFonts w:hint="default" w:ascii="Times New Roman" w:hAnsi="Times New Roman" w:cs="Times New Roman"/>
                      <w:color w:val="auto"/>
                      <w:szCs w:val="21"/>
                      <w:u w:val="none"/>
                    </w:rPr>
                  </w:pPr>
                </w:p>
              </w:tc>
              <w:tc>
                <w:tcPr>
                  <w:tcW w:w="1523" w:type="dxa"/>
                  <w:tcBorders>
                    <w:top w:val="single" w:color="auto" w:sz="6" w:space="0"/>
                    <w:left w:val="single" w:color="auto" w:sz="6" w:space="0"/>
                    <w:bottom w:val="single" w:color="auto" w:sz="6" w:space="0"/>
                    <w:right w:val="single" w:color="auto" w:sz="6" w:space="0"/>
                  </w:tcBorders>
                  <w:vAlign w:val="center"/>
                </w:tcPr>
                <w:p w14:paraId="5A4C64B1">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地下水</w:t>
                  </w:r>
                </w:p>
              </w:tc>
              <w:tc>
                <w:tcPr>
                  <w:tcW w:w="5847" w:type="dxa"/>
                  <w:gridSpan w:val="4"/>
                  <w:tcBorders>
                    <w:top w:val="single" w:color="auto" w:sz="6" w:space="0"/>
                    <w:left w:val="single" w:color="auto" w:sz="6" w:space="0"/>
                    <w:bottom w:val="single" w:color="auto" w:sz="6" w:space="0"/>
                    <w:right w:val="single" w:color="auto" w:sz="6" w:space="0"/>
                  </w:tcBorders>
                  <w:vAlign w:val="center"/>
                </w:tcPr>
                <w:p w14:paraId="19ABE020">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厂区外500米范围内无地下集中式饮用水水源和热水、矿泉水、温泉等特殊地下水资源</w:t>
                  </w:r>
                </w:p>
              </w:tc>
            </w:tr>
            <w:tr w14:paraId="251CD8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8" w:hRule="atLeast"/>
                <w:jc w:val="center"/>
              </w:trPr>
              <w:tc>
                <w:tcPr>
                  <w:tcW w:w="657" w:type="dxa"/>
                  <w:tcBorders>
                    <w:left w:val="single" w:color="auto" w:sz="6" w:space="0"/>
                    <w:bottom w:val="single" w:color="auto" w:sz="6" w:space="0"/>
                    <w:right w:val="single" w:color="auto" w:sz="6" w:space="0"/>
                  </w:tcBorders>
                  <w:vAlign w:val="center"/>
                </w:tcPr>
                <w:p w14:paraId="133B189F">
                  <w:pPr>
                    <w:widowControl/>
                    <w:spacing w:line="300" w:lineRule="exact"/>
                    <w:jc w:val="left"/>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生态环境</w:t>
                  </w:r>
                </w:p>
              </w:tc>
              <w:tc>
                <w:tcPr>
                  <w:tcW w:w="7370" w:type="dxa"/>
                  <w:gridSpan w:val="5"/>
                  <w:tcBorders>
                    <w:top w:val="single" w:color="auto" w:sz="6" w:space="0"/>
                    <w:left w:val="single" w:color="auto" w:sz="6" w:space="0"/>
                    <w:bottom w:val="single" w:color="auto" w:sz="6" w:space="0"/>
                    <w:right w:val="single" w:color="auto" w:sz="6" w:space="0"/>
                  </w:tcBorders>
                  <w:vAlign w:val="center"/>
                </w:tcPr>
                <w:p w14:paraId="27051DEC">
                  <w:pPr>
                    <w:spacing w:line="300" w:lineRule="exact"/>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不涉及生态环境保护目标</w:t>
                  </w:r>
                </w:p>
              </w:tc>
            </w:tr>
          </w:tbl>
          <w:p w14:paraId="4D7290FD">
            <w:pPr>
              <w:pStyle w:val="48"/>
              <w:jc w:val="center"/>
              <w:rPr>
                <w:rFonts w:hint="default" w:ascii="Times New Roman" w:hAnsi="Times New Roman" w:cs="Times New Roman"/>
                <w:color w:val="auto"/>
                <w:u w:val="none"/>
              </w:rPr>
            </w:pPr>
          </w:p>
        </w:tc>
      </w:tr>
      <w:tr w14:paraId="5D85B7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62" w:hRule="atLeast"/>
          <w:jc w:val="center"/>
        </w:trPr>
        <w:tc>
          <w:tcPr>
            <w:tcW w:w="430" w:type="dxa"/>
            <w:tcMar>
              <w:left w:w="28" w:type="dxa"/>
              <w:right w:w="28" w:type="dxa"/>
            </w:tcMar>
            <w:vAlign w:val="center"/>
          </w:tcPr>
          <w:p w14:paraId="4A2B8C1B">
            <w:pPr>
              <w:adjustRightInd w:val="0"/>
              <w:snapToGrid w:val="0"/>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污染</w:t>
            </w:r>
          </w:p>
          <w:p w14:paraId="1DFF6076">
            <w:pPr>
              <w:adjustRightInd w:val="0"/>
              <w:snapToGrid w:val="0"/>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物排</w:t>
            </w:r>
          </w:p>
          <w:p w14:paraId="7B736B02">
            <w:pPr>
              <w:adjustRightInd w:val="0"/>
              <w:snapToGrid w:val="0"/>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放控</w:t>
            </w:r>
          </w:p>
          <w:p w14:paraId="73C16CE1">
            <w:pPr>
              <w:adjustRightInd w:val="0"/>
              <w:snapToGrid w:val="0"/>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制标</w:t>
            </w:r>
          </w:p>
          <w:p w14:paraId="608A04A0">
            <w:pPr>
              <w:adjustRightInd w:val="0"/>
              <w:snapToGrid w:val="0"/>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准</w:t>
            </w:r>
          </w:p>
        </w:tc>
        <w:tc>
          <w:tcPr>
            <w:tcW w:w="8631" w:type="dxa"/>
            <w:vAlign w:val="center"/>
          </w:tcPr>
          <w:p w14:paraId="7C1EBE55">
            <w:pPr>
              <w:spacing w:before="120" w:beforeLines="50" w:line="360" w:lineRule="auto"/>
              <w:ind w:firstLine="361" w:firstLineChars="150"/>
              <w:rPr>
                <w:rFonts w:hint="default" w:ascii="Times New Roman" w:hAnsi="Times New Roman" w:cs="Times New Roman"/>
                <w:b/>
                <w:color w:val="auto"/>
                <w:sz w:val="24"/>
                <w:u w:val="none"/>
              </w:rPr>
            </w:pPr>
            <w:r>
              <w:rPr>
                <w:rFonts w:hint="default" w:ascii="Times New Roman" w:hAnsi="Times New Roman" w:cs="Times New Roman"/>
                <w:b/>
                <w:color w:val="auto"/>
                <w:sz w:val="24"/>
                <w:u w:val="none"/>
              </w:rPr>
              <w:t>1、废水排放标准</w:t>
            </w:r>
          </w:p>
          <w:p w14:paraId="72AC9214">
            <w:pPr>
              <w:spacing w:before="120" w:beforeLines="50" w:line="360" w:lineRule="auto"/>
              <w:ind w:firstLine="600" w:firstLineChars="250"/>
              <w:rPr>
                <w:rFonts w:hint="default" w:ascii="Times New Roman" w:hAnsi="Times New Roman" w:cs="Times New Roman"/>
                <w:color w:val="auto"/>
                <w:sz w:val="24"/>
                <w:u w:val="none"/>
              </w:rPr>
            </w:pPr>
            <w:r>
              <w:rPr>
                <w:rFonts w:hint="default" w:ascii="Times New Roman" w:hAnsi="Times New Roman" w:cs="Times New Roman"/>
                <w:color w:val="auto"/>
                <w:sz w:val="24"/>
                <w:u w:val="none"/>
                <w:lang w:val="en-GB"/>
              </w:rPr>
              <w:t>本项目生活污水排入污水管网执行《污水综合排放标准》（</w:t>
            </w:r>
            <w:r>
              <w:rPr>
                <w:rFonts w:hint="default" w:ascii="Times New Roman" w:hAnsi="Times New Roman" w:cs="Times New Roman"/>
                <w:color w:val="auto"/>
                <w:sz w:val="24"/>
                <w:u w:val="none"/>
              </w:rPr>
              <w:t>GB8978-1996）表4三级标</w:t>
            </w:r>
            <w:r>
              <w:rPr>
                <w:rFonts w:hint="default" w:ascii="Times New Roman" w:hAnsi="Times New Roman" w:cs="Times New Roman"/>
                <w:color w:val="auto"/>
                <w:sz w:val="24"/>
                <w:u w:val="none"/>
                <w:lang w:val="en-GB"/>
              </w:rPr>
              <w:t>准</w:t>
            </w:r>
            <w:r>
              <w:rPr>
                <w:rFonts w:hint="default" w:ascii="Times New Roman" w:hAnsi="Times New Roman" w:eastAsia="宋体" w:cs="Times New Roman"/>
                <w:color w:val="auto"/>
                <w:sz w:val="24"/>
                <w:u w:val="none"/>
                <w:lang w:val="en-GB"/>
              </w:rPr>
              <w:t>及园区污水处理厂纳管标准较严值</w:t>
            </w:r>
            <w:r>
              <w:rPr>
                <w:rFonts w:hint="default" w:ascii="Times New Roman" w:hAnsi="Times New Roman" w:cs="Times New Roman"/>
                <w:color w:val="auto"/>
                <w:kern w:val="2"/>
                <w:sz w:val="24"/>
                <w:u w:val="none"/>
                <w:lang w:val="en-GB"/>
              </w:rPr>
              <w:t>，</w:t>
            </w:r>
            <w:r>
              <w:rPr>
                <w:rFonts w:hint="default" w:ascii="Times New Roman" w:hAnsi="Times New Roman" w:cs="Times New Roman"/>
                <w:color w:val="auto"/>
                <w:kern w:val="0"/>
                <w:sz w:val="24"/>
                <w:u w:val="none"/>
              </w:rPr>
              <w:t>经市政污水管网进东安经济开发区污水处理厂进一步处理，达到《城镇污水处理厂污染物排放标准》（GB18918-2002）中一级A标准后外排宥江河。具体</w:t>
            </w:r>
            <w:r>
              <w:rPr>
                <w:rFonts w:hint="default" w:ascii="Times New Roman" w:hAnsi="Times New Roman" w:cs="Times New Roman"/>
                <w:color w:val="auto"/>
                <w:spacing w:val="-8"/>
                <w:sz w:val="24"/>
                <w:u w:val="none"/>
              </w:rPr>
              <w:t>最高允许排放浓度要求见表</w:t>
            </w:r>
            <w:r>
              <w:rPr>
                <w:rFonts w:hint="default" w:ascii="Times New Roman" w:hAnsi="Times New Roman" w:cs="Times New Roman"/>
                <w:color w:val="auto"/>
                <w:sz w:val="24"/>
                <w:u w:val="none"/>
              </w:rPr>
              <w:t>3-</w:t>
            </w:r>
            <w:r>
              <w:rPr>
                <w:rFonts w:hint="eastAsia" w:cs="Times New Roman"/>
                <w:color w:val="auto"/>
                <w:sz w:val="24"/>
                <w:u w:val="none"/>
                <w:lang w:val="en-US" w:eastAsia="zh-CN"/>
              </w:rPr>
              <w:t>4</w:t>
            </w:r>
            <w:r>
              <w:rPr>
                <w:rFonts w:hint="default" w:ascii="Times New Roman" w:hAnsi="Times New Roman" w:cs="Times New Roman"/>
                <w:color w:val="auto"/>
                <w:sz w:val="24"/>
                <w:u w:val="none"/>
              </w:rPr>
              <w:t>。</w:t>
            </w:r>
          </w:p>
          <w:p w14:paraId="3E09D3C8">
            <w:pPr>
              <w:jc w:val="center"/>
              <w:outlineLvl w:val="0"/>
              <w:rPr>
                <w:rFonts w:hint="default" w:ascii="Times New Roman" w:hAnsi="Times New Roman" w:cs="Times New Roman"/>
                <w:b/>
                <w:color w:val="auto"/>
                <w:szCs w:val="21"/>
                <w:u w:val="none"/>
              </w:rPr>
            </w:pPr>
            <w:r>
              <w:rPr>
                <w:rFonts w:hint="default" w:ascii="Times New Roman" w:hAnsi="Times New Roman" w:cs="Times New Roman"/>
                <w:b/>
                <w:color w:val="auto"/>
                <w:szCs w:val="21"/>
                <w:u w:val="none"/>
              </w:rPr>
              <w:t>表3-</w:t>
            </w:r>
            <w:r>
              <w:rPr>
                <w:rFonts w:hint="eastAsia" w:cs="Times New Roman"/>
                <w:b/>
                <w:color w:val="auto"/>
                <w:szCs w:val="21"/>
                <w:u w:val="none"/>
                <w:lang w:val="en-US" w:eastAsia="zh-CN"/>
              </w:rPr>
              <w:t>4</w:t>
            </w:r>
            <w:r>
              <w:rPr>
                <w:rFonts w:hint="default" w:ascii="Times New Roman" w:hAnsi="Times New Roman" w:cs="Times New Roman"/>
                <w:b/>
                <w:color w:val="auto"/>
                <w:szCs w:val="21"/>
                <w:u w:val="none"/>
                <w:lang w:val="en-US" w:eastAsia="zh-CN"/>
              </w:rPr>
              <w:t xml:space="preserve"> </w:t>
            </w:r>
            <w:r>
              <w:rPr>
                <w:rFonts w:hint="default" w:ascii="Times New Roman" w:hAnsi="Times New Roman" w:cs="Times New Roman"/>
                <w:b/>
                <w:color w:val="auto"/>
                <w:szCs w:val="21"/>
                <w:u w:val="none"/>
              </w:rPr>
              <w:t>项目水污染物排放限值 单位：mg/L，pH 除外</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6"/>
              <w:gridCol w:w="720"/>
              <w:gridCol w:w="635"/>
              <w:gridCol w:w="948"/>
              <w:gridCol w:w="948"/>
              <w:gridCol w:w="948"/>
              <w:gridCol w:w="948"/>
              <w:gridCol w:w="948"/>
            </w:tblGrid>
            <w:tr w14:paraId="64A41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2086" w:type="dxa"/>
                  <w:tcBorders>
                    <w:top w:val="single" w:color="auto" w:sz="4" w:space="0"/>
                    <w:left w:val="single" w:color="auto" w:sz="4" w:space="0"/>
                    <w:bottom w:val="single" w:color="auto" w:sz="4" w:space="0"/>
                    <w:right w:val="single" w:color="auto" w:sz="4" w:space="0"/>
                  </w:tcBorders>
                  <w:vAlign w:val="center"/>
                </w:tcPr>
                <w:p w14:paraId="33C216BE">
                  <w:pPr>
                    <w:pStyle w:val="125"/>
                    <w:rPr>
                      <w:rFonts w:hint="default" w:ascii="Times New Roman" w:hAnsi="Times New Roman" w:cs="Times New Roman"/>
                      <w:color w:val="auto"/>
                      <w:u w:val="none"/>
                    </w:rPr>
                  </w:pPr>
                  <w:r>
                    <w:rPr>
                      <w:rFonts w:hint="default" w:ascii="Times New Roman" w:hAnsi="Times New Roman" w:cs="Times New Roman"/>
                      <w:color w:val="auto"/>
                      <w:u w:val="none"/>
                    </w:rPr>
                    <w:t>标准来源</w:t>
                  </w:r>
                </w:p>
              </w:tc>
              <w:tc>
                <w:tcPr>
                  <w:tcW w:w="6095" w:type="dxa"/>
                  <w:gridSpan w:val="7"/>
                  <w:tcBorders>
                    <w:top w:val="single" w:color="auto" w:sz="4" w:space="0"/>
                    <w:left w:val="single" w:color="auto" w:sz="4" w:space="0"/>
                    <w:bottom w:val="single" w:color="auto" w:sz="4" w:space="0"/>
                    <w:right w:val="single" w:color="auto" w:sz="4" w:space="0"/>
                  </w:tcBorders>
                  <w:vAlign w:val="center"/>
                </w:tcPr>
                <w:p w14:paraId="25EE24E7">
                  <w:pPr>
                    <w:pStyle w:val="125"/>
                    <w:ind w:firstLine="562"/>
                    <w:rPr>
                      <w:rFonts w:hint="default" w:ascii="Times New Roman" w:hAnsi="Times New Roman" w:cs="Times New Roman"/>
                      <w:color w:val="auto"/>
                      <w:u w:val="none"/>
                    </w:rPr>
                  </w:pPr>
                  <w:r>
                    <w:rPr>
                      <w:rFonts w:hint="default" w:ascii="Times New Roman" w:hAnsi="Times New Roman" w:cs="Times New Roman"/>
                      <w:color w:val="auto"/>
                      <w:u w:val="none"/>
                    </w:rPr>
                    <w:t>评价因子及标准限值</w:t>
                  </w:r>
                </w:p>
              </w:tc>
            </w:tr>
            <w:tr w14:paraId="5287A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2086" w:type="dxa"/>
                  <w:vMerge w:val="restart"/>
                  <w:tcBorders>
                    <w:top w:val="single" w:color="auto" w:sz="4" w:space="0"/>
                    <w:left w:val="single" w:color="auto" w:sz="4" w:space="0"/>
                    <w:right w:val="single" w:color="auto" w:sz="4" w:space="0"/>
                  </w:tcBorders>
                  <w:vAlign w:val="center"/>
                </w:tcPr>
                <w:p w14:paraId="723C2C61">
                  <w:pPr>
                    <w:pStyle w:val="96"/>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GB8798-1996中三级标准</w:t>
                  </w:r>
                </w:p>
              </w:tc>
              <w:tc>
                <w:tcPr>
                  <w:tcW w:w="720" w:type="dxa"/>
                  <w:tcBorders>
                    <w:top w:val="single" w:color="auto" w:sz="4" w:space="0"/>
                    <w:left w:val="single" w:color="auto" w:sz="4" w:space="0"/>
                    <w:bottom w:val="single" w:color="auto" w:sz="4" w:space="0"/>
                    <w:right w:val="single" w:color="auto" w:sz="4" w:space="0"/>
                  </w:tcBorders>
                  <w:vAlign w:val="center"/>
                </w:tcPr>
                <w:p w14:paraId="6DD5D2AE">
                  <w:pPr>
                    <w:pStyle w:val="96"/>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pH</w:t>
                  </w:r>
                </w:p>
              </w:tc>
              <w:tc>
                <w:tcPr>
                  <w:tcW w:w="635" w:type="dxa"/>
                  <w:tcBorders>
                    <w:top w:val="single" w:color="auto" w:sz="4" w:space="0"/>
                    <w:left w:val="single" w:color="auto" w:sz="4" w:space="0"/>
                    <w:bottom w:val="single" w:color="auto" w:sz="4" w:space="0"/>
                    <w:right w:val="single" w:color="auto" w:sz="4" w:space="0"/>
                  </w:tcBorders>
                  <w:vAlign w:val="center"/>
                </w:tcPr>
                <w:p w14:paraId="4667B7F2">
                  <w:pPr>
                    <w:pStyle w:val="96"/>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SS</w:t>
                  </w:r>
                </w:p>
              </w:tc>
              <w:tc>
                <w:tcPr>
                  <w:tcW w:w="948" w:type="dxa"/>
                  <w:tcBorders>
                    <w:top w:val="single" w:color="auto" w:sz="4" w:space="0"/>
                    <w:left w:val="single" w:color="auto" w:sz="4" w:space="0"/>
                    <w:bottom w:val="single" w:color="auto" w:sz="4" w:space="0"/>
                    <w:right w:val="single" w:color="auto" w:sz="4" w:space="0"/>
                  </w:tcBorders>
                  <w:vAlign w:val="center"/>
                </w:tcPr>
                <w:p w14:paraId="790CB798">
                  <w:pPr>
                    <w:pStyle w:val="96"/>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BOD</w:t>
                  </w:r>
                  <w:r>
                    <w:rPr>
                      <w:rFonts w:hint="default" w:ascii="Times New Roman" w:hAnsi="Times New Roman" w:cs="Times New Roman"/>
                      <w:color w:val="auto"/>
                      <w:szCs w:val="21"/>
                      <w:u w:val="none"/>
                      <w:vertAlign w:val="subscript"/>
                    </w:rPr>
                    <w:t>5</w:t>
                  </w:r>
                </w:p>
              </w:tc>
              <w:tc>
                <w:tcPr>
                  <w:tcW w:w="948" w:type="dxa"/>
                  <w:tcBorders>
                    <w:top w:val="single" w:color="auto" w:sz="4" w:space="0"/>
                    <w:left w:val="single" w:color="auto" w:sz="4" w:space="0"/>
                    <w:bottom w:val="single" w:color="auto" w:sz="4" w:space="0"/>
                    <w:right w:val="single" w:color="auto" w:sz="4" w:space="0"/>
                  </w:tcBorders>
                  <w:vAlign w:val="center"/>
                </w:tcPr>
                <w:p w14:paraId="0104CE3A">
                  <w:pPr>
                    <w:pStyle w:val="96"/>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CODcr</w:t>
                  </w:r>
                </w:p>
              </w:tc>
              <w:tc>
                <w:tcPr>
                  <w:tcW w:w="948" w:type="dxa"/>
                  <w:tcBorders>
                    <w:top w:val="single" w:color="auto" w:sz="4" w:space="0"/>
                    <w:left w:val="single" w:color="auto" w:sz="4" w:space="0"/>
                    <w:bottom w:val="single" w:color="auto" w:sz="4" w:space="0"/>
                    <w:right w:val="single" w:color="auto" w:sz="4" w:space="0"/>
                  </w:tcBorders>
                  <w:vAlign w:val="center"/>
                </w:tcPr>
                <w:p w14:paraId="33C74EAB">
                  <w:pPr>
                    <w:pStyle w:val="96"/>
                    <w:ind w:left="233"/>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TP</w:t>
                  </w:r>
                </w:p>
              </w:tc>
              <w:tc>
                <w:tcPr>
                  <w:tcW w:w="948" w:type="dxa"/>
                  <w:tcBorders>
                    <w:top w:val="single" w:color="auto" w:sz="4" w:space="0"/>
                    <w:left w:val="single" w:color="auto" w:sz="4" w:space="0"/>
                    <w:bottom w:val="single" w:color="auto" w:sz="4" w:space="0"/>
                    <w:right w:val="single" w:color="auto" w:sz="4" w:space="0"/>
                  </w:tcBorders>
                  <w:vAlign w:val="center"/>
                </w:tcPr>
                <w:p w14:paraId="4CEC43DA">
                  <w:pPr>
                    <w:pStyle w:val="96"/>
                    <w:jc w:val="center"/>
                    <w:rPr>
                      <w:rFonts w:hint="default" w:ascii="Times New Roman" w:hAnsi="Times New Roman" w:cs="Times New Roman"/>
                      <w:color w:val="auto"/>
                      <w:szCs w:val="21"/>
                      <w:u w:val="none"/>
                    </w:rPr>
                  </w:pPr>
                  <w:r>
                    <w:rPr>
                      <w:rFonts w:hint="default" w:ascii="Times New Roman" w:hAnsi="Times New Roman" w:eastAsia="宋体" w:cs="Times New Roman"/>
                      <w:color w:val="auto"/>
                      <w:szCs w:val="21"/>
                      <w:u w:val="none"/>
                    </w:rPr>
                    <w:t>石</w:t>
                  </w:r>
                  <w:r>
                    <w:rPr>
                      <w:rFonts w:hint="default" w:ascii="Times New Roman" w:hAnsi="Times New Roman" w:cs="Times New Roman"/>
                      <w:color w:val="auto"/>
                      <w:szCs w:val="21"/>
                      <w:u w:val="none"/>
                    </w:rPr>
                    <w:t>油类</w:t>
                  </w:r>
                </w:p>
              </w:tc>
              <w:tc>
                <w:tcPr>
                  <w:tcW w:w="948" w:type="dxa"/>
                  <w:tcBorders>
                    <w:top w:val="single" w:color="auto" w:sz="4" w:space="0"/>
                    <w:left w:val="single" w:color="auto" w:sz="4" w:space="0"/>
                    <w:bottom w:val="single" w:color="auto" w:sz="4" w:space="0"/>
                    <w:right w:val="single" w:color="auto" w:sz="4" w:space="0"/>
                  </w:tcBorders>
                  <w:vAlign w:val="center"/>
                </w:tcPr>
                <w:p w14:paraId="08AB5142">
                  <w:pPr>
                    <w:pStyle w:val="96"/>
                    <w:jc w:val="center"/>
                    <w:rPr>
                      <w:rFonts w:hint="default" w:ascii="Times New Roman" w:hAnsi="Times New Roman" w:cs="Times New Roman"/>
                      <w:color w:val="auto"/>
                      <w:szCs w:val="21"/>
                      <w:u w:val="none"/>
                    </w:rPr>
                  </w:pPr>
                  <w:r>
                    <w:rPr>
                      <w:rFonts w:hint="default" w:ascii="Times New Roman" w:hAnsi="Times New Roman" w:eastAsia="宋体" w:cs="Times New Roman"/>
                      <w:color w:val="auto"/>
                      <w:szCs w:val="21"/>
                      <w:u w:val="none"/>
                    </w:rPr>
                    <w:t>氨</w:t>
                  </w:r>
                  <w:r>
                    <w:rPr>
                      <w:rFonts w:hint="default" w:ascii="Times New Roman" w:hAnsi="Times New Roman" w:cs="Times New Roman"/>
                      <w:color w:val="auto"/>
                      <w:szCs w:val="21"/>
                      <w:u w:val="none"/>
                    </w:rPr>
                    <w:t>氮</w:t>
                  </w:r>
                </w:p>
              </w:tc>
            </w:tr>
            <w:tr w14:paraId="44A83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2086" w:type="dxa"/>
                  <w:vMerge w:val="continue"/>
                  <w:tcBorders>
                    <w:left w:val="single" w:color="auto" w:sz="4" w:space="0"/>
                    <w:bottom w:val="single" w:color="auto" w:sz="4" w:space="0"/>
                    <w:right w:val="single" w:color="auto" w:sz="4" w:space="0"/>
                  </w:tcBorders>
                  <w:vAlign w:val="center"/>
                </w:tcPr>
                <w:p w14:paraId="474B94CD">
                  <w:pPr>
                    <w:pStyle w:val="96"/>
                    <w:jc w:val="center"/>
                    <w:rPr>
                      <w:rFonts w:hint="default" w:ascii="Times New Roman" w:hAnsi="Times New Roman" w:cs="Times New Roman"/>
                      <w:color w:val="auto"/>
                      <w:szCs w:val="21"/>
                      <w:u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40F74599">
                  <w:pPr>
                    <w:pStyle w:val="96"/>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6-9</w:t>
                  </w:r>
                </w:p>
              </w:tc>
              <w:tc>
                <w:tcPr>
                  <w:tcW w:w="635" w:type="dxa"/>
                  <w:tcBorders>
                    <w:top w:val="single" w:color="auto" w:sz="4" w:space="0"/>
                    <w:left w:val="single" w:color="auto" w:sz="4" w:space="0"/>
                    <w:bottom w:val="single" w:color="auto" w:sz="4" w:space="0"/>
                    <w:right w:val="single" w:color="auto" w:sz="4" w:space="0"/>
                  </w:tcBorders>
                  <w:vAlign w:val="center"/>
                </w:tcPr>
                <w:p w14:paraId="32E4C495">
                  <w:pPr>
                    <w:pStyle w:val="96"/>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400</w:t>
                  </w:r>
                </w:p>
              </w:tc>
              <w:tc>
                <w:tcPr>
                  <w:tcW w:w="948" w:type="dxa"/>
                  <w:tcBorders>
                    <w:top w:val="single" w:color="auto" w:sz="4" w:space="0"/>
                    <w:left w:val="single" w:color="auto" w:sz="4" w:space="0"/>
                    <w:bottom w:val="single" w:color="auto" w:sz="4" w:space="0"/>
                    <w:right w:val="single" w:color="auto" w:sz="4" w:space="0"/>
                  </w:tcBorders>
                  <w:vAlign w:val="center"/>
                </w:tcPr>
                <w:p w14:paraId="0923E454">
                  <w:pPr>
                    <w:pStyle w:val="96"/>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300</w:t>
                  </w:r>
                </w:p>
              </w:tc>
              <w:tc>
                <w:tcPr>
                  <w:tcW w:w="948" w:type="dxa"/>
                  <w:tcBorders>
                    <w:top w:val="single" w:color="auto" w:sz="4" w:space="0"/>
                    <w:left w:val="single" w:color="auto" w:sz="4" w:space="0"/>
                    <w:bottom w:val="single" w:color="auto" w:sz="4" w:space="0"/>
                    <w:right w:val="single" w:color="auto" w:sz="4" w:space="0"/>
                  </w:tcBorders>
                  <w:vAlign w:val="center"/>
                </w:tcPr>
                <w:p w14:paraId="5315604D">
                  <w:pPr>
                    <w:pStyle w:val="96"/>
                    <w:ind w:left="89"/>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500</w:t>
                  </w:r>
                </w:p>
              </w:tc>
              <w:tc>
                <w:tcPr>
                  <w:tcW w:w="948" w:type="dxa"/>
                  <w:tcBorders>
                    <w:top w:val="single" w:color="auto" w:sz="4" w:space="0"/>
                    <w:left w:val="single" w:color="auto" w:sz="4" w:space="0"/>
                    <w:bottom w:val="single" w:color="auto" w:sz="4" w:space="0"/>
                    <w:right w:val="single" w:color="auto" w:sz="4" w:space="0"/>
                  </w:tcBorders>
                  <w:vAlign w:val="center"/>
                </w:tcPr>
                <w:p w14:paraId="52382B19">
                  <w:pPr>
                    <w:pStyle w:val="96"/>
                    <w:ind w:left="19"/>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w:t>
                  </w:r>
                </w:p>
              </w:tc>
              <w:tc>
                <w:tcPr>
                  <w:tcW w:w="948" w:type="dxa"/>
                  <w:tcBorders>
                    <w:top w:val="single" w:color="auto" w:sz="4" w:space="0"/>
                    <w:left w:val="single" w:color="auto" w:sz="4" w:space="0"/>
                    <w:bottom w:val="single" w:color="auto" w:sz="4" w:space="0"/>
                    <w:right w:val="single" w:color="auto" w:sz="4" w:space="0"/>
                  </w:tcBorders>
                  <w:vAlign w:val="center"/>
                </w:tcPr>
                <w:p w14:paraId="258F7C26">
                  <w:pPr>
                    <w:pStyle w:val="96"/>
                    <w:ind w:left="192"/>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20</w:t>
                  </w:r>
                </w:p>
              </w:tc>
              <w:tc>
                <w:tcPr>
                  <w:tcW w:w="948" w:type="dxa"/>
                  <w:tcBorders>
                    <w:top w:val="single" w:color="auto" w:sz="4" w:space="0"/>
                    <w:left w:val="single" w:color="auto" w:sz="4" w:space="0"/>
                    <w:bottom w:val="single" w:color="auto" w:sz="4" w:space="0"/>
                    <w:right w:val="single" w:color="auto" w:sz="4" w:space="0"/>
                  </w:tcBorders>
                  <w:vAlign w:val="center"/>
                </w:tcPr>
                <w:p w14:paraId="7CBA23F2">
                  <w:pPr>
                    <w:pStyle w:val="96"/>
                    <w:ind w:left="22"/>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w:t>
                  </w:r>
                </w:p>
              </w:tc>
            </w:tr>
            <w:tr w14:paraId="0456A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2086" w:type="dxa"/>
                  <w:tcBorders>
                    <w:left w:val="single" w:color="auto" w:sz="4" w:space="0"/>
                    <w:bottom w:val="single" w:color="auto" w:sz="4" w:space="0"/>
                    <w:right w:val="single" w:color="auto" w:sz="4" w:space="0"/>
                  </w:tcBorders>
                  <w:vAlign w:val="center"/>
                </w:tcPr>
                <w:p w14:paraId="57EE6DC0">
                  <w:pPr>
                    <w:pStyle w:val="96"/>
                    <w:jc w:val="center"/>
                    <w:rPr>
                      <w:rFonts w:hint="default" w:ascii="Times New Roman" w:hAnsi="Times New Roman" w:eastAsia="Times New Roman" w:cs="Times New Roman"/>
                      <w:color w:val="auto"/>
                      <w:szCs w:val="21"/>
                      <w:u w:val="none"/>
                      <w:lang w:val="en-US" w:eastAsia="zh-CN"/>
                    </w:rPr>
                  </w:pPr>
                  <w:r>
                    <w:rPr>
                      <w:rFonts w:hint="default" w:ascii="Times New Roman" w:hAnsi="Times New Roman" w:cs="Times New Roman"/>
                      <w:color w:val="auto"/>
                      <w:kern w:val="2"/>
                      <w:sz w:val="21"/>
                      <w:szCs w:val="21"/>
                      <w:u w:val="none"/>
                    </w:rPr>
                    <w:t>东安经济开发区污水处理厂</w:t>
                  </w:r>
                  <w:r>
                    <w:rPr>
                      <w:rFonts w:hint="default" w:ascii="Times New Roman" w:hAnsi="Times New Roman" w:eastAsia="Times New Roman" w:cs="Times New Roman"/>
                      <w:color w:val="auto"/>
                      <w:kern w:val="2"/>
                      <w:sz w:val="21"/>
                      <w:szCs w:val="21"/>
                      <w:u w:val="none"/>
                      <w:lang w:val="en-US" w:eastAsia="zh-CN"/>
                    </w:rPr>
                    <w:t>进水标准</w:t>
                  </w:r>
                </w:p>
              </w:tc>
              <w:tc>
                <w:tcPr>
                  <w:tcW w:w="720" w:type="dxa"/>
                  <w:tcBorders>
                    <w:top w:val="single" w:color="auto" w:sz="4" w:space="0"/>
                    <w:left w:val="single" w:color="auto" w:sz="4" w:space="0"/>
                    <w:bottom w:val="single" w:color="auto" w:sz="4" w:space="0"/>
                    <w:right w:val="single" w:color="auto" w:sz="4" w:space="0"/>
                  </w:tcBorders>
                  <w:vAlign w:val="center"/>
                </w:tcPr>
                <w:p w14:paraId="38A06755">
                  <w:pPr>
                    <w:pStyle w:val="96"/>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w:t>
                  </w:r>
                </w:p>
              </w:tc>
              <w:tc>
                <w:tcPr>
                  <w:tcW w:w="635" w:type="dxa"/>
                  <w:tcBorders>
                    <w:top w:val="single" w:color="auto" w:sz="4" w:space="0"/>
                    <w:left w:val="single" w:color="auto" w:sz="4" w:space="0"/>
                    <w:bottom w:val="single" w:color="auto" w:sz="4" w:space="0"/>
                    <w:right w:val="single" w:color="auto" w:sz="4" w:space="0"/>
                  </w:tcBorders>
                  <w:vAlign w:val="center"/>
                </w:tcPr>
                <w:p w14:paraId="740E8679">
                  <w:pPr>
                    <w:pStyle w:val="96"/>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400</w:t>
                  </w:r>
                </w:p>
              </w:tc>
              <w:tc>
                <w:tcPr>
                  <w:tcW w:w="948" w:type="dxa"/>
                  <w:tcBorders>
                    <w:top w:val="single" w:color="auto" w:sz="4" w:space="0"/>
                    <w:left w:val="single" w:color="auto" w:sz="4" w:space="0"/>
                    <w:bottom w:val="single" w:color="auto" w:sz="4" w:space="0"/>
                    <w:right w:val="single" w:color="auto" w:sz="4" w:space="0"/>
                  </w:tcBorders>
                  <w:vAlign w:val="center"/>
                </w:tcPr>
                <w:p w14:paraId="73924C5C">
                  <w:pPr>
                    <w:pStyle w:val="96"/>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300</w:t>
                  </w:r>
                </w:p>
              </w:tc>
              <w:tc>
                <w:tcPr>
                  <w:tcW w:w="948" w:type="dxa"/>
                  <w:tcBorders>
                    <w:top w:val="single" w:color="auto" w:sz="4" w:space="0"/>
                    <w:left w:val="single" w:color="auto" w:sz="4" w:space="0"/>
                    <w:bottom w:val="single" w:color="auto" w:sz="4" w:space="0"/>
                    <w:right w:val="single" w:color="auto" w:sz="4" w:space="0"/>
                  </w:tcBorders>
                  <w:vAlign w:val="center"/>
                </w:tcPr>
                <w:p w14:paraId="45BF41B2">
                  <w:pPr>
                    <w:pStyle w:val="96"/>
                    <w:ind w:left="0"/>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350</w:t>
                  </w:r>
                </w:p>
              </w:tc>
              <w:tc>
                <w:tcPr>
                  <w:tcW w:w="948" w:type="dxa"/>
                  <w:tcBorders>
                    <w:top w:val="single" w:color="auto" w:sz="4" w:space="0"/>
                    <w:left w:val="single" w:color="auto" w:sz="4" w:space="0"/>
                    <w:bottom w:val="single" w:color="auto" w:sz="4" w:space="0"/>
                    <w:right w:val="single" w:color="auto" w:sz="4" w:space="0"/>
                  </w:tcBorders>
                  <w:vAlign w:val="center"/>
                </w:tcPr>
                <w:p w14:paraId="6FDE23DC">
                  <w:pPr>
                    <w:pStyle w:val="96"/>
                    <w:ind w:left="19"/>
                    <w:jc w:val="center"/>
                    <w:rPr>
                      <w:rFonts w:hint="default" w:ascii="Times New Roman" w:hAnsi="Times New Roman" w:eastAsia="宋体" w:cs="Times New Roman"/>
                      <w:color w:val="auto"/>
                      <w:szCs w:val="21"/>
                      <w:u w:val="none"/>
                      <w:lang w:val="en-US" w:eastAsia="zh-CN"/>
                    </w:rPr>
                  </w:pPr>
                  <w:r>
                    <w:rPr>
                      <w:rFonts w:hint="default" w:eastAsia="宋体" w:cs="Times New Roman"/>
                      <w:color w:val="auto"/>
                      <w:szCs w:val="21"/>
                      <w:u w:val="none"/>
                      <w:lang w:val="en-US" w:eastAsia="zh-CN"/>
                    </w:rPr>
                    <w:t>6</w:t>
                  </w:r>
                </w:p>
              </w:tc>
              <w:tc>
                <w:tcPr>
                  <w:tcW w:w="948" w:type="dxa"/>
                  <w:tcBorders>
                    <w:top w:val="single" w:color="auto" w:sz="4" w:space="0"/>
                    <w:left w:val="single" w:color="auto" w:sz="4" w:space="0"/>
                    <w:bottom w:val="single" w:color="auto" w:sz="4" w:space="0"/>
                    <w:right w:val="single" w:color="auto" w:sz="4" w:space="0"/>
                  </w:tcBorders>
                  <w:vAlign w:val="center"/>
                </w:tcPr>
                <w:p w14:paraId="78FE5916">
                  <w:pPr>
                    <w:pStyle w:val="96"/>
                    <w:ind w:left="192"/>
                    <w:jc w:val="center"/>
                    <w:rPr>
                      <w:rFonts w:hint="default" w:ascii="Times New Roman" w:hAnsi="Times New Roman" w:eastAsia="宋体" w:cs="Times New Roman"/>
                      <w:color w:val="auto"/>
                      <w:szCs w:val="21"/>
                      <w:u w:val="none"/>
                      <w:lang w:val="en-US" w:eastAsia="zh-CN"/>
                    </w:rPr>
                  </w:pPr>
                  <w:r>
                    <w:rPr>
                      <w:rFonts w:hint="default" w:eastAsia="宋体" w:cs="Times New Roman"/>
                      <w:color w:val="auto"/>
                      <w:szCs w:val="21"/>
                      <w:u w:val="none"/>
                      <w:lang w:val="en-US" w:eastAsia="zh-CN"/>
                    </w:rPr>
                    <w:t>20</w:t>
                  </w:r>
                </w:p>
              </w:tc>
              <w:tc>
                <w:tcPr>
                  <w:tcW w:w="948" w:type="dxa"/>
                  <w:tcBorders>
                    <w:top w:val="single" w:color="auto" w:sz="4" w:space="0"/>
                    <w:left w:val="single" w:color="auto" w:sz="4" w:space="0"/>
                    <w:bottom w:val="single" w:color="auto" w:sz="4" w:space="0"/>
                    <w:right w:val="single" w:color="auto" w:sz="4" w:space="0"/>
                  </w:tcBorders>
                  <w:vAlign w:val="center"/>
                </w:tcPr>
                <w:p w14:paraId="3301F7A0">
                  <w:pPr>
                    <w:pStyle w:val="96"/>
                    <w:ind w:left="22"/>
                    <w:jc w:val="center"/>
                    <w:rPr>
                      <w:rFonts w:hint="default" w:ascii="Times New Roman" w:hAnsi="Times New Roman" w:eastAsia="宋体" w:cs="Times New Roman"/>
                      <w:color w:val="auto"/>
                      <w:szCs w:val="21"/>
                      <w:u w:val="none"/>
                      <w:lang w:val="en-US" w:eastAsia="zh-CN"/>
                    </w:rPr>
                  </w:pPr>
                  <w:r>
                    <w:rPr>
                      <w:rFonts w:hint="default" w:eastAsia="宋体" w:cs="Times New Roman"/>
                      <w:color w:val="auto"/>
                      <w:szCs w:val="21"/>
                      <w:u w:val="none"/>
                      <w:lang w:val="en-US" w:eastAsia="zh-CN"/>
                    </w:rPr>
                    <w:t>35</w:t>
                  </w:r>
                </w:p>
              </w:tc>
            </w:tr>
            <w:tr w14:paraId="150AE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2086" w:type="dxa"/>
                  <w:tcBorders>
                    <w:top w:val="single" w:color="auto" w:sz="4" w:space="0"/>
                    <w:left w:val="single" w:color="auto" w:sz="4" w:space="0"/>
                    <w:bottom w:val="single" w:color="auto" w:sz="4" w:space="0"/>
                    <w:right w:val="single" w:color="auto" w:sz="4" w:space="0"/>
                  </w:tcBorders>
                  <w:vAlign w:val="center"/>
                </w:tcPr>
                <w:p w14:paraId="4A566F57">
                  <w:pPr>
                    <w:pStyle w:val="96"/>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GB18918-2002中的一级A标准</w:t>
                  </w:r>
                </w:p>
              </w:tc>
              <w:tc>
                <w:tcPr>
                  <w:tcW w:w="720" w:type="dxa"/>
                  <w:tcBorders>
                    <w:top w:val="single" w:color="auto" w:sz="4" w:space="0"/>
                    <w:left w:val="single" w:color="auto" w:sz="4" w:space="0"/>
                    <w:bottom w:val="single" w:color="auto" w:sz="4" w:space="0"/>
                    <w:right w:val="single" w:color="auto" w:sz="4" w:space="0"/>
                  </w:tcBorders>
                  <w:vAlign w:val="center"/>
                </w:tcPr>
                <w:p w14:paraId="60DF6ADF">
                  <w:pPr>
                    <w:pStyle w:val="96"/>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6-9</w:t>
                  </w:r>
                </w:p>
              </w:tc>
              <w:tc>
                <w:tcPr>
                  <w:tcW w:w="635" w:type="dxa"/>
                  <w:tcBorders>
                    <w:top w:val="single" w:color="auto" w:sz="4" w:space="0"/>
                    <w:left w:val="single" w:color="auto" w:sz="4" w:space="0"/>
                    <w:bottom w:val="single" w:color="auto" w:sz="4" w:space="0"/>
                    <w:right w:val="single" w:color="auto" w:sz="4" w:space="0"/>
                  </w:tcBorders>
                  <w:vAlign w:val="center"/>
                </w:tcPr>
                <w:p w14:paraId="2B032A8C">
                  <w:pPr>
                    <w:pStyle w:val="96"/>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w:t>
                  </w:r>
                </w:p>
              </w:tc>
              <w:tc>
                <w:tcPr>
                  <w:tcW w:w="948" w:type="dxa"/>
                  <w:tcBorders>
                    <w:top w:val="single" w:color="auto" w:sz="4" w:space="0"/>
                    <w:left w:val="single" w:color="auto" w:sz="4" w:space="0"/>
                    <w:bottom w:val="single" w:color="auto" w:sz="4" w:space="0"/>
                    <w:right w:val="single" w:color="auto" w:sz="4" w:space="0"/>
                  </w:tcBorders>
                  <w:vAlign w:val="center"/>
                </w:tcPr>
                <w:p w14:paraId="2D1DEFFC">
                  <w:pPr>
                    <w:pStyle w:val="96"/>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10</w:t>
                  </w:r>
                </w:p>
              </w:tc>
              <w:tc>
                <w:tcPr>
                  <w:tcW w:w="948" w:type="dxa"/>
                  <w:tcBorders>
                    <w:top w:val="single" w:color="auto" w:sz="4" w:space="0"/>
                    <w:left w:val="single" w:color="auto" w:sz="4" w:space="0"/>
                    <w:bottom w:val="single" w:color="auto" w:sz="4" w:space="0"/>
                    <w:right w:val="single" w:color="auto" w:sz="4" w:space="0"/>
                  </w:tcBorders>
                  <w:vAlign w:val="center"/>
                </w:tcPr>
                <w:p w14:paraId="747F3CAF">
                  <w:pPr>
                    <w:pStyle w:val="96"/>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50</w:t>
                  </w:r>
                </w:p>
              </w:tc>
              <w:tc>
                <w:tcPr>
                  <w:tcW w:w="948" w:type="dxa"/>
                  <w:tcBorders>
                    <w:top w:val="single" w:color="auto" w:sz="4" w:space="0"/>
                    <w:left w:val="single" w:color="auto" w:sz="4" w:space="0"/>
                    <w:bottom w:val="single" w:color="auto" w:sz="4" w:space="0"/>
                    <w:right w:val="single" w:color="auto" w:sz="4" w:space="0"/>
                  </w:tcBorders>
                  <w:vAlign w:val="center"/>
                </w:tcPr>
                <w:p w14:paraId="10583B36">
                  <w:pPr>
                    <w:pStyle w:val="96"/>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0.5</w:t>
                  </w:r>
                </w:p>
              </w:tc>
              <w:tc>
                <w:tcPr>
                  <w:tcW w:w="948" w:type="dxa"/>
                  <w:tcBorders>
                    <w:top w:val="single" w:color="auto" w:sz="4" w:space="0"/>
                    <w:left w:val="single" w:color="auto" w:sz="4" w:space="0"/>
                    <w:bottom w:val="single" w:color="auto" w:sz="4" w:space="0"/>
                    <w:right w:val="single" w:color="auto" w:sz="4" w:space="0"/>
                  </w:tcBorders>
                  <w:vAlign w:val="center"/>
                </w:tcPr>
                <w:p w14:paraId="668730C8">
                  <w:pPr>
                    <w:pStyle w:val="96"/>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1</w:t>
                  </w:r>
                </w:p>
              </w:tc>
              <w:tc>
                <w:tcPr>
                  <w:tcW w:w="948" w:type="dxa"/>
                  <w:tcBorders>
                    <w:top w:val="single" w:color="auto" w:sz="4" w:space="0"/>
                    <w:left w:val="single" w:color="auto" w:sz="4" w:space="0"/>
                    <w:bottom w:val="single" w:color="auto" w:sz="4" w:space="0"/>
                    <w:right w:val="single" w:color="auto" w:sz="4" w:space="0"/>
                  </w:tcBorders>
                  <w:vAlign w:val="center"/>
                </w:tcPr>
                <w:p w14:paraId="05CB0D62">
                  <w:pPr>
                    <w:pStyle w:val="96"/>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5（8）</w:t>
                  </w:r>
                </w:p>
              </w:tc>
            </w:tr>
          </w:tbl>
          <w:p w14:paraId="3566EA67">
            <w:pPr>
              <w:spacing w:before="120" w:beforeLines="50" w:line="360" w:lineRule="auto"/>
              <w:ind w:firstLine="361" w:firstLineChars="150"/>
              <w:rPr>
                <w:rFonts w:hint="default" w:ascii="Times New Roman" w:hAnsi="Times New Roman" w:cs="Times New Roman"/>
                <w:b/>
                <w:color w:val="auto"/>
                <w:sz w:val="24"/>
                <w:u w:val="none"/>
              </w:rPr>
            </w:pPr>
            <w:r>
              <w:rPr>
                <w:rFonts w:hint="default" w:ascii="Times New Roman" w:hAnsi="Times New Roman" w:cs="Times New Roman"/>
                <w:b/>
                <w:color w:val="auto"/>
                <w:sz w:val="24"/>
                <w:u w:val="none"/>
              </w:rPr>
              <w:t>2、废气排放标准</w:t>
            </w:r>
          </w:p>
          <w:p w14:paraId="4DA8B34A">
            <w:pPr>
              <w:pStyle w:val="96"/>
              <w:spacing w:before="1" w:line="364" w:lineRule="auto"/>
              <w:ind w:left="107" w:right="-29" w:firstLine="480"/>
              <w:rPr>
                <w:rFonts w:hint="default" w:ascii="Times New Roman" w:hAnsi="Times New Roman" w:cs="Times New Roman"/>
                <w:color w:val="auto"/>
                <w:sz w:val="24"/>
                <w:u w:val="none"/>
              </w:rPr>
            </w:pPr>
            <w:r>
              <w:rPr>
                <w:rFonts w:hint="default" w:ascii="Times New Roman" w:hAnsi="Times New Roman" w:cs="Times New Roman"/>
                <w:color w:val="auto"/>
                <w:sz w:val="24"/>
                <w:u w:val="none"/>
              </w:rPr>
              <w:t>施工期执行《大气污染物综合排放标准》（GB16297-1996）中表2关于颗粒物的无组织排放监控限值要求；</w:t>
            </w:r>
          </w:p>
          <w:p w14:paraId="7E119BCF">
            <w:pPr>
              <w:pStyle w:val="96"/>
              <w:spacing w:before="1" w:line="364" w:lineRule="auto"/>
              <w:ind w:left="107" w:right="-29" w:firstLine="480"/>
              <w:rPr>
                <w:rFonts w:hint="default" w:ascii="Times New Roman" w:hAnsi="Times New Roman" w:eastAsia="宋体" w:cs="Times New Roman"/>
                <w:color w:val="auto"/>
                <w:sz w:val="24"/>
                <w:u w:val="none"/>
                <w:lang w:val="en-US" w:eastAsia="zh-CN"/>
              </w:rPr>
            </w:pPr>
            <w:r>
              <w:rPr>
                <w:rFonts w:hint="default" w:ascii="Times New Roman" w:hAnsi="Times New Roman" w:cs="Times New Roman"/>
                <w:color w:val="auto"/>
                <w:sz w:val="24"/>
                <w:u w:val="none"/>
              </w:rPr>
              <w:t>运营期</w:t>
            </w:r>
            <w:r>
              <w:rPr>
                <w:rFonts w:hint="default" w:ascii="Times New Roman" w:hAnsi="Times New Roman" w:cs="Times New Roman"/>
                <w:sz w:val="24"/>
              </w:rPr>
              <w:t>注塑过程有组排放的非甲烷总烃</w:t>
            </w:r>
            <w:r>
              <w:rPr>
                <w:rFonts w:hint="default" w:eastAsia="Times New Roman" w:cs="Times New Roman"/>
                <w:sz w:val="24"/>
                <w:lang w:eastAsia="zh-CN"/>
              </w:rPr>
              <w:t>、</w:t>
            </w:r>
            <w:r>
              <w:rPr>
                <w:rFonts w:hint="default"/>
                <w:sz w:val="24"/>
                <w:lang w:val="en-US" w:eastAsia="zh-CN"/>
              </w:rPr>
              <w:t>苯乙烯、</w:t>
            </w:r>
            <w:r>
              <w:rPr>
                <w:rFonts w:ascii="Times New Roman" w:eastAsia="Times New Roman"/>
                <w:sz w:val="24"/>
              </w:rPr>
              <w:t>1,3-</w:t>
            </w:r>
            <w:r>
              <w:rPr>
                <w:spacing w:val="-17"/>
                <w:sz w:val="24"/>
              </w:rPr>
              <w:t>丁二烯</w:t>
            </w:r>
            <w:r>
              <w:rPr>
                <w:rFonts w:hint="default" w:ascii="Times New Roman" w:hAnsi="Times New Roman" w:cs="Times New Roman"/>
                <w:spacing w:val="0"/>
                <w:sz w:val="24"/>
              </w:rPr>
              <w:t>执</w:t>
            </w:r>
            <w:r>
              <w:rPr>
                <w:rFonts w:hint="default" w:ascii="Times New Roman" w:hAnsi="Times New Roman" w:cs="Times New Roman"/>
                <w:spacing w:val="-17"/>
                <w:sz w:val="24"/>
              </w:rPr>
              <w:t>行《合成树脂工业污染</w:t>
            </w:r>
            <w:r>
              <w:rPr>
                <w:rFonts w:hint="default" w:ascii="Times New Roman" w:hAnsi="Times New Roman" w:eastAsia="Times New Roman" w:cs="Times New Roman"/>
                <w:color w:val="auto"/>
                <w:sz w:val="24"/>
                <w:u w:val="none"/>
              </w:rPr>
              <w:t>物排放标准》（GB31572-2015</w:t>
            </w:r>
            <w:r>
              <w:rPr>
                <w:rFonts w:hint="default" w:eastAsia="宋体" w:cs="Times New Roman"/>
                <w:color w:val="auto"/>
                <w:sz w:val="24"/>
                <w:u w:val="none"/>
                <w:lang w:val="en-US" w:eastAsia="zh-CN"/>
              </w:rPr>
              <w:t>含2024年修改单</w:t>
            </w:r>
            <w:r>
              <w:rPr>
                <w:rFonts w:hint="default" w:ascii="Times New Roman" w:hAnsi="Times New Roman" w:eastAsia="Times New Roman" w:cs="Times New Roman"/>
                <w:color w:val="auto"/>
                <w:sz w:val="24"/>
                <w:u w:val="none"/>
              </w:rPr>
              <w:t>）表4大气污染物排放限值；</w:t>
            </w:r>
            <w:r>
              <w:rPr>
                <w:rFonts w:hint="default" w:ascii="Times New Roman" w:hAnsi="Times New Roman" w:eastAsia="宋体" w:cs="Times New Roman"/>
                <w:color w:val="auto"/>
                <w:sz w:val="24"/>
                <w:szCs w:val="24"/>
                <w:u w:val="none"/>
                <w:lang w:val="en-US" w:eastAsia="zh-CN"/>
              </w:rPr>
              <w:t>臭气浓度</w:t>
            </w:r>
            <w:r>
              <w:rPr>
                <w:spacing w:val="31"/>
                <w:sz w:val="24"/>
              </w:rPr>
              <w:t>执行《恶臭污染物排放标准》</w:t>
            </w:r>
            <w:r>
              <w:rPr>
                <w:spacing w:val="-5"/>
                <w:sz w:val="24"/>
              </w:rPr>
              <w:t>（GB14554-93）</w:t>
            </w:r>
            <w:r>
              <w:rPr>
                <w:spacing w:val="-28"/>
                <w:sz w:val="24"/>
              </w:rPr>
              <w:t>表</w:t>
            </w:r>
            <w:r>
              <w:rPr>
                <w:rFonts w:hint="default" w:eastAsia="宋体"/>
                <w:sz w:val="24"/>
                <w:lang w:val="en-US" w:eastAsia="zh-CN"/>
              </w:rPr>
              <w:t>2</w:t>
            </w:r>
            <w:r>
              <w:rPr>
                <w:spacing w:val="-18"/>
                <w:sz w:val="24"/>
              </w:rPr>
              <w:t>规定的限值</w:t>
            </w:r>
            <w:r>
              <w:rPr>
                <w:rFonts w:hint="default" w:eastAsia="宋体"/>
                <w:spacing w:val="-18"/>
                <w:sz w:val="24"/>
                <w:lang w:val="en-US" w:eastAsia="zh-CN"/>
              </w:rPr>
              <w:t>；</w:t>
            </w:r>
          </w:p>
          <w:p w14:paraId="7ED239A3">
            <w:pPr>
              <w:spacing w:before="1" w:line="360" w:lineRule="auto"/>
              <w:ind w:right="-29" w:firstLine="480" w:firstLineChars="200"/>
              <w:rPr>
                <w:rFonts w:hint="default" w:ascii="Times New Roman" w:hAnsi="Times New Roman" w:eastAsia="Times New Roman" w:cs="Times New Roman"/>
                <w:color w:val="auto"/>
                <w:sz w:val="24"/>
                <w:u w:val="none"/>
              </w:rPr>
            </w:pPr>
            <w:r>
              <w:rPr>
                <w:rStyle w:val="41"/>
                <w:rFonts w:hint="default" w:ascii="Times New Roman" w:hAnsi="Times New Roman" w:eastAsia="宋体" w:cs="Times New Roman"/>
                <w:color w:val="000000"/>
                <w:sz w:val="24"/>
                <w:szCs w:val="24"/>
              </w:rPr>
              <w:t>无组织厂界废气</w:t>
            </w:r>
            <w:r>
              <w:rPr>
                <w:rFonts w:hint="default" w:ascii="Times New Roman" w:hAnsi="Times New Roman" w:eastAsia="宋体" w:cs="Times New Roman"/>
                <w:sz w:val="24"/>
                <w:szCs w:val="24"/>
              </w:rPr>
              <w:t>：企业边界排放的非甲烷总烃</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颗粒物</w:t>
            </w:r>
            <w:r>
              <w:rPr>
                <w:rFonts w:hint="default" w:ascii="Times New Roman" w:hAnsi="Times New Roman" w:eastAsia="宋体" w:cs="Times New Roman"/>
                <w:sz w:val="24"/>
                <w:szCs w:val="24"/>
              </w:rPr>
              <w:t>执行《合成树脂工业污染物排放标准》（GB31572-2015</w:t>
            </w:r>
            <w:r>
              <w:rPr>
                <w:rFonts w:hint="default" w:ascii="Times New Roman" w:hAnsi="Times New Roman" w:eastAsia="宋体" w:cs="Times New Roman"/>
                <w:color w:val="auto"/>
                <w:sz w:val="24"/>
                <w:u w:val="none"/>
                <w:lang w:val="en-US" w:eastAsia="zh-CN"/>
              </w:rPr>
              <w:t>含2024年修改单</w:t>
            </w:r>
            <w:r>
              <w:rPr>
                <w:rFonts w:hint="default" w:ascii="Times New Roman" w:hAnsi="Times New Roman" w:eastAsia="宋体" w:cs="Times New Roman"/>
                <w:sz w:val="24"/>
                <w:szCs w:val="24"/>
              </w:rPr>
              <w:t>）表9企业边界大气污染物浓度限值；</w:t>
            </w:r>
            <w:r>
              <w:rPr>
                <w:rFonts w:ascii="Times New Roman" w:hAnsi="Times New Roman" w:cs="Times New Roman"/>
                <w:spacing w:val="31"/>
                <w:sz w:val="24"/>
              </w:rPr>
              <w:t>苯乙烯</w:t>
            </w:r>
            <w:r>
              <w:rPr>
                <w:rFonts w:hint="default" w:ascii="Times New Roman" w:hAnsi="Times New Roman" w:eastAsia="宋体" w:cs="Times New Roman"/>
                <w:spacing w:val="31"/>
                <w:sz w:val="24"/>
                <w:lang w:eastAsia="zh-CN"/>
              </w:rPr>
              <w:t>、</w:t>
            </w:r>
            <w:r>
              <w:rPr>
                <w:rFonts w:hint="default" w:ascii="Times New Roman" w:hAnsi="Times New Roman" w:eastAsia="宋体" w:cs="Times New Roman"/>
                <w:color w:val="auto"/>
                <w:sz w:val="24"/>
                <w:szCs w:val="24"/>
                <w:u w:val="none"/>
                <w:lang w:val="en-US" w:eastAsia="zh-CN"/>
              </w:rPr>
              <w:t>臭气浓度</w:t>
            </w:r>
            <w:r>
              <w:rPr>
                <w:rFonts w:ascii="Times New Roman" w:hAnsi="Times New Roman" w:cs="Times New Roman"/>
                <w:spacing w:val="31"/>
                <w:sz w:val="24"/>
              </w:rPr>
              <w:t>执行《恶臭污染物排放标准》</w:t>
            </w:r>
            <w:r>
              <w:rPr>
                <w:rFonts w:ascii="Times New Roman" w:hAnsi="Times New Roman" w:cs="Times New Roman"/>
                <w:spacing w:val="-5"/>
                <w:sz w:val="24"/>
              </w:rPr>
              <w:t>（GB14554-93）</w:t>
            </w:r>
            <w:r>
              <w:rPr>
                <w:rFonts w:ascii="Times New Roman" w:hAnsi="Times New Roman" w:cs="Times New Roman"/>
                <w:spacing w:val="-28"/>
                <w:sz w:val="24"/>
              </w:rPr>
              <w:t>表</w:t>
            </w:r>
            <w:r>
              <w:rPr>
                <w:rFonts w:ascii="Times New Roman" w:hAnsi="Times New Roman" w:cs="Times New Roman"/>
                <w:sz w:val="24"/>
              </w:rPr>
              <w:t>1</w:t>
            </w:r>
            <w:r>
              <w:rPr>
                <w:rFonts w:ascii="Times New Roman" w:hAnsi="Times New Roman" w:cs="Times New Roman"/>
                <w:spacing w:val="-18"/>
                <w:sz w:val="24"/>
              </w:rPr>
              <w:t>规定的限值</w:t>
            </w:r>
            <w:r>
              <w:rPr>
                <w:rFonts w:hint="default" w:ascii="Times New Roman" w:hAnsi="Times New Roman" w:cs="Times New Roman"/>
                <w:spacing w:val="-18"/>
                <w:sz w:val="24"/>
                <w:lang w:val="en-US" w:eastAsia="zh-CN"/>
              </w:rPr>
              <w:t>；</w:t>
            </w:r>
          </w:p>
          <w:p w14:paraId="20A38419">
            <w:pPr>
              <w:pStyle w:val="96"/>
              <w:spacing w:before="1" w:line="364" w:lineRule="auto"/>
              <w:ind w:left="107" w:right="-29" w:firstLine="480"/>
              <w:rPr>
                <w:rFonts w:hint="default" w:ascii="Times New Roman" w:hAnsi="Times New Roman" w:eastAsia="宋体" w:cs="Times New Roman"/>
                <w:color w:val="auto"/>
                <w:sz w:val="24"/>
                <w:u w:val="none"/>
              </w:rPr>
            </w:pPr>
            <w:r>
              <w:rPr>
                <w:rStyle w:val="41"/>
                <w:rFonts w:hint="default" w:ascii="Times New Roman" w:hAnsi="Times New Roman" w:eastAsia="宋体" w:cs="Times New Roman"/>
                <w:color w:val="000000"/>
                <w:sz w:val="24"/>
                <w:szCs w:val="24"/>
              </w:rPr>
              <w:t>厂区内无组织VOCs</w:t>
            </w:r>
            <w:r>
              <w:rPr>
                <w:rFonts w:hint="default" w:ascii="Times New Roman" w:hAnsi="Times New Roman" w:eastAsia="宋体" w:cs="Times New Roman"/>
                <w:sz w:val="24"/>
                <w:szCs w:val="24"/>
              </w:rPr>
              <w:t>：厂区内无组织排放的非甲烷总烃执行</w:t>
            </w:r>
            <w:r>
              <w:rPr>
                <w:rFonts w:ascii="Times New Roman" w:hAnsi="Times New Roman" w:eastAsia="宋体" w:cs="Times New Roman"/>
                <w:sz w:val="24"/>
                <w:szCs w:val="24"/>
              </w:rPr>
              <w:t>《工业企业挥发性有机物排放标准》（DB43/3550-2026</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表2标准</w:t>
            </w:r>
            <w:r>
              <w:rPr>
                <w:rFonts w:hint="default" w:ascii="Times New Roman" w:hAnsi="Times New Roman" w:eastAsia="宋体" w:cs="Times New Roman"/>
                <w:sz w:val="24"/>
                <w:szCs w:val="24"/>
                <w:lang w:eastAsia="zh-CN"/>
              </w:rPr>
              <w:t>。</w:t>
            </w:r>
          </w:p>
          <w:p w14:paraId="37CE4112">
            <w:pPr>
              <w:pStyle w:val="96"/>
              <w:spacing w:before="1" w:line="364" w:lineRule="auto"/>
              <w:ind w:left="107" w:right="-29" w:firstLine="480"/>
              <w:rPr>
                <w:rFonts w:hint="default" w:ascii="Times New Roman" w:hAnsi="Times New Roman" w:eastAsia="Times New Roman" w:cs="Times New Roman"/>
                <w:color w:val="auto"/>
                <w:sz w:val="24"/>
                <w:u w:val="none"/>
              </w:rPr>
            </w:pPr>
            <w:r>
              <w:rPr>
                <w:rFonts w:hint="default" w:ascii="Times New Roman" w:hAnsi="Times New Roman" w:eastAsia="Times New Roman" w:cs="Times New Roman"/>
                <w:color w:val="auto"/>
                <w:sz w:val="24"/>
                <w:u w:val="none"/>
              </w:rPr>
              <w:t>具体排放限值详见</w:t>
            </w:r>
            <w:r>
              <w:rPr>
                <w:rFonts w:hint="default" w:ascii="Times New Roman" w:hAnsi="Times New Roman" w:eastAsia="宋体" w:cs="Times New Roman"/>
                <w:color w:val="auto"/>
                <w:sz w:val="24"/>
                <w:u w:val="none"/>
                <w:lang w:val="en-US" w:eastAsia="zh-CN"/>
              </w:rPr>
              <w:t>下表</w:t>
            </w:r>
            <w:r>
              <w:rPr>
                <w:rFonts w:hint="default" w:ascii="Times New Roman" w:hAnsi="Times New Roman" w:eastAsia="Times New Roman" w:cs="Times New Roman"/>
                <w:color w:val="auto"/>
                <w:sz w:val="24"/>
                <w:u w:val="none"/>
              </w:rPr>
              <w:t>。</w:t>
            </w:r>
          </w:p>
          <w:p w14:paraId="48B18761">
            <w:pPr>
              <w:jc w:val="center"/>
              <w:outlineLvl w:val="0"/>
              <w:rPr>
                <w:rFonts w:hint="default" w:ascii="Times New Roman" w:hAnsi="Times New Roman" w:eastAsia="宋体" w:cs="Times New Roman"/>
                <w:b/>
                <w:color w:val="auto"/>
                <w:szCs w:val="21"/>
                <w:u w:val="none"/>
              </w:rPr>
            </w:pPr>
          </w:p>
          <w:p w14:paraId="5189F81A">
            <w:pPr>
              <w:jc w:val="center"/>
              <w:outlineLvl w:val="0"/>
              <w:rPr>
                <w:rFonts w:hint="default" w:ascii="Times New Roman" w:hAnsi="Times New Roman" w:eastAsia="宋体" w:cs="Times New Roman"/>
                <w:b/>
                <w:color w:val="auto"/>
                <w:szCs w:val="21"/>
                <w:u w:val="none"/>
              </w:rPr>
            </w:pPr>
          </w:p>
          <w:p w14:paraId="549B0B1A">
            <w:pPr>
              <w:jc w:val="center"/>
              <w:outlineLvl w:val="0"/>
              <w:rPr>
                <w:rFonts w:hint="default" w:ascii="Times New Roman" w:hAnsi="Times New Roman" w:eastAsia="宋体" w:cs="Times New Roman"/>
                <w:b/>
                <w:color w:val="auto"/>
                <w:szCs w:val="21"/>
                <w:u w:val="none"/>
              </w:rPr>
            </w:pPr>
          </w:p>
          <w:p w14:paraId="16E4CFD6">
            <w:pPr>
              <w:jc w:val="center"/>
              <w:outlineLvl w:val="0"/>
              <w:rPr>
                <w:rFonts w:hint="default" w:ascii="Times New Roman" w:hAnsi="Times New Roman" w:eastAsia="宋体" w:cs="Times New Roman"/>
                <w:b/>
                <w:color w:val="auto"/>
                <w:szCs w:val="21"/>
                <w:u w:val="none"/>
              </w:rPr>
            </w:pPr>
            <w:r>
              <w:rPr>
                <w:rFonts w:hint="default" w:ascii="Times New Roman" w:hAnsi="Times New Roman" w:eastAsia="宋体" w:cs="Times New Roman"/>
                <w:b/>
                <w:color w:val="auto"/>
                <w:szCs w:val="21"/>
                <w:u w:val="none"/>
              </w:rPr>
              <w:t>表3-</w:t>
            </w:r>
            <w:r>
              <w:rPr>
                <w:rFonts w:hint="eastAsia" w:cs="Times New Roman"/>
                <w:b/>
                <w:color w:val="auto"/>
                <w:szCs w:val="21"/>
                <w:u w:val="none"/>
                <w:lang w:val="en-US" w:eastAsia="zh-CN"/>
              </w:rPr>
              <w:t>5</w:t>
            </w:r>
            <w:r>
              <w:rPr>
                <w:rFonts w:hint="default" w:ascii="Times New Roman" w:hAnsi="Times New Roman" w:eastAsia="宋体" w:cs="Times New Roman"/>
                <w:b/>
                <w:color w:val="auto"/>
                <w:szCs w:val="21"/>
                <w:u w:val="none"/>
                <w:lang w:val="en-US" w:eastAsia="zh-CN"/>
              </w:rPr>
              <w:t xml:space="preserve"> </w:t>
            </w:r>
            <w:r>
              <w:rPr>
                <w:rFonts w:hint="default" w:ascii="Times New Roman" w:hAnsi="Times New Roman" w:eastAsia="宋体" w:cs="Times New Roman"/>
                <w:b/>
                <w:color w:val="auto"/>
                <w:szCs w:val="21"/>
                <w:u w:val="none"/>
              </w:rPr>
              <w:t>有组织排放废气排放限值对比表 单位：mg/m³</w:t>
            </w:r>
          </w:p>
          <w:tbl>
            <w:tblPr>
              <w:tblStyle w:val="38"/>
              <w:tblW w:w="804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020"/>
              <w:gridCol w:w="4020"/>
            </w:tblGrid>
            <w:tr w14:paraId="5AD08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4020" w:type="dxa"/>
                  <w:tcBorders>
                    <w:tl2br w:val="nil"/>
                    <w:tr2bl w:val="nil"/>
                  </w:tcBorders>
                  <w:shd w:val="clear" w:color="auto" w:fill="auto"/>
                  <w:noWrap/>
                  <w:vAlign w:val="center"/>
                </w:tcPr>
                <w:p w14:paraId="56E2B18E">
                  <w:pPr>
                    <w:pStyle w:val="66"/>
                    <w:spacing w:beforeLines="0" w:afterLines="0" w:line="260" w:lineRule="exact"/>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污染物名称</w:t>
                  </w:r>
                </w:p>
              </w:tc>
              <w:tc>
                <w:tcPr>
                  <w:tcW w:w="4020" w:type="dxa"/>
                  <w:tcBorders>
                    <w:tl2br w:val="nil"/>
                    <w:tr2bl w:val="nil"/>
                  </w:tcBorders>
                  <w:shd w:val="clear" w:color="auto" w:fill="auto"/>
                  <w:noWrap/>
                  <w:vAlign w:val="center"/>
                </w:tcPr>
                <w:p w14:paraId="1E5DE2D6">
                  <w:pPr>
                    <w:pStyle w:val="66"/>
                    <w:spacing w:beforeLines="0" w:afterLines="0" w:line="260" w:lineRule="exact"/>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《合成树脂工业污染物排放标准》（GB31572-2015</w:t>
                  </w:r>
                  <w:r>
                    <w:rPr>
                      <w:rFonts w:hint="default" w:ascii="Times New Roman" w:hAnsi="Times New Roman" w:eastAsia="宋体" w:cs="Times New Roman"/>
                      <w:color w:val="auto"/>
                      <w:sz w:val="21"/>
                      <w:szCs w:val="21"/>
                      <w:u w:val="none"/>
                      <w:lang w:val="en-US" w:eastAsia="zh-CN"/>
                    </w:rPr>
                    <w:t>含2024年修改单</w:t>
                  </w:r>
                  <w:r>
                    <w:rPr>
                      <w:rFonts w:hint="default" w:ascii="Times New Roman" w:hAnsi="Times New Roman" w:eastAsia="宋体" w:cs="Times New Roman"/>
                      <w:color w:val="auto"/>
                      <w:szCs w:val="21"/>
                      <w:u w:val="none"/>
                      <w:lang w:val="en-US" w:eastAsia="zh-CN"/>
                    </w:rPr>
                    <w:t>）</w:t>
                  </w:r>
                </w:p>
              </w:tc>
            </w:tr>
            <w:tr w14:paraId="5FD3F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4020" w:type="dxa"/>
                  <w:tcBorders>
                    <w:tl2br w:val="nil"/>
                    <w:tr2bl w:val="nil"/>
                  </w:tcBorders>
                  <w:shd w:val="clear" w:color="auto" w:fill="auto"/>
                  <w:noWrap/>
                  <w:vAlign w:val="center"/>
                </w:tcPr>
                <w:p w14:paraId="35798370">
                  <w:pPr>
                    <w:pStyle w:val="66"/>
                    <w:spacing w:beforeLines="0" w:afterLines="0" w:line="260" w:lineRule="exact"/>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非甲烷总烃</w:t>
                  </w:r>
                </w:p>
              </w:tc>
              <w:tc>
                <w:tcPr>
                  <w:tcW w:w="4020" w:type="dxa"/>
                  <w:tcBorders>
                    <w:tl2br w:val="nil"/>
                    <w:tr2bl w:val="nil"/>
                  </w:tcBorders>
                  <w:shd w:val="clear" w:color="auto" w:fill="auto"/>
                  <w:noWrap/>
                  <w:vAlign w:val="center"/>
                </w:tcPr>
                <w:p w14:paraId="1A7905AF">
                  <w:pPr>
                    <w:pStyle w:val="66"/>
                    <w:spacing w:beforeLines="0" w:afterLines="0" w:line="260" w:lineRule="exact"/>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lang w:val="en-US" w:eastAsia="zh-CN"/>
                    </w:rPr>
                    <w:t>100</w:t>
                  </w:r>
                </w:p>
              </w:tc>
            </w:tr>
            <w:tr w14:paraId="54D25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11" w:hRule="atLeast"/>
              </w:trPr>
              <w:tc>
                <w:tcPr>
                  <w:tcW w:w="4020" w:type="dxa"/>
                  <w:tcBorders>
                    <w:tl2br w:val="nil"/>
                    <w:tr2bl w:val="nil"/>
                  </w:tcBorders>
                  <w:shd w:val="clear" w:color="auto" w:fill="auto"/>
                  <w:noWrap/>
                  <w:vAlign w:val="top"/>
                </w:tcPr>
                <w:p w14:paraId="7BBCC6DF">
                  <w:pPr>
                    <w:pStyle w:val="66"/>
                    <w:spacing w:before="0" w:beforeLines="0" w:afterLines="0" w:line="260" w:lineRule="exact"/>
                    <w:rPr>
                      <w:rFonts w:hint="default" w:ascii="Times New Roman" w:hAnsi="Times New Roman" w:eastAsia="宋体" w:cs="Times New Roman"/>
                      <w:color w:val="auto"/>
                      <w:szCs w:val="21"/>
                      <w:u w:val="none"/>
                      <w:lang w:val="en-US" w:eastAsia="zh-CN"/>
                    </w:rPr>
                  </w:pPr>
                  <w:r>
                    <w:rPr>
                      <w:rFonts w:ascii="Times New Roman" w:hAnsi="Times New Roman" w:eastAsia="宋体" w:cs="Times New Roman"/>
                      <w:color w:val="auto"/>
                      <w:sz w:val="21"/>
                      <w:szCs w:val="21"/>
                      <w:u w:val="none"/>
                    </w:rPr>
                    <w:t>苯乙烯</w:t>
                  </w:r>
                </w:p>
              </w:tc>
              <w:tc>
                <w:tcPr>
                  <w:tcW w:w="4020" w:type="dxa"/>
                  <w:tcBorders>
                    <w:tl2br w:val="nil"/>
                    <w:tr2bl w:val="nil"/>
                  </w:tcBorders>
                  <w:shd w:val="clear" w:color="auto" w:fill="auto"/>
                  <w:noWrap/>
                  <w:vAlign w:val="top"/>
                </w:tcPr>
                <w:p w14:paraId="302FBBBA">
                  <w:pPr>
                    <w:pStyle w:val="66"/>
                    <w:spacing w:before="0" w:beforeLines="0" w:afterLines="0" w:line="260" w:lineRule="exact"/>
                    <w:ind w:right="0" w:rightChars="0"/>
                    <w:rPr>
                      <w:rFonts w:hint="default" w:ascii="Times New Roman" w:hAnsi="Times New Roman" w:eastAsia="宋体" w:cs="Times New Roman"/>
                      <w:color w:val="auto"/>
                      <w:szCs w:val="21"/>
                      <w:u w:val="none"/>
                      <w:lang w:val="en-US" w:eastAsia="zh-CN"/>
                    </w:rPr>
                  </w:pPr>
                  <w:r>
                    <w:rPr>
                      <w:rFonts w:ascii="Times New Roman" w:hAnsi="Times New Roman" w:eastAsia="宋体" w:cs="Times New Roman"/>
                      <w:color w:val="auto"/>
                      <w:sz w:val="21"/>
                      <w:szCs w:val="21"/>
                      <w:u w:val="none"/>
                    </w:rPr>
                    <w:t>50</w:t>
                  </w:r>
                </w:p>
              </w:tc>
            </w:tr>
            <w:tr w14:paraId="4E15C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11" w:hRule="atLeast"/>
              </w:trPr>
              <w:tc>
                <w:tcPr>
                  <w:tcW w:w="4020" w:type="dxa"/>
                  <w:tcBorders>
                    <w:tl2br w:val="nil"/>
                    <w:tr2bl w:val="nil"/>
                  </w:tcBorders>
                  <w:shd w:val="clear" w:color="auto" w:fill="auto"/>
                  <w:noWrap/>
                  <w:vAlign w:val="top"/>
                </w:tcPr>
                <w:p w14:paraId="61DE5D5A">
                  <w:pPr>
                    <w:pStyle w:val="66"/>
                    <w:spacing w:before="0" w:beforeLines="0" w:afterLines="0" w:line="260" w:lineRule="exact"/>
                    <w:ind w:right="0" w:rightChars="0"/>
                    <w:rPr>
                      <w:rFonts w:ascii="Times New Roman" w:hAnsi="Times New Roman" w:eastAsia="宋体" w:cs="Times New Roman"/>
                      <w:color w:val="auto"/>
                      <w:sz w:val="21"/>
                      <w:szCs w:val="21"/>
                      <w:u w:val="none"/>
                    </w:rPr>
                  </w:pPr>
                  <w:r>
                    <w:rPr>
                      <w:rFonts w:ascii="Times New Roman" w:hAnsi="Times New Roman" w:eastAsia="宋体" w:cs="Times New Roman"/>
                      <w:color w:val="auto"/>
                      <w:sz w:val="21"/>
                      <w:szCs w:val="21"/>
                      <w:u w:val="none"/>
                    </w:rPr>
                    <w:t>1,3-丁二烯</w:t>
                  </w:r>
                </w:p>
              </w:tc>
              <w:tc>
                <w:tcPr>
                  <w:tcW w:w="4020" w:type="dxa"/>
                  <w:tcBorders>
                    <w:tl2br w:val="nil"/>
                    <w:tr2bl w:val="nil"/>
                  </w:tcBorders>
                  <w:shd w:val="clear" w:color="auto" w:fill="auto"/>
                  <w:noWrap/>
                  <w:vAlign w:val="top"/>
                </w:tcPr>
                <w:p w14:paraId="3129A02F">
                  <w:pPr>
                    <w:pStyle w:val="66"/>
                    <w:spacing w:before="0" w:beforeLines="0" w:afterLines="0" w:line="260" w:lineRule="exact"/>
                    <w:rPr>
                      <w:rFonts w:ascii="Times New Roman" w:hAnsi="Times New Roman" w:eastAsia="宋体" w:cs="Times New Roman"/>
                      <w:color w:val="auto"/>
                      <w:sz w:val="21"/>
                      <w:szCs w:val="21"/>
                      <w:u w:val="none"/>
                    </w:rPr>
                  </w:pPr>
                  <w:r>
                    <w:rPr>
                      <w:rFonts w:ascii="Times New Roman" w:hAnsi="Times New Roman" w:eastAsia="宋体" w:cs="Times New Roman"/>
                      <w:color w:val="auto"/>
                      <w:w w:val="100"/>
                      <w:sz w:val="21"/>
                      <w:szCs w:val="21"/>
                      <w:u w:val="none"/>
                    </w:rPr>
                    <w:t>1</w:t>
                  </w:r>
                </w:p>
              </w:tc>
            </w:tr>
          </w:tbl>
          <w:p w14:paraId="395896EC">
            <w:pPr>
              <w:jc w:val="center"/>
              <w:outlineLvl w:val="0"/>
              <w:rPr>
                <w:rFonts w:hint="default" w:ascii="Times New Roman" w:hAnsi="Times New Roman" w:eastAsia="宋体" w:cs="Times New Roman"/>
                <w:b/>
                <w:color w:val="auto"/>
                <w:szCs w:val="21"/>
                <w:u w:val="none"/>
              </w:rPr>
            </w:pPr>
            <w:r>
              <w:rPr>
                <w:rFonts w:hint="default" w:ascii="Times New Roman" w:hAnsi="Times New Roman" w:eastAsia="宋体" w:cs="Times New Roman"/>
                <w:b/>
                <w:color w:val="auto"/>
                <w:szCs w:val="21"/>
                <w:u w:val="none"/>
              </w:rPr>
              <w:t>表3</w:t>
            </w:r>
            <w:r>
              <w:rPr>
                <w:rFonts w:hint="eastAsia" w:cs="Times New Roman"/>
                <w:b/>
                <w:color w:val="auto"/>
                <w:szCs w:val="21"/>
                <w:u w:val="none"/>
                <w:lang w:val="en-US" w:eastAsia="zh-CN"/>
              </w:rPr>
              <w:t>-6</w:t>
            </w:r>
            <w:r>
              <w:rPr>
                <w:rFonts w:hint="default" w:ascii="Times New Roman" w:hAnsi="Times New Roman" w:eastAsia="宋体" w:cs="Times New Roman"/>
                <w:b/>
                <w:color w:val="auto"/>
                <w:szCs w:val="21"/>
                <w:u w:val="none"/>
              </w:rPr>
              <w:t xml:space="preserve"> 无组织排放废气（厂界）排放限值表 单位：mg/m³</w:t>
            </w:r>
          </w:p>
          <w:tbl>
            <w:tblPr>
              <w:tblStyle w:val="38"/>
              <w:tblW w:w="0" w:type="auto"/>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5"/>
              <w:gridCol w:w="2552"/>
              <w:gridCol w:w="1558"/>
              <w:gridCol w:w="2055"/>
            </w:tblGrid>
            <w:tr w14:paraId="53ABD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4" w:hRule="atLeast"/>
              </w:trPr>
              <w:tc>
                <w:tcPr>
                  <w:tcW w:w="2055" w:type="dxa"/>
                  <w:tcBorders>
                    <w:tl2br w:val="nil"/>
                    <w:tr2bl w:val="nil"/>
                  </w:tcBorders>
                  <w:noWrap w:val="0"/>
                  <w:vAlign w:val="center"/>
                </w:tcPr>
                <w:p w14:paraId="7E836CD0">
                  <w:pPr>
                    <w:pStyle w:val="66"/>
                    <w:spacing w:beforeLines="0" w:afterLines="0" w:line="260" w:lineRule="exact"/>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污染物名称</w:t>
                  </w:r>
                </w:p>
              </w:tc>
              <w:tc>
                <w:tcPr>
                  <w:tcW w:w="2552" w:type="dxa"/>
                  <w:tcBorders>
                    <w:tl2br w:val="nil"/>
                    <w:tr2bl w:val="nil"/>
                  </w:tcBorders>
                  <w:noWrap w:val="0"/>
                  <w:vAlign w:val="center"/>
                </w:tcPr>
                <w:p w14:paraId="7E04A46C">
                  <w:pPr>
                    <w:pStyle w:val="66"/>
                    <w:spacing w:beforeLines="0" w:afterLines="0" w:line="260" w:lineRule="exact"/>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执行标准名称</w:t>
                  </w:r>
                </w:p>
              </w:tc>
              <w:tc>
                <w:tcPr>
                  <w:tcW w:w="1558" w:type="dxa"/>
                  <w:tcBorders>
                    <w:tl2br w:val="nil"/>
                    <w:tr2bl w:val="nil"/>
                  </w:tcBorders>
                  <w:noWrap w:val="0"/>
                  <w:vAlign w:val="center"/>
                </w:tcPr>
                <w:p w14:paraId="2DB58B15">
                  <w:pPr>
                    <w:pStyle w:val="66"/>
                    <w:spacing w:beforeLines="0" w:afterLines="0" w:line="260" w:lineRule="exact"/>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排放限值</w:t>
                  </w:r>
                </w:p>
              </w:tc>
              <w:tc>
                <w:tcPr>
                  <w:tcW w:w="2055" w:type="dxa"/>
                  <w:tcBorders>
                    <w:tl2br w:val="nil"/>
                    <w:tr2bl w:val="nil"/>
                  </w:tcBorders>
                  <w:noWrap w:val="0"/>
                  <w:vAlign w:val="center"/>
                </w:tcPr>
                <w:p w14:paraId="1A6553A7">
                  <w:pPr>
                    <w:pStyle w:val="66"/>
                    <w:spacing w:beforeLines="0" w:afterLines="0" w:line="260" w:lineRule="exact"/>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监控位置</w:t>
                  </w:r>
                </w:p>
              </w:tc>
            </w:tr>
            <w:tr w14:paraId="7FD87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055" w:type="dxa"/>
                  <w:tcBorders>
                    <w:tl2br w:val="nil"/>
                    <w:tr2bl w:val="nil"/>
                  </w:tcBorders>
                  <w:noWrap w:val="0"/>
                  <w:vAlign w:val="center"/>
                </w:tcPr>
                <w:p w14:paraId="71775A45">
                  <w:pPr>
                    <w:pStyle w:val="66"/>
                    <w:spacing w:beforeLines="0" w:afterLines="0" w:line="260" w:lineRule="exact"/>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非甲烷总烃</w:t>
                  </w:r>
                </w:p>
              </w:tc>
              <w:tc>
                <w:tcPr>
                  <w:tcW w:w="2552" w:type="dxa"/>
                  <w:vMerge w:val="restart"/>
                  <w:tcBorders>
                    <w:tl2br w:val="nil"/>
                    <w:tr2bl w:val="nil"/>
                  </w:tcBorders>
                  <w:noWrap w:val="0"/>
                  <w:vAlign w:val="center"/>
                </w:tcPr>
                <w:p w14:paraId="1991B26B">
                  <w:pPr>
                    <w:pStyle w:val="66"/>
                    <w:spacing w:beforeLines="0" w:afterLines="0" w:line="260" w:lineRule="exact"/>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《合成树脂工业污染物排放标准》（GB31572-2015</w:t>
                  </w:r>
                  <w:r>
                    <w:rPr>
                      <w:rFonts w:hint="default" w:ascii="Times New Roman" w:eastAsia="宋体" w:cs="Times New Roman"/>
                      <w:color w:val="auto"/>
                      <w:sz w:val="21"/>
                      <w:szCs w:val="21"/>
                      <w:u w:val="none"/>
                      <w:lang w:val="en-US" w:eastAsia="zh-CN"/>
                    </w:rPr>
                    <w:t>含2024年修改单</w:t>
                  </w:r>
                  <w:r>
                    <w:rPr>
                      <w:rFonts w:hint="default" w:ascii="Times New Roman" w:hAnsi="Times New Roman" w:eastAsia="宋体" w:cs="Times New Roman"/>
                      <w:color w:val="auto"/>
                      <w:szCs w:val="21"/>
                      <w:u w:val="none"/>
                      <w:lang w:val="en-US" w:eastAsia="zh-CN"/>
                    </w:rPr>
                    <w:t>）表9</w:t>
                  </w:r>
                </w:p>
              </w:tc>
              <w:tc>
                <w:tcPr>
                  <w:tcW w:w="1558" w:type="dxa"/>
                  <w:tcBorders>
                    <w:tl2br w:val="nil"/>
                    <w:tr2bl w:val="nil"/>
                  </w:tcBorders>
                  <w:noWrap w:val="0"/>
                  <w:vAlign w:val="center"/>
                </w:tcPr>
                <w:p w14:paraId="46C6C6F3">
                  <w:pPr>
                    <w:pStyle w:val="66"/>
                    <w:spacing w:beforeLines="0" w:afterLines="0" w:line="260" w:lineRule="exact"/>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4</w:t>
                  </w:r>
                </w:p>
              </w:tc>
              <w:tc>
                <w:tcPr>
                  <w:tcW w:w="2055" w:type="dxa"/>
                  <w:tcBorders>
                    <w:tl2br w:val="nil"/>
                    <w:tr2bl w:val="nil"/>
                  </w:tcBorders>
                  <w:noWrap w:val="0"/>
                  <w:vAlign w:val="center"/>
                </w:tcPr>
                <w:p w14:paraId="16E009EA">
                  <w:pPr>
                    <w:pStyle w:val="66"/>
                    <w:spacing w:beforeLines="0" w:afterLines="0" w:line="260" w:lineRule="exact"/>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企业边界</w:t>
                  </w:r>
                </w:p>
              </w:tc>
            </w:tr>
            <w:tr w14:paraId="37E98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055" w:type="dxa"/>
                  <w:tcBorders>
                    <w:tl2br w:val="nil"/>
                    <w:tr2bl w:val="nil"/>
                  </w:tcBorders>
                  <w:noWrap w:val="0"/>
                  <w:vAlign w:val="center"/>
                </w:tcPr>
                <w:p w14:paraId="354EB81F">
                  <w:pPr>
                    <w:pStyle w:val="66"/>
                    <w:spacing w:beforeLines="0" w:afterLines="0" w:line="260" w:lineRule="exact"/>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颗粒物</w:t>
                  </w:r>
                </w:p>
              </w:tc>
              <w:tc>
                <w:tcPr>
                  <w:tcW w:w="2552" w:type="dxa"/>
                  <w:vMerge w:val="continue"/>
                  <w:tcBorders>
                    <w:tl2br w:val="nil"/>
                    <w:tr2bl w:val="nil"/>
                  </w:tcBorders>
                  <w:noWrap w:val="0"/>
                  <w:vAlign w:val="center"/>
                </w:tcPr>
                <w:p w14:paraId="55F77E58">
                  <w:pPr>
                    <w:pStyle w:val="66"/>
                    <w:spacing w:beforeLines="0" w:afterLines="0" w:line="260" w:lineRule="exact"/>
                    <w:rPr>
                      <w:rFonts w:hint="default" w:ascii="Times New Roman" w:hAnsi="Times New Roman" w:eastAsia="宋体" w:cs="Times New Roman"/>
                      <w:color w:val="auto"/>
                      <w:szCs w:val="21"/>
                      <w:u w:val="none"/>
                      <w:lang w:val="en-US" w:eastAsia="zh-CN"/>
                    </w:rPr>
                  </w:pPr>
                </w:p>
              </w:tc>
              <w:tc>
                <w:tcPr>
                  <w:tcW w:w="1558" w:type="dxa"/>
                  <w:tcBorders>
                    <w:tl2br w:val="nil"/>
                    <w:tr2bl w:val="nil"/>
                  </w:tcBorders>
                  <w:noWrap w:val="0"/>
                  <w:vAlign w:val="center"/>
                </w:tcPr>
                <w:p w14:paraId="3DCDC89F">
                  <w:pPr>
                    <w:pStyle w:val="66"/>
                    <w:spacing w:beforeLines="0" w:afterLines="0" w:line="260" w:lineRule="exact"/>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1</w:t>
                  </w:r>
                </w:p>
              </w:tc>
              <w:tc>
                <w:tcPr>
                  <w:tcW w:w="2055" w:type="dxa"/>
                  <w:tcBorders>
                    <w:tl2br w:val="nil"/>
                    <w:tr2bl w:val="nil"/>
                  </w:tcBorders>
                  <w:noWrap w:val="0"/>
                  <w:vAlign w:val="center"/>
                </w:tcPr>
                <w:p w14:paraId="6021AED5">
                  <w:pPr>
                    <w:pStyle w:val="66"/>
                    <w:spacing w:beforeLines="0" w:afterLines="0" w:line="260" w:lineRule="exact"/>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企业边界</w:t>
                  </w:r>
                </w:p>
              </w:tc>
            </w:tr>
            <w:tr w14:paraId="476C4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055" w:type="dxa"/>
                  <w:tcBorders>
                    <w:tl2br w:val="nil"/>
                    <w:tr2bl w:val="nil"/>
                  </w:tcBorders>
                  <w:noWrap w:val="0"/>
                  <w:vAlign w:val="center"/>
                </w:tcPr>
                <w:p w14:paraId="60FBDE33">
                  <w:pPr>
                    <w:pStyle w:val="66"/>
                    <w:spacing w:beforeLines="0" w:afterLines="0" w:line="260" w:lineRule="exact"/>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苯乙烯</w:t>
                  </w:r>
                </w:p>
              </w:tc>
              <w:tc>
                <w:tcPr>
                  <w:tcW w:w="2552" w:type="dxa"/>
                  <w:vMerge w:val="restart"/>
                  <w:tcBorders>
                    <w:tl2br w:val="nil"/>
                    <w:tr2bl w:val="nil"/>
                  </w:tcBorders>
                  <w:noWrap w:val="0"/>
                  <w:vAlign w:val="center"/>
                </w:tcPr>
                <w:p w14:paraId="1E512CC6">
                  <w:pPr>
                    <w:pStyle w:val="66"/>
                    <w:spacing w:beforeLines="0" w:afterLines="0" w:line="260" w:lineRule="exact"/>
                    <w:rPr>
                      <w:rFonts w:hint="default" w:ascii="Times New Roman" w:hAnsi="Times New Roman" w:eastAsia="宋体" w:cs="Times New Roman"/>
                      <w:color w:val="auto"/>
                      <w:szCs w:val="21"/>
                      <w:u w:val="none"/>
                      <w:lang w:val="en-US" w:eastAsia="zh-CN"/>
                    </w:rPr>
                  </w:pPr>
                  <w:r>
                    <w:rPr>
                      <w:rFonts w:ascii="Times New Roman"/>
                      <w:color w:val="auto"/>
                      <w:spacing w:val="0"/>
                      <w:sz w:val="21"/>
                      <w:szCs w:val="21"/>
                      <w:u w:val="none"/>
                    </w:rPr>
                    <w:t>《恶臭污染物排放标准》（GB14554-93）表</w:t>
                  </w:r>
                  <w:r>
                    <w:rPr>
                      <w:rFonts w:ascii="Times New Roman"/>
                      <w:color w:val="auto"/>
                      <w:sz w:val="21"/>
                      <w:szCs w:val="21"/>
                      <w:u w:val="none"/>
                    </w:rPr>
                    <w:t>1</w:t>
                  </w:r>
                </w:p>
              </w:tc>
              <w:tc>
                <w:tcPr>
                  <w:tcW w:w="1558" w:type="dxa"/>
                  <w:tcBorders>
                    <w:tl2br w:val="nil"/>
                    <w:tr2bl w:val="nil"/>
                  </w:tcBorders>
                  <w:noWrap w:val="0"/>
                  <w:vAlign w:val="center"/>
                </w:tcPr>
                <w:p w14:paraId="5B25CFD1">
                  <w:pPr>
                    <w:pStyle w:val="66"/>
                    <w:spacing w:beforeLines="0" w:afterLines="0" w:line="260" w:lineRule="exact"/>
                    <w:rPr>
                      <w:rFonts w:hint="default" w:ascii="Times New Roman" w:hAnsi="Times New Roman" w:eastAsia="宋体" w:cs="Times New Roman"/>
                      <w:color w:val="auto"/>
                      <w:szCs w:val="21"/>
                      <w:u w:val="none"/>
                      <w:lang w:val="en-US" w:eastAsia="zh-CN"/>
                    </w:rPr>
                  </w:pPr>
                  <w:r>
                    <w:rPr>
                      <w:rFonts w:hint="default" w:ascii="Times New Roman" w:cs="Times New Roman"/>
                      <w:color w:val="auto"/>
                      <w:szCs w:val="21"/>
                      <w:u w:val="none"/>
                      <w:lang w:val="en-US" w:eastAsia="zh-CN"/>
                    </w:rPr>
                    <w:t>5</w:t>
                  </w:r>
                </w:p>
              </w:tc>
              <w:tc>
                <w:tcPr>
                  <w:tcW w:w="2055" w:type="dxa"/>
                  <w:tcBorders>
                    <w:tl2br w:val="nil"/>
                    <w:tr2bl w:val="nil"/>
                  </w:tcBorders>
                  <w:noWrap w:val="0"/>
                  <w:vAlign w:val="center"/>
                </w:tcPr>
                <w:p w14:paraId="2BCBDA2E">
                  <w:pPr>
                    <w:pStyle w:val="66"/>
                    <w:spacing w:beforeLines="0" w:afterLines="0" w:line="260" w:lineRule="exact"/>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企业边界</w:t>
                  </w:r>
                </w:p>
              </w:tc>
            </w:tr>
            <w:tr w14:paraId="712C3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055" w:type="dxa"/>
                  <w:tcBorders>
                    <w:tl2br w:val="nil"/>
                    <w:tr2bl w:val="nil"/>
                  </w:tcBorders>
                  <w:noWrap w:val="0"/>
                  <w:vAlign w:val="center"/>
                </w:tcPr>
                <w:p w14:paraId="623D8161">
                  <w:pPr>
                    <w:pStyle w:val="66"/>
                    <w:spacing w:beforeLines="0" w:afterLines="0" w:line="260" w:lineRule="exact"/>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臭气浓度</w:t>
                  </w:r>
                </w:p>
              </w:tc>
              <w:tc>
                <w:tcPr>
                  <w:tcW w:w="2552" w:type="dxa"/>
                  <w:vMerge w:val="continue"/>
                  <w:tcBorders>
                    <w:tl2br w:val="nil"/>
                    <w:tr2bl w:val="nil"/>
                  </w:tcBorders>
                  <w:noWrap w:val="0"/>
                  <w:vAlign w:val="center"/>
                </w:tcPr>
                <w:p w14:paraId="1BE73EE1">
                  <w:pPr>
                    <w:pStyle w:val="66"/>
                    <w:spacing w:beforeLines="0" w:afterLines="0" w:line="260" w:lineRule="exact"/>
                    <w:rPr>
                      <w:rFonts w:hint="default" w:ascii="Times New Roman" w:hAnsi="Times New Roman" w:eastAsia="宋体" w:cs="Times New Roman"/>
                      <w:color w:val="auto"/>
                      <w:szCs w:val="21"/>
                      <w:u w:val="none"/>
                      <w:lang w:val="en-US" w:eastAsia="zh-CN"/>
                    </w:rPr>
                  </w:pPr>
                </w:p>
              </w:tc>
              <w:tc>
                <w:tcPr>
                  <w:tcW w:w="1558" w:type="dxa"/>
                  <w:tcBorders>
                    <w:tl2br w:val="nil"/>
                    <w:tr2bl w:val="nil"/>
                  </w:tcBorders>
                  <w:noWrap w:val="0"/>
                  <w:vAlign w:val="center"/>
                </w:tcPr>
                <w:p w14:paraId="3CC3D4C3">
                  <w:pPr>
                    <w:pStyle w:val="66"/>
                    <w:spacing w:beforeLines="0" w:afterLines="0" w:line="260" w:lineRule="exact"/>
                    <w:rPr>
                      <w:rFonts w:hint="default" w:ascii="Times New Roman" w:hAnsi="Times New Roman" w:eastAsia="宋体" w:cs="Times New Roman"/>
                      <w:color w:val="auto"/>
                      <w:szCs w:val="21"/>
                      <w:u w:val="none"/>
                      <w:lang w:val="en-US" w:eastAsia="zh-CN"/>
                    </w:rPr>
                  </w:pPr>
                  <w:r>
                    <w:rPr>
                      <w:rFonts w:hint="default" w:ascii="Times New Roman" w:cs="Times New Roman"/>
                      <w:color w:val="auto"/>
                      <w:szCs w:val="21"/>
                      <w:u w:val="none"/>
                      <w:lang w:val="en-US" w:eastAsia="zh-CN"/>
                    </w:rPr>
                    <w:t>20</w:t>
                  </w:r>
                </w:p>
              </w:tc>
              <w:tc>
                <w:tcPr>
                  <w:tcW w:w="2055" w:type="dxa"/>
                  <w:tcBorders>
                    <w:tl2br w:val="nil"/>
                    <w:tr2bl w:val="nil"/>
                  </w:tcBorders>
                  <w:noWrap w:val="0"/>
                  <w:vAlign w:val="center"/>
                </w:tcPr>
                <w:p w14:paraId="2F8120BA">
                  <w:pPr>
                    <w:pStyle w:val="66"/>
                    <w:spacing w:beforeLines="0" w:afterLines="0" w:line="260" w:lineRule="exact"/>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企业边界</w:t>
                  </w:r>
                </w:p>
              </w:tc>
            </w:tr>
          </w:tbl>
          <w:p w14:paraId="62A16DF5">
            <w:pPr>
              <w:jc w:val="center"/>
              <w:outlineLvl w:val="0"/>
              <w:rPr>
                <w:rFonts w:hint="default" w:ascii="Times New Roman" w:hAnsi="Times New Roman" w:eastAsia="宋体" w:cs="Times New Roman"/>
                <w:b/>
                <w:color w:val="auto"/>
                <w:szCs w:val="21"/>
                <w:u w:val="none"/>
              </w:rPr>
            </w:pPr>
          </w:p>
          <w:p w14:paraId="1E8A6829">
            <w:pPr>
              <w:jc w:val="center"/>
              <w:outlineLvl w:val="0"/>
              <w:rPr>
                <w:rFonts w:hint="default" w:ascii="Times New Roman" w:hAnsi="Times New Roman" w:eastAsia="宋体" w:cs="Times New Roman"/>
                <w:b/>
                <w:color w:val="auto"/>
                <w:szCs w:val="21"/>
                <w:u w:val="none"/>
              </w:rPr>
            </w:pPr>
            <w:r>
              <w:rPr>
                <w:rFonts w:hint="default" w:ascii="Times New Roman" w:hAnsi="Times New Roman" w:eastAsia="宋体" w:cs="Times New Roman"/>
                <w:b/>
                <w:color w:val="auto"/>
                <w:szCs w:val="21"/>
                <w:u w:val="none"/>
              </w:rPr>
              <w:t>表3-</w:t>
            </w:r>
            <w:r>
              <w:rPr>
                <w:rFonts w:hint="eastAsia" w:cs="Times New Roman"/>
                <w:b/>
                <w:color w:val="auto"/>
                <w:szCs w:val="21"/>
                <w:u w:val="none"/>
                <w:lang w:val="en-US" w:eastAsia="zh-CN"/>
              </w:rPr>
              <w:t>7</w:t>
            </w:r>
            <w:r>
              <w:rPr>
                <w:rFonts w:hint="default" w:ascii="Times New Roman" w:hAnsi="Times New Roman" w:eastAsia="宋体" w:cs="Times New Roman"/>
                <w:b/>
                <w:color w:val="auto"/>
                <w:szCs w:val="21"/>
                <w:u w:val="none"/>
              </w:rPr>
              <w:t xml:space="preserve"> 厂区内VOCs无组织排放限值表（</w:t>
            </w:r>
            <w:r>
              <w:rPr>
                <w:rFonts w:ascii="Times New Roman" w:hAnsi="Times New Roman" w:eastAsia="宋体" w:cs="Times New Roman"/>
                <w:b/>
                <w:color w:val="auto"/>
                <w:sz w:val="21"/>
                <w:szCs w:val="21"/>
                <w:u w:val="none"/>
              </w:rPr>
              <w:t>DB43/3550-2026</w:t>
            </w:r>
            <w:r>
              <w:rPr>
                <w:rFonts w:hint="default" w:ascii="Times New Roman" w:hAnsi="Times New Roman" w:eastAsia="宋体" w:cs="Times New Roman"/>
                <w:b/>
                <w:color w:val="auto"/>
                <w:szCs w:val="21"/>
                <w:u w:val="none"/>
              </w:rPr>
              <w:t>） 单位：mg/m³</w:t>
            </w:r>
          </w:p>
          <w:tbl>
            <w:tblPr>
              <w:tblStyle w:val="38"/>
              <w:tblW w:w="0" w:type="auto"/>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0"/>
              <w:gridCol w:w="2070"/>
              <w:gridCol w:w="2070"/>
              <w:gridCol w:w="2070"/>
            </w:tblGrid>
            <w:tr w14:paraId="7D2D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2070" w:type="dxa"/>
                  <w:tcBorders>
                    <w:tl2br w:val="nil"/>
                    <w:tr2bl w:val="nil"/>
                  </w:tcBorders>
                  <w:noWrap w:val="0"/>
                  <w:vAlign w:val="center"/>
                </w:tcPr>
                <w:p w14:paraId="4AA0003F">
                  <w:pPr>
                    <w:pStyle w:val="66"/>
                    <w:spacing w:beforeLines="0" w:afterLines="0" w:line="260" w:lineRule="exact"/>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污染物项目</w:t>
                  </w:r>
                </w:p>
              </w:tc>
              <w:tc>
                <w:tcPr>
                  <w:tcW w:w="2070" w:type="dxa"/>
                  <w:tcBorders>
                    <w:tl2br w:val="nil"/>
                    <w:tr2bl w:val="nil"/>
                  </w:tcBorders>
                  <w:noWrap w:val="0"/>
                  <w:vAlign w:val="center"/>
                </w:tcPr>
                <w:p w14:paraId="48811A77">
                  <w:pPr>
                    <w:pStyle w:val="66"/>
                    <w:spacing w:beforeLines="0" w:afterLines="0" w:line="260" w:lineRule="exact"/>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排放限值</w:t>
                  </w:r>
                </w:p>
              </w:tc>
              <w:tc>
                <w:tcPr>
                  <w:tcW w:w="2070" w:type="dxa"/>
                  <w:tcBorders>
                    <w:tl2br w:val="nil"/>
                    <w:tr2bl w:val="nil"/>
                  </w:tcBorders>
                  <w:noWrap w:val="0"/>
                  <w:vAlign w:val="center"/>
                </w:tcPr>
                <w:p w14:paraId="1A1D7207">
                  <w:pPr>
                    <w:pStyle w:val="66"/>
                    <w:spacing w:beforeLines="0" w:afterLines="0" w:line="260" w:lineRule="exact"/>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限值含义</w:t>
                  </w:r>
                </w:p>
              </w:tc>
              <w:tc>
                <w:tcPr>
                  <w:tcW w:w="2070" w:type="dxa"/>
                  <w:tcBorders>
                    <w:tl2br w:val="nil"/>
                    <w:tr2bl w:val="nil"/>
                  </w:tcBorders>
                  <w:noWrap w:val="0"/>
                  <w:vAlign w:val="center"/>
                </w:tcPr>
                <w:p w14:paraId="557D6478">
                  <w:pPr>
                    <w:pStyle w:val="66"/>
                    <w:spacing w:beforeLines="0" w:afterLines="0" w:line="260" w:lineRule="exact"/>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无组织排放监控位置</w:t>
                  </w:r>
                </w:p>
              </w:tc>
            </w:tr>
            <w:tr w14:paraId="45A0F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2070" w:type="dxa"/>
                  <w:tcBorders>
                    <w:tl2br w:val="nil"/>
                    <w:tr2bl w:val="nil"/>
                  </w:tcBorders>
                  <w:noWrap w:val="0"/>
                  <w:vAlign w:val="center"/>
                </w:tcPr>
                <w:p w14:paraId="144E0768">
                  <w:pPr>
                    <w:pStyle w:val="66"/>
                    <w:spacing w:beforeLines="0" w:afterLines="0" w:line="260" w:lineRule="exact"/>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非甲烷总烃（NMHC）</w:t>
                  </w:r>
                </w:p>
              </w:tc>
              <w:tc>
                <w:tcPr>
                  <w:tcW w:w="2070" w:type="dxa"/>
                  <w:tcBorders>
                    <w:tl2br w:val="nil"/>
                    <w:tr2bl w:val="nil"/>
                  </w:tcBorders>
                  <w:noWrap w:val="0"/>
                  <w:vAlign w:val="center"/>
                </w:tcPr>
                <w:p w14:paraId="0CF0E21A">
                  <w:pPr>
                    <w:pStyle w:val="66"/>
                    <w:spacing w:beforeLines="0" w:afterLines="0" w:line="260" w:lineRule="exact"/>
                    <w:jc w:val="center"/>
                    <w:rPr>
                      <w:rFonts w:hint="default" w:ascii="Times New Roman" w:hAnsi="Times New Roman" w:eastAsia="宋体" w:cs="Times New Roman"/>
                      <w:color w:val="auto"/>
                      <w:szCs w:val="21"/>
                      <w:u w:val="none"/>
                      <w:lang w:eastAsia="zh-CN"/>
                    </w:rPr>
                  </w:pPr>
                  <w:r>
                    <w:rPr>
                      <w:rFonts w:hint="default" w:ascii="Times New Roman" w:cs="Times New Roman"/>
                      <w:color w:val="auto"/>
                      <w:szCs w:val="21"/>
                      <w:u w:val="none"/>
                      <w:lang w:val="en-US" w:eastAsia="zh-CN"/>
                    </w:rPr>
                    <w:t>6</w:t>
                  </w:r>
                </w:p>
              </w:tc>
              <w:tc>
                <w:tcPr>
                  <w:tcW w:w="2070" w:type="dxa"/>
                  <w:tcBorders>
                    <w:tl2br w:val="nil"/>
                    <w:tr2bl w:val="nil"/>
                  </w:tcBorders>
                  <w:noWrap w:val="0"/>
                  <w:vAlign w:val="center"/>
                </w:tcPr>
                <w:p w14:paraId="501564D9">
                  <w:pPr>
                    <w:pStyle w:val="66"/>
                    <w:spacing w:beforeLines="0" w:afterLines="0" w:line="260" w:lineRule="exact"/>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监控点处1h平均浓度值</w:t>
                  </w:r>
                </w:p>
              </w:tc>
              <w:tc>
                <w:tcPr>
                  <w:tcW w:w="2070" w:type="dxa"/>
                  <w:vMerge w:val="restart"/>
                  <w:tcBorders>
                    <w:tl2br w:val="nil"/>
                    <w:tr2bl w:val="nil"/>
                  </w:tcBorders>
                  <w:noWrap w:val="0"/>
                  <w:vAlign w:val="center"/>
                </w:tcPr>
                <w:p w14:paraId="7471702C">
                  <w:pPr>
                    <w:pStyle w:val="66"/>
                    <w:spacing w:beforeLines="0" w:afterLines="0" w:line="260" w:lineRule="exact"/>
                    <w:jc w:val="center"/>
                    <w:rPr>
                      <w:rFonts w:hint="default" w:ascii="Times New Roman" w:hAnsi="Times New Roman" w:eastAsia="宋体" w:cs="Times New Roman"/>
                      <w:color w:val="auto"/>
                      <w:szCs w:val="21"/>
                      <w:u w:val="none"/>
                    </w:rPr>
                  </w:pPr>
                  <w:r>
                    <w:rPr>
                      <w:rFonts w:hint="default" w:ascii="Times New Roman"/>
                      <w:color w:val="auto"/>
                      <w:szCs w:val="21"/>
                      <w:u w:val="none"/>
                    </w:rPr>
                    <w:t>厂区内无组织排放监控点</w:t>
                  </w:r>
                </w:p>
              </w:tc>
            </w:tr>
            <w:tr w14:paraId="6D714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trPr>
              <w:tc>
                <w:tcPr>
                  <w:tcW w:w="2070" w:type="dxa"/>
                  <w:tcBorders>
                    <w:tl2br w:val="nil"/>
                    <w:tr2bl w:val="nil"/>
                  </w:tcBorders>
                  <w:noWrap w:val="0"/>
                  <w:vAlign w:val="center"/>
                </w:tcPr>
                <w:p w14:paraId="44C5CAFE">
                  <w:pPr>
                    <w:pStyle w:val="66"/>
                    <w:spacing w:beforeLines="0" w:afterLines="0" w:line="260" w:lineRule="exact"/>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非甲烷总烃（NMHC）</w:t>
                  </w:r>
                </w:p>
              </w:tc>
              <w:tc>
                <w:tcPr>
                  <w:tcW w:w="2070" w:type="dxa"/>
                  <w:tcBorders>
                    <w:tl2br w:val="nil"/>
                    <w:tr2bl w:val="nil"/>
                  </w:tcBorders>
                  <w:noWrap w:val="0"/>
                  <w:vAlign w:val="center"/>
                </w:tcPr>
                <w:p w14:paraId="1D96FDEA">
                  <w:pPr>
                    <w:pStyle w:val="66"/>
                    <w:spacing w:beforeLines="0" w:afterLines="0" w:line="260" w:lineRule="exact"/>
                    <w:jc w:val="center"/>
                    <w:rPr>
                      <w:rFonts w:hint="default" w:ascii="Times New Roman" w:hAnsi="Times New Roman" w:eastAsia="宋体" w:cs="Times New Roman"/>
                      <w:color w:val="auto"/>
                      <w:szCs w:val="21"/>
                      <w:u w:val="none"/>
                      <w:lang w:val="en-US" w:eastAsia="zh-CN"/>
                    </w:rPr>
                  </w:pPr>
                  <w:r>
                    <w:rPr>
                      <w:rFonts w:hint="default" w:ascii="Times New Roman" w:cs="Times New Roman"/>
                      <w:color w:val="auto"/>
                      <w:szCs w:val="21"/>
                      <w:u w:val="none"/>
                      <w:lang w:val="en-US" w:eastAsia="zh-CN"/>
                    </w:rPr>
                    <w:t>20</w:t>
                  </w:r>
                </w:p>
              </w:tc>
              <w:tc>
                <w:tcPr>
                  <w:tcW w:w="2070" w:type="dxa"/>
                  <w:tcBorders>
                    <w:tl2br w:val="nil"/>
                    <w:tr2bl w:val="nil"/>
                  </w:tcBorders>
                  <w:noWrap w:val="0"/>
                  <w:vAlign w:val="center"/>
                </w:tcPr>
                <w:p w14:paraId="37A2FC55">
                  <w:pPr>
                    <w:pStyle w:val="66"/>
                    <w:spacing w:beforeLines="0" w:afterLines="0" w:line="260" w:lineRule="exact"/>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监控点处任意一次浓度值</w:t>
                  </w:r>
                </w:p>
              </w:tc>
              <w:tc>
                <w:tcPr>
                  <w:tcW w:w="2070" w:type="dxa"/>
                  <w:vMerge w:val="continue"/>
                  <w:tcBorders>
                    <w:tl2br w:val="nil"/>
                    <w:tr2bl w:val="nil"/>
                  </w:tcBorders>
                  <w:noWrap w:val="0"/>
                  <w:vAlign w:val="center"/>
                </w:tcPr>
                <w:p w14:paraId="0DDF7F5A">
                  <w:pPr>
                    <w:pStyle w:val="66"/>
                    <w:spacing w:beforeLines="0" w:afterLines="0" w:line="260" w:lineRule="exact"/>
                    <w:jc w:val="center"/>
                    <w:rPr>
                      <w:rFonts w:hint="default" w:ascii="Times New Roman" w:hAnsi="Times New Roman" w:eastAsia="宋体" w:cs="Times New Roman"/>
                      <w:color w:val="auto"/>
                      <w:szCs w:val="21"/>
                      <w:u w:val="none"/>
                    </w:rPr>
                  </w:pPr>
                </w:p>
              </w:tc>
            </w:tr>
          </w:tbl>
          <w:p w14:paraId="79CA131C">
            <w:pPr>
              <w:spacing w:line="360" w:lineRule="auto"/>
              <w:ind w:firstLine="482" w:firstLineChars="200"/>
              <w:rPr>
                <w:rFonts w:hint="default" w:ascii="Times New Roman" w:hAnsi="Times New Roman" w:cs="Times New Roman"/>
                <w:b/>
                <w:color w:val="auto"/>
                <w:sz w:val="24"/>
                <w:u w:val="none"/>
              </w:rPr>
            </w:pPr>
            <w:r>
              <w:rPr>
                <w:rFonts w:hint="default" w:ascii="Times New Roman" w:hAnsi="Times New Roman" w:cs="Times New Roman"/>
                <w:b/>
                <w:color w:val="auto"/>
                <w:sz w:val="24"/>
                <w:u w:val="none"/>
              </w:rPr>
              <w:t>3、噪声排放标准</w:t>
            </w:r>
          </w:p>
          <w:p w14:paraId="5E7B408F">
            <w:pPr>
              <w:pStyle w:val="98"/>
              <w:spacing w:line="360" w:lineRule="auto"/>
              <w:ind w:firstLine="480" w:firstLineChars="200"/>
              <w:rPr>
                <w:rFonts w:hint="default" w:ascii="Times New Roman" w:hAnsi="Times New Roman" w:cs="Times New Roman"/>
                <w:color w:val="auto"/>
                <w:sz w:val="24"/>
                <w:u w:val="none"/>
              </w:rPr>
            </w:pPr>
            <w:r>
              <w:rPr>
                <w:rFonts w:hint="default" w:ascii="Times New Roman" w:hAnsi="Times New Roman" w:cs="Times New Roman"/>
                <w:color w:val="auto"/>
                <w:sz w:val="24"/>
                <w:u w:val="none"/>
              </w:rPr>
              <w:t>施工期噪声执行《</w:t>
            </w:r>
            <w:r>
              <w:rPr>
                <w:rFonts w:hint="default" w:cs="Times New Roman"/>
                <w:color w:val="auto"/>
                <w:sz w:val="24"/>
                <w:u w:val="none"/>
                <w:lang w:eastAsia="zh-CN"/>
              </w:rPr>
              <w:t>建筑施工噪声排放标准</w:t>
            </w:r>
            <w:r>
              <w:rPr>
                <w:rFonts w:hint="default" w:ascii="Times New Roman" w:hAnsi="Times New Roman" w:cs="Times New Roman"/>
                <w:color w:val="auto"/>
                <w:sz w:val="24"/>
                <w:u w:val="none"/>
              </w:rPr>
              <w:t>》（GB125</w:t>
            </w:r>
            <w:r>
              <w:rPr>
                <w:rFonts w:hint="default" w:ascii="Times New Roman" w:hAnsi="Times New Roman" w:cs="Times New Roman"/>
                <w:color w:val="auto"/>
                <w:sz w:val="24"/>
                <w:u w:val="none"/>
                <w:lang w:eastAsia="zh-CN"/>
              </w:rPr>
              <w:t>23-2025</w:t>
            </w:r>
            <w:r>
              <w:rPr>
                <w:rFonts w:hint="default" w:ascii="Times New Roman" w:hAnsi="Times New Roman" w:cs="Times New Roman"/>
                <w:color w:val="auto"/>
                <w:sz w:val="24"/>
                <w:u w:val="none"/>
              </w:rPr>
              <w:t>），见表3-</w:t>
            </w:r>
            <w:r>
              <w:rPr>
                <w:rFonts w:hint="eastAsia" w:cs="Times New Roman"/>
                <w:color w:val="auto"/>
                <w:sz w:val="24"/>
                <w:u w:val="none"/>
                <w:lang w:val="en-US" w:eastAsia="zh-CN"/>
              </w:rPr>
              <w:t>8</w:t>
            </w:r>
            <w:r>
              <w:rPr>
                <w:rFonts w:hint="default" w:ascii="Times New Roman" w:hAnsi="Times New Roman" w:cs="Times New Roman"/>
                <w:color w:val="auto"/>
                <w:sz w:val="24"/>
                <w:u w:val="none"/>
              </w:rPr>
              <w:t>；</w:t>
            </w:r>
          </w:p>
          <w:p w14:paraId="6AFE8272">
            <w:pPr>
              <w:jc w:val="center"/>
              <w:outlineLvl w:val="0"/>
              <w:rPr>
                <w:rFonts w:hint="default" w:ascii="Times New Roman" w:hAnsi="Times New Roman" w:cs="Times New Roman"/>
                <w:b/>
                <w:color w:val="auto"/>
                <w:szCs w:val="21"/>
                <w:u w:val="none"/>
              </w:rPr>
            </w:pPr>
            <w:r>
              <w:rPr>
                <w:rFonts w:hint="default" w:ascii="Times New Roman" w:hAnsi="Times New Roman" w:cs="Times New Roman"/>
                <w:b/>
                <w:color w:val="auto"/>
                <w:szCs w:val="21"/>
                <w:u w:val="none"/>
              </w:rPr>
              <w:t>表3-</w:t>
            </w:r>
            <w:r>
              <w:rPr>
                <w:rFonts w:hint="eastAsia" w:cs="Times New Roman"/>
                <w:b/>
                <w:color w:val="auto"/>
                <w:szCs w:val="21"/>
                <w:u w:val="none"/>
                <w:lang w:val="en-US" w:eastAsia="zh-CN"/>
              </w:rPr>
              <w:t>8</w:t>
            </w:r>
            <w:r>
              <w:rPr>
                <w:rFonts w:hint="default" w:ascii="Times New Roman" w:hAnsi="Times New Roman" w:cs="Times New Roman"/>
                <w:b/>
                <w:color w:val="auto"/>
                <w:szCs w:val="21"/>
                <w:u w:val="none"/>
                <w:lang w:val="en-US" w:eastAsia="zh-CN"/>
              </w:rPr>
              <w:t xml:space="preserve"> </w:t>
            </w:r>
            <w:r>
              <w:rPr>
                <w:rFonts w:hint="default" w:ascii="Times New Roman" w:hAnsi="Times New Roman" w:cs="Times New Roman"/>
                <w:b/>
                <w:color w:val="auto"/>
                <w:szCs w:val="21"/>
                <w:u w:val="none"/>
              </w:rPr>
              <w:t xml:space="preserve"> </w:t>
            </w:r>
            <w:r>
              <w:rPr>
                <w:rFonts w:hint="default" w:cs="Times New Roman"/>
                <w:b/>
                <w:color w:val="auto"/>
                <w:szCs w:val="21"/>
                <w:u w:val="none"/>
                <w:lang w:eastAsia="zh-CN"/>
              </w:rPr>
              <w:t>建筑施工噪声排放标准</w:t>
            </w:r>
            <w:r>
              <w:rPr>
                <w:rFonts w:hint="default" w:ascii="Times New Roman" w:hAnsi="Times New Roman" w:cs="Times New Roman"/>
                <w:b/>
                <w:color w:val="auto"/>
                <w:szCs w:val="21"/>
                <w:u w:val="none"/>
              </w:rPr>
              <w:t xml:space="preserve">     单位：dB(A)</w:t>
            </w:r>
          </w:p>
          <w:tbl>
            <w:tblPr>
              <w:tblStyle w:val="38"/>
              <w:tblW w:w="82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096"/>
              <w:gridCol w:w="4104"/>
            </w:tblGrid>
            <w:tr w14:paraId="64CFE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03" w:hRule="atLeast"/>
                <w:jc w:val="center"/>
              </w:trPr>
              <w:tc>
                <w:tcPr>
                  <w:tcW w:w="8200" w:type="dxa"/>
                  <w:gridSpan w:val="2"/>
                  <w:tcMar>
                    <w:top w:w="17" w:type="dxa"/>
                    <w:left w:w="17" w:type="dxa"/>
                    <w:bottom w:w="0" w:type="dxa"/>
                    <w:right w:w="17" w:type="dxa"/>
                  </w:tcMar>
                  <w:vAlign w:val="center"/>
                </w:tcPr>
                <w:p w14:paraId="26E99A18">
                  <w:pPr>
                    <w:pStyle w:val="66"/>
                    <w:spacing w:beforeLines="0" w:afterLines="0" w:line="260" w:lineRule="exact"/>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标</w:t>
                  </w:r>
                  <w:r>
                    <w:rPr>
                      <w:rFonts w:hint="default" w:ascii="Times New Roman" w:hAnsi="Times New Roman" w:cs="Times New Roman"/>
                      <w:color w:val="auto"/>
                      <w:szCs w:val="21"/>
                      <w:u w:val="none"/>
                    </w:rPr>
                    <w:cr/>
                  </w:r>
                  <w:r>
                    <w:rPr>
                      <w:rFonts w:hint="default" w:ascii="Times New Roman" w:hAnsi="Times New Roman" w:cs="Times New Roman"/>
                      <w:color w:val="auto"/>
                      <w:szCs w:val="21"/>
                      <w:u w:val="none"/>
                    </w:rPr>
                    <w:t>值</w:t>
                  </w:r>
                </w:p>
              </w:tc>
            </w:tr>
            <w:tr w14:paraId="051C06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27" w:hRule="atLeast"/>
                <w:jc w:val="center"/>
              </w:trPr>
              <w:tc>
                <w:tcPr>
                  <w:tcW w:w="4096" w:type="dxa"/>
                  <w:tcMar>
                    <w:top w:w="17" w:type="dxa"/>
                    <w:left w:w="17" w:type="dxa"/>
                    <w:bottom w:w="0" w:type="dxa"/>
                    <w:right w:w="17" w:type="dxa"/>
                  </w:tcMar>
                  <w:vAlign w:val="center"/>
                </w:tcPr>
                <w:p w14:paraId="2FC75E1E">
                  <w:pPr>
                    <w:pStyle w:val="66"/>
                    <w:spacing w:beforeLines="0" w:afterLines="0" w:line="260" w:lineRule="exact"/>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昼间</w:t>
                  </w:r>
                </w:p>
              </w:tc>
              <w:tc>
                <w:tcPr>
                  <w:tcW w:w="4104" w:type="dxa"/>
                  <w:tcMar>
                    <w:top w:w="17" w:type="dxa"/>
                    <w:left w:w="17" w:type="dxa"/>
                    <w:bottom w:w="0" w:type="dxa"/>
                    <w:right w:w="17" w:type="dxa"/>
                  </w:tcMar>
                  <w:vAlign w:val="center"/>
                </w:tcPr>
                <w:p w14:paraId="6435E1A3">
                  <w:pPr>
                    <w:pStyle w:val="66"/>
                    <w:spacing w:beforeLines="0" w:afterLines="0" w:line="260" w:lineRule="exact"/>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夜间</w:t>
                  </w:r>
                </w:p>
              </w:tc>
            </w:tr>
            <w:tr w14:paraId="74C9BE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36" w:hRule="atLeast"/>
                <w:jc w:val="center"/>
              </w:trPr>
              <w:tc>
                <w:tcPr>
                  <w:tcW w:w="4096" w:type="dxa"/>
                  <w:tcMar>
                    <w:top w:w="17" w:type="dxa"/>
                    <w:left w:w="17" w:type="dxa"/>
                    <w:bottom w:w="0" w:type="dxa"/>
                    <w:right w:w="17" w:type="dxa"/>
                  </w:tcMar>
                  <w:vAlign w:val="center"/>
                </w:tcPr>
                <w:p w14:paraId="5E741297">
                  <w:pPr>
                    <w:pStyle w:val="66"/>
                    <w:spacing w:beforeLines="0" w:afterLines="0" w:line="260" w:lineRule="exact"/>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70</w:t>
                  </w:r>
                </w:p>
              </w:tc>
              <w:tc>
                <w:tcPr>
                  <w:tcW w:w="4104" w:type="dxa"/>
                  <w:tcMar>
                    <w:top w:w="17" w:type="dxa"/>
                    <w:left w:w="17" w:type="dxa"/>
                    <w:bottom w:w="0" w:type="dxa"/>
                    <w:right w:w="17" w:type="dxa"/>
                  </w:tcMar>
                  <w:vAlign w:val="center"/>
                </w:tcPr>
                <w:p w14:paraId="12B0BF2A">
                  <w:pPr>
                    <w:pStyle w:val="66"/>
                    <w:spacing w:beforeLines="0" w:afterLines="0" w:line="260" w:lineRule="exact"/>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55</w:t>
                  </w:r>
                </w:p>
              </w:tc>
            </w:tr>
          </w:tbl>
          <w:p w14:paraId="2A680D2F">
            <w:pPr>
              <w:pStyle w:val="98"/>
              <w:spacing w:line="360" w:lineRule="auto"/>
              <w:ind w:firstLine="480" w:firstLineChars="200"/>
              <w:rPr>
                <w:rFonts w:hint="default" w:ascii="Times New Roman" w:hAnsi="Times New Roman" w:cs="Times New Roman"/>
                <w:b/>
                <w:color w:val="auto"/>
                <w:szCs w:val="21"/>
                <w:u w:val="none"/>
              </w:rPr>
            </w:pPr>
            <w:r>
              <w:rPr>
                <w:rFonts w:hint="default" w:ascii="Times New Roman" w:hAnsi="Times New Roman" w:cs="Times New Roman"/>
                <w:color w:val="auto"/>
                <w:sz w:val="24"/>
                <w:u w:val="none"/>
              </w:rPr>
              <w:t>项目</w:t>
            </w:r>
            <w:r>
              <w:rPr>
                <w:rFonts w:hint="default" w:ascii="Times New Roman" w:hAnsi="Times New Roman" w:cs="Times New Roman"/>
                <w:color w:val="auto"/>
                <w:sz w:val="24"/>
                <w:u w:val="none"/>
                <w:lang w:val="en-US" w:eastAsia="zh-CN"/>
              </w:rPr>
              <w:t>厂界</w:t>
            </w:r>
            <w:r>
              <w:rPr>
                <w:rFonts w:hint="default" w:ascii="Times New Roman" w:hAnsi="Times New Roman" w:cs="Times New Roman"/>
                <w:color w:val="auto"/>
                <w:sz w:val="24"/>
                <w:u w:val="none"/>
              </w:rPr>
              <w:t>噪声执行《工业企业厂界环境噪声排放标准》（GB12348-2008）3类标准。具体标准限值见下表。</w:t>
            </w:r>
          </w:p>
          <w:p w14:paraId="3FD4C242">
            <w:pPr>
              <w:jc w:val="center"/>
              <w:outlineLvl w:val="0"/>
              <w:rPr>
                <w:rFonts w:hint="default" w:ascii="Times New Roman" w:hAnsi="Times New Roman" w:cs="Times New Roman"/>
                <w:b/>
                <w:color w:val="auto"/>
                <w:szCs w:val="21"/>
                <w:u w:val="none"/>
              </w:rPr>
            </w:pPr>
            <w:r>
              <w:rPr>
                <w:rFonts w:hint="default" w:ascii="Times New Roman" w:hAnsi="Times New Roman" w:cs="Times New Roman"/>
                <w:b/>
                <w:color w:val="auto"/>
                <w:szCs w:val="21"/>
                <w:u w:val="none"/>
              </w:rPr>
              <w:t>表3-</w:t>
            </w:r>
            <w:r>
              <w:rPr>
                <w:rFonts w:hint="eastAsia" w:cs="Times New Roman"/>
                <w:b/>
                <w:color w:val="auto"/>
                <w:szCs w:val="21"/>
                <w:u w:val="none"/>
                <w:lang w:val="en-US" w:eastAsia="zh-CN"/>
              </w:rPr>
              <w:t>9</w:t>
            </w:r>
            <w:r>
              <w:rPr>
                <w:rFonts w:hint="default" w:ascii="Times New Roman" w:hAnsi="Times New Roman" w:cs="Times New Roman"/>
                <w:b/>
                <w:color w:val="auto"/>
                <w:szCs w:val="21"/>
                <w:u w:val="none"/>
              </w:rPr>
              <w:t xml:space="preserve"> 工业企业厂界噪声限值  单位：dB（A）</w:t>
            </w:r>
          </w:p>
          <w:tbl>
            <w:tblPr>
              <w:tblStyle w:val="38"/>
              <w:tblW w:w="491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74"/>
              <w:gridCol w:w="2142"/>
              <w:gridCol w:w="1943"/>
            </w:tblGrid>
            <w:tr w14:paraId="2F7FA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2526" w:type="pct"/>
                  <w:vAlign w:val="center"/>
                </w:tcPr>
                <w:p w14:paraId="325BD701">
                  <w:pPr>
                    <w:adjustRightInd w:val="0"/>
                    <w:snapToGrid w:val="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GB12348-2008</w:t>
                  </w:r>
                </w:p>
              </w:tc>
              <w:tc>
                <w:tcPr>
                  <w:tcW w:w="1296" w:type="pct"/>
                  <w:vAlign w:val="center"/>
                </w:tcPr>
                <w:p w14:paraId="1688CE76">
                  <w:pPr>
                    <w:adjustRightInd w:val="0"/>
                    <w:snapToGrid w:val="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昼间</w:t>
                  </w:r>
                </w:p>
              </w:tc>
              <w:tc>
                <w:tcPr>
                  <w:tcW w:w="1176" w:type="pct"/>
                  <w:vAlign w:val="center"/>
                </w:tcPr>
                <w:p w14:paraId="362AA011">
                  <w:pPr>
                    <w:adjustRightInd w:val="0"/>
                    <w:snapToGrid w:val="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夜间</w:t>
                  </w:r>
                </w:p>
              </w:tc>
            </w:tr>
            <w:tr w14:paraId="5FCE9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2526" w:type="pct"/>
                  <w:vAlign w:val="center"/>
                </w:tcPr>
                <w:p w14:paraId="6DB45A19">
                  <w:pPr>
                    <w:adjustRightInd w:val="0"/>
                    <w:snapToGrid w:val="0"/>
                    <w:jc w:val="center"/>
                    <w:rPr>
                      <w:rFonts w:hint="default" w:ascii="Times New Roman" w:hAnsi="Times New Roman" w:cs="Times New Roman"/>
                      <w:color w:val="auto"/>
                      <w:spacing w:val="-20"/>
                      <w:szCs w:val="21"/>
                      <w:u w:val="none"/>
                    </w:rPr>
                  </w:pPr>
                  <w:r>
                    <w:rPr>
                      <w:rFonts w:hint="default" w:ascii="Times New Roman" w:hAnsi="Times New Roman" w:cs="Times New Roman"/>
                      <w:color w:val="auto"/>
                      <w:spacing w:val="-20"/>
                      <w:szCs w:val="21"/>
                      <w:u w:val="none"/>
                    </w:rPr>
                    <w:t>3</w:t>
                  </w:r>
                  <w:r>
                    <w:rPr>
                      <w:rFonts w:hint="default" w:ascii="Times New Roman" w:hAnsi="Times New Roman" w:cs="Times New Roman"/>
                      <w:color w:val="auto"/>
                      <w:szCs w:val="21"/>
                      <w:u w:val="none"/>
                    </w:rPr>
                    <w:t>类</w:t>
                  </w:r>
                </w:p>
              </w:tc>
              <w:tc>
                <w:tcPr>
                  <w:tcW w:w="1296" w:type="pct"/>
                  <w:vAlign w:val="center"/>
                </w:tcPr>
                <w:p w14:paraId="48FF5795">
                  <w:pPr>
                    <w:adjustRightInd w:val="0"/>
                    <w:snapToGrid w:val="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65</w:t>
                  </w:r>
                </w:p>
              </w:tc>
              <w:tc>
                <w:tcPr>
                  <w:tcW w:w="1176" w:type="pct"/>
                  <w:vAlign w:val="center"/>
                </w:tcPr>
                <w:p w14:paraId="44566833">
                  <w:pPr>
                    <w:adjustRightInd w:val="0"/>
                    <w:snapToGrid w:val="0"/>
                    <w:jc w:val="center"/>
                    <w:rPr>
                      <w:rFonts w:hint="default" w:ascii="Times New Roman" w:hAnsi="Times New Roman" w:cs="Times New Roman"/>
                      <w:color w:val="auto"/>
                      <w:szCs w:val="21"/>
                      <w:u w:val="none"/>
                    </w:rPr>
                  </w:pPr>
                  <w:r>
                    <w:rPr>
                      <w:rFonts w:hint="default" w:ascii="Times New Roman" w:hAnsi="Times New Roman" w:cs="Times New Roman"/>
                      <w:color w:val="auto"/>
                      <w:szCs w:val="21"/>
                      <w:u w:val="none"/>
                    </w:rPr>
                    <w:t>55</w:t>
                  </w:r>
                </w:p>
              </w:tc>
            </w:tr>
          </w:tbl>
          <w:p w14:paraId="41BEA9F3">
            <w:pPr>
              <w:spacing w:before="120" w:beforeLines="50" w:line="360" w:lineRule="auto"/>
              <w:ind w:firstLine="361" w:firstLineChars="150"/>
              <w:rPr>
                <w:rFonts w:hint="default" w:ascii="Times New Roman" w:hAnsi="Times New Roman" w:cs="Times New Roman"/>
                <w:b/>
                <w:color w:val="auto"/>
                <w:sz w:val="24"/>
                <w:u w:val="none"/>
              </w:rPr>
            </w:pPr>
            <w:r>
              <w:rPr>
                <w:rFonts w:hint="default" w:ascii="Times New Roman" w:hAnsi="Times New Roman" w:cs="Times New Roman"/>
                <w:b/>
                <w:color w:val="auto"/>
                <w:sz w:val="24"/>
                <w:u w:val="none"/>
              </w:rPr>
              <w:t>4、固体废物排放标准</w:t>
            </w:r>
          </w:p>
          <w:p w14:paraId="1C1FBBC7">
            <w:pPr>
              <w:spacing w:line="360" w:lineRule="auto"/>
              <w:ind w:firstLine="472" w:firstLineChars="200"/>
              <w:contextualSpacing/>
              <w:rPr>
                <w:rFonts w:hint="default" w:ascii="Times New Roman" w:hAnsi="Times New Roman" w:cs="Times New Roman"/>
                <w:color w:val="auto"/>
                <w:sz w:val="24"/>
                <w:u w:val="none"/>
              </w:rPr>
            </w:pPr>
            <w:r>
              <w:rPr>
                <w:rFonts w:hint="default" w:ascii="Times New Roman" w:hAnsi="Times New Roman" w:cs="Times New Roman"/>
                <w:color w:val="auto"/>
                <w:spacing w:val="-2"/>
                <w:sz w:val="24"/>
                <w:u w:val="none"/>
                <w:lang w:bidi="ar"/>
              </w:rPr>
              <w:t>一般固体废弃物执行《一般工业固体废物贮存和填埋污染控制标准》（GB18599-2020）；危险废物执行《危险废物贮存污染控制标准》（GB18597-2023）；生活垃圾由环卫部门清运，</w:t>
            </w:r>
            <w:r>
              <w:rPr>
                <w:rFonts w:hint="default" w:ascii="Times New Roman" w:hAnsi="Times New Roman" w:cs="Times New Roman"/>
                <w:sz w:val="24"/>
              </w:rPr>
              <w:t>生活垃圾交由环卫集中收集处置</w:t>
            </w:r>
            <w:r>
              <w:rPr>
                <w:rFonts w:hint="default" w:ascii="Times New Roman" w:hAnsi="Times New Roman" w:cs="Times New Roman"/>
                <w:color w:val="auto"/>
                <w:sz w:val="24"/>
                <w:u w:val="none"/>
              </w:rPr>
              <w:t>。</w:t>
            </w:r>
          </w:p>
          <w:p w14:paraId="6DDAB046">
            <w:pPr>
              <w:pStyle w:val="37"/>
              <w:rPr>
                <w:rFonts w:hint="default" w:ascii="Times New Roman" w:hAnsi="Times New Roman" w:cs="Times New Roman"/>
                <w:color w:val="auto"/>
                <w:u w:val="none"/>
              </w:rPr>
            </w:pPr>
          </w:p>
          <w:p w14:paraId="3192B018">
            <w:pPr>
              <w:pStyle w:val="37"/>
              <w:ind w:left="0" w:leftChars="0" w:firstLine="0" w:firstLineChars="0"/>
              <w:rPr>
                <w:rFonts w:hint="default" w:ascii="Times New Roman" w:hAnsi="Times New Roman" w:cs="Times New Roman"/>
                <w:color w:val="auto"/>
                <w:u w:val="none"/>
              </w:rPr>
            </w:pPr>
          </w:p>
        </w:tc>
      </w:tr>
      <w:tr w14:paraId="774F99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28" w:hRule="atLeast"/>
          <w:jc w:val="center"/>
        </w:trPr>
        <w:tc>
          <w:tcPr>
            <w:tcW w:w="430" w:type="dxa"/>
            <w:vAlign w:val="center"/>
          </w:tcPr>
          <w:p w14:paraId="4C2DEB20">
            <w:pPr>
              <w:adjustRightInd w:val="0"/>
              <w:snapToGrid w:val="0"/>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总量</w:t>
            </w:r>
          </w:p>
          <w:p w14:paraId="768561F5">
            <w:pPr>
              <w:adjustRightInd w:val="0"/>
              <w:snapToGrid w:val="0"/>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控制</w:t>
            </w:r>
          </w:p>
          <w:p w14:paraId="3060AC1D">
            <w:pPr>
              <w:adjustRightInd w:val="0"/>
              <w:snapToGrid w:val="0"/>
              <w:jc w:val="center"/>
              <w:rPr>
                <w:rFonts w:hint="default" w:ascii="Times New Roman" w:hAnsi="Times New Roman" w:cs="Times New Roman"/>
                <w:color w:val="auto"/>
                <w:kern w:val="0"/>
                <w:szCs w:val="21"/>
                <w:u w:val="none"/>
              </w:rPr>
            </w:pPr>
            <w:r>
              <w:rPr>
                <w:rFonts w:hint="default" w:ascii="Times New Roman" w:hAnsi="Times New Roman" w:cs="Times New Roman"/>
                <w:color w:val="auto"/>
                <w:kern w:val="0"/>
                <w:szCs w:val="21"/>
                <w:u w:val="none"/>
              </w:rPr>
              <w:t>指标</w:t>
            </w:r>
          </w:p>
        </w:tc>
        <w:tc>
          <w:tcPr>
            <w:tcW w:w="8631" w:type="dxa"/>
            <w:vAlign w:val="center"/>
          </w:tcPr>
          <w:p w14:paraId="77853A2C">
            <w:pPr>
              <w:adjustRightInd w:val="0"/>
              <w:snapToGrid w:val="0"/>
              <w:spacing w:line="360" w:lineRule="auto"/>
              <w:ind w:firstLine="482" w:firstLineChars="200"/>
              <w:rPr>
                <w:rFonts w:hint="default" w:ascii="Times New Roman" w:hAnsi="Times New Roman" w:cs="Times New Roman"/>
                <w:b/>
                <w:bCs/>
                <w:color w:val="auto"/>
                <w:sz w:val="24"/>
                <w:u w:val="none"/>
              </w:rPr>
            </w:pPr>
            <w:r>
              <w:rPr>
                <w:rFonts w:hint="default" w:ascii="Times New Roman" w:hAnsi="Times New Roman" w:cs="Times New Roman"/>
                <w:b/>
                <w:bCs/>
                <w:color w:val="auto"/>
                <w:sz w:val="24"/>
                <w:u w:val="none"/>
              </w:rPr>
              <w:t>1、总量控制的原则和控制因子</w:t>
            </w:r>
          </w:p>
          <w:p w14:paraId="6419C7B9">
            <w:pPr>
              <w:pStyle w:val="79"/>
              <w:snapToGrid w:val="0"/>
              <w:ind w:firstLine="480" w:firstLineChars="200"/>
              <w:rPr>
                <w:rFonts w:hint="default" w:ascii="Times New Roman" w:hAnsi="Times New Roman" w:eastAsia="宋体" w:cs="Times New Roman"/>
                <w:bCs/>
                <w:color w:val="auto"/>
                <w:u w:val="none"/>
              </w:rPr>
            </w:pPr>
            <w:r>
              <w:rPr>
                <w:rFonts w:hint="default" w:ascii="Times New Roman" w:hAnsi="Times New Roman" w:eastAsia="宋体" w:cs="Times New Roman"/>
                <w:bCs/>
                <w:color w:val="auto"/>
                <w:u w:val="none"/>
              </w:rPr>
              <w:t>根据《湖南省主要污染物排污权有偿使用和交易实施细则》（湘环发</w:t>
            </w:r>
          </w:p>
          <w:p w14:paraId="049968FB">
            <w:pPr>
              <w:pStyle w:val="79"/>
              <w:snapToGrid w:val="0"/>
              <w:ind w:firstLine="480" w:firstLineChars="200"/>
              <w:rPr>
                <w:rFonts w:hint="default" w:ascii="Times New Roman" w:hAnsi="Times New Roman" w:eastAsia="宋体" w:cs="Times New Roman"/>
                <w:bCs/>
                <w:color w:val="auto"/>
                <w:u w:val="none"/>
                <w:lang w:eastAsia="zh-CN"/>
              </w:rPr>
            </w:pPr>
            <w:r>
              <w:rPr>
                <w:rFonts w:hint="default" w:ascii="Times New Roman" w:hAnsi="Times New Roman" w:eastAsia="宋体" w:cs="Times New Roman"/>
                <w:bCs/>
                <w:color w:val="auto"/>
                <w:u w:val="none"/>
              </w:rPr>
              <w:t>〔2024〕3号），湖南省内主要污染物排污权有偿使用和交易管理的污染物主要为化学需氧量、氨氮、二氧化硫、氮氧化物、铅、镉、砷、汞、铬</w:t>
            </w:r>
            <w:r>
              <w:rPr>
                <w:rFonts w:hint="default" w:ascii="Times New Roman" w:hAnsi="Times New Roman" w:eastAsia="宋体" w:cs="Times New Roman"/>
                <w:bCs/>
                <w:color w:val="auto"/>
                <w:u w:val="none"/>
                <w:lang w:eastAsia="zh-CN"/>
              </w:rPr>
              <w:t>、</w:t>
            </w:r>
            <w:r>
              <w:rPr>
                <w:rFonts w:hint="default" w:ascii="Times New Roman" w:hAnsi="Times New Roman" w:eastAsia="宋体" w:cs="Times New Roman"/>
                <w:bCs/>
                <w:color w:val="auto"/>
                <w:u w:val="none"/>
              </w:rPr>
              <w:t>挥发性有机物、总磷等十一类污染物</w:t>
            </w:r>
            <w:r>
              <w:rPr>
                <w:rFonts w:hint="default" w:ascii="Times New Roman" w:hAnsi="Times New Roman" w:eastAsia="宋体" w:cs="Times New Roman"/>
                <w:bCs/>
                <w:color w:val="auto"/>
                <w:u w:val="none"/>
                <w:lang w:eastAsia="zh-CN"/>
              </w:rPr>
              <w:t>。</w:t>
            </w:r>
          </w:p>
          <w:p w14:paraId="3308F8FD">
            <w:pPr>
              <w:pStyle w:val="79"/>
              <w:numPr>
                <w:ilvl w:val="0"/>
                <w:numId w:val="8"/>
              </w:numPr>
              <w:snapToGrid w:val="0"/>
              <w:ind w:firstLine="482" w:firstLineChars="200"/>
              <w:rPr>
                <w:rFonts w:hint="default" w:ascii="Times New Roman" w:hAnsi="Times New Roman" w:cs="Times New Roman"/>
                <w:b/>
                <w:bCs/>
                <w:color w:val="auto"/>
                <w:szCs w:val="24"/>
                <w:u w:val="none"/>
              </w:rPr>
            </w:pPr>
            <w:r>
              <w:rPr>
                <w:rFonts w:hint="default" w:ascii="Times New Roman" w:hAnsi="Times New Roman" w:cs="Times New Roman"/>
                <w:b/>
                <w:bCs/>
                <w:color w:val="auto"/>
                <w:szCs w:val="24"/>
                <w:u w:val="none"/>
              </w:rPr>
              <w:t>水污染物排放总量控制指标</w:t>
            </w:r>
          </w:p>
          <w:p w14:paraId="0DCA1243">
            <w:pPr>
              <w:pStyle w:val="79"/>
              <w:snapToGrid w:val="0"/>
              <w:ind w:firstLine="480" w:firstLineChars="200"/>
              <w:rPr>
                <w:rFonts w:hint="default" w:ascii="Times New Roman" w:hAnsi="Times New Roman" w:cs="Times New Roman"/>
                <w:color w:val="auto"/>
                <w:u w:val="none"/>
              </w:rPr>
            </w:pPr>
            <w:r>
              <w:rPr>
                <w:rFonts w:hint="default" w:ascii="Times New Roman" w:hAnsi="Times New Roman" w:cs="Times New Roman"/>
                <w:bCs/>
                <w:color w:val="auto"/>
                <w:u w:val="none"/>
              </w:rPr>
              <w:t>根据工程分析，本项目无生产废水排放</w:t>
            </w:r>
            <w:r>
              <w:rPr>
                <w:rFonts w:hint="default" w:ascii="Times New Roman" w:hAnsi="Times New Roman" w:cs="Times New Roman"/>
                <w:bCs/>
                <w:color w:val="auto"/>
                <w:u w:val="none"/>
                <w:lang w:eastAsia="zh-CN"/>
              </w:rPr>
              <w:t>；</w:t>
            </w:r>
            <w:r>
              <w:rPr>
                <w:rFonts w:hint="default" w:ascii="Times New Roman" w:hAnsi="Times New Roman" w:cs="Times New Roman"/>
                <w:bCs/>
                <w:color w:val="auto"/>
                <w:u w:val="none"/>
              </w:rPr>
              <w:t>生活污水经化粪池处理后排入污水管网，再经</w:t>
            </w:r>
            <w:r>
              <w:rPr>
                <w:rFonts w:hint="default" w:ascii="Times New Roman" w:hAnsi="Times New Roman" w:cs="Times New Roman"/>
                <w:bCs/>
                <w:color w:val="auto"/>
                <w:u w:val="none"/>
                <w:lang w:eastAsia="zh-CN"/>
              </w:rPr>
              <w:t>东安</w:t>
            </w:r>
            <w:r>
              <w:rPr>
                <w:rFonts w:hint="default" w:ascii="Times New Roman" w:hAnsi="Times New Roman" w:cs="Times New Roman"/>
                <w:bCs/>
                <w:color w:val="auto"/>
                <w:u w:val="none"/>
              </w:rPr>
              <w:t>经开区污水处理厂处理后排放</w:t>
            </w:r>
            <w:r>
              <w:rPr>
                <w:rFonts w:hint="default" w:ascii="Times New Roman" w:hAnsi="Times New Roman" w:cs="Times New Roman"/>
                <w:bCs/>
                <w:color w:val="auto"/>
                <w:szCs w:val="24"/>
                <w:u w:val="none"/>
              </w:rPr>
              <w:t>。无需单独申请水污染物总量控制指标。</w:t>
            </w:r>
          </w:p>
          <w:p w14:paraId="27A1A1A3">
            <w:pPr>
              <w:pStyle w:val="79"/>
              <w:numPr>
                <w:ilvl w:val="0"/>
                <w:numId w:val="0"/>
              </w:numPr>
              <w:snapToGrid w:val="0"/>
              <w:ind w:left="422" w:leftChars="0"/>
              <w:rPr>
                <w:rFonts w:hint="default" w:ascii="Times New Roman" w:hAnsi="Times New Roman" w:cs="Times New Roman"/>
                <w:bCs/>
                <w:color w:val="auto"/>
                <w:szCs w:val="24"/>
                <w:u w:val="none"/>
              </w:rPr>
            </w:pPr>
            <w:r>
              <w:rPr>
                <w:rFonts w:hint="default" w:ascii="Times New Roman" w:hAnsi="Times New Roman" w:cs="Times New Roman"/>
                <w:b/>
                <w:bCs/>
                <w:color w:val="auto"/>
                <w:szCs w:val="24"/>
                <w:u w:val="none"/>
                <w:lang w:val="en-US" w:eastAsia="zh-CN"/>
              </w:rPr>
              <w:t>3、</w:t>
            </w:r>
            <w:r>
              <w:rPr>
                <w:rFonts w:hint="default" w:ascii="Times New Roman" w:hAnsi="Times New Roman" w:cs="Times New Roman"/>
                <w:b/>
                <w:bCs/>
                <w:color w:val="auto"/>
                <w:szCs w:val="24"/>
                <w:u w:val="none"/>
              </w:rPr>
              <w:t>大气污染物排放总量控制指标</w:t>
            </w:r>
          </w:p>
          <w:p w14:paraId="407FA4E9">
            <w:pPr>
              <w:pStyle w:val="79"/>
              <w:snapToGrid w:val="0"/>
              <w:ind w:firstLine="480" w:firstLineChars="200"/>
              <w:rPr>
                <w:rFonts w:hint="default" w:ascii="Times New Roman" w:hAnsi="Times New Roman" w:eastAsia="宋体" w:cs="Times New Roman"/>
                <w:bCs/>
                <w:color w:val="auto"/>
                <w:u w:val="none"/>
                <w:lang w:val="en-US" w:eastAsia="zh-CN"/>
              </w:rPr>
            </w:pPr>
            <w:r>
              <w:rPr>
                <w:rFonts w:hint="default" w:ascii="Times New Roman" w:hAnsi="Times New Roman" w:eastAsia="宋体" w:cs="Times New Roman"/>
                <w:bCs/>
                <w:color w:val="auto"/>
                <w:kern w:val="2"/>
                <w:sz w:val="24"/>
                <w:szCs w:val="20"/>
                <w:u w:val="none"/>
                <w:lang w:val="en-US" w:eastAsia="zh-CN" w:bidi="ar-SA"/>
              </w:rPr>
              <w:t>大</w:t>
            </w:r>
            <w:r>
              <w:rPr>
                <w:rFonts w:hint="default" w:ascii="Times New Roman" w:hAnsi="Times New Roman" w:eastAsia="宋体" w:cs="Times New Roman"/>
                <w:bCs/>
                <w:color w:val="auto"/>
                <w:u w:val="none"/>
                <w:lang w:val="en-US" w:eastAsia="zh-CN"/>
              </w:rPr>
              <w:t>气总量控制指标：根据工程分析，本项目非甲烷总烃排放量为</w:t>
            </w:r>
            <w:r>
              <w:rPr>
                <w:rFonts w:hint="default" w:cs="Times New Roman"/>
                <w:bCs/>
                <w:color w:val="auto"/>
                <w:u w:val="none"/>
                <w:lang w:val="en-US" w:eastAsia="zh-CN"/>
              </w:rPr>
              <w:t>0.1881</w:t>
            </w:r>
            <w:r>
              <w:rPr>
                <w:rFonts w:hint="default" w:ascii="Times New Roman" w:hAnsi="Times New Roman" w:eastAsia="宋体" w:cs="Times New Roman"/>
                <w:bCs/>
                <w:color w:val="auto"/>
                <w:u w:val="none"/>
                <w:lang w:val="en-US" w:eastAsia="zh-CN"/>
              </w:rPr>
              <w:t>t/a，</w:t>
            </w:r>
            <w:r>
              <w:rPr>
                <w:rFonts w:hint="default" w:ascii="Times New Roman" w:hAnsi="Times New Roman" w:eastAsia="宋体" w:cs="Times New Roman"/>
                <w:bCs/>
                <w:color w:val="auto"/>
                <w:sz w:val="24"/>
                <w:szCs w:val="20"/>
                <w:u w:val="none"/>
                <w:lang w:eastAsia="zh-CN"/>
              </w:rPr>
              <w:t>非甲烷总烃/VOCs</w:t>
            </w:r>
            <w:r>
              <w:rPr>
                <w:rFonts w:ascii="Times New Roman" w:hAnsi="Times New Roman" w:eastAsia="宋体" w:cs="Times New Roman"/>
                <w:bCs/>
                <w:color w:val="auto"/>
                <w:sz w:val="24"/>
                <w:szCs w:val="20"/>
                <w:u w:val="none"/>
              </w:rPr>
              <w:t>属于</w:t>
            </w:r>
            <w:r>
              <w:rPr>
                <w:rFonts w:ascii="Times New Roman" w:hAnsi="Times New Roman" w:eastAsia="宋体" w:cs="Times New Roman"/>
                <w:sz w:val="24"/>
                <w:szCs w:val="24"/>
              </w:rPr>
              <w:t>总量管控污染物，现阶段尚未纳入排污权交易范畴，建议核定项目</w:t>
            </w:r>
            <w:r>
              <w:rPr>
                <w:rFonts w:hint="default" w:ascii="Times New Roman" w:hAnsi="Times New Roman" w:eastAsia="宋体" w:cs="Times New Roman"/>
                <w:sz w:val="24"/>
                <w:szCs w:val="24"/>
                <w:lang w:eastAsia="zh-CN"/>
              </w:rPr>
              <w:t>非甲烷总烃/VOCs</w:t>
            </w:r>
            <w:r>
              <w:rPr>
                <w:rFonts w:ascii="Times New Roman" w:hAnsi="Times New Roman" w:eastAsia="宋体" w:cs="Times New Roman"/>
                <w:sz w:val="24"/>
                <w:szCs w:val="24"/>
              </w:rPr>
              <w:t>排放量</w:t>
            </w:r>
            <w:r>
              <w:rPr>
                <w:rFonts w:hint="default" w:ascii="Times New Roman" w:hAnsi="Times New Roman" w:eastAsia="宋体" w:cs="Times New Roman"/>
                <w:bCs/>
                <w:color w:val="auto"/>
                <w:u w:val="none"/>
                <w:lang w:val="en-US" w:eastAsia="zh-CN"/>
              </w:rPr>
              <w:t>。</w:t>
            </w:r>
          </w:p>
          <w:p w14:paraId="11094014">
            <w:pPr>
              <w:adjustRightInd w:val="0"/>
              <w:snapToGrid w:val="0"/>
              <w:spacing w:line="360" w:lineRule="auto"/>
              <w:ind w:firstLine="480" w:firstLineChars="200"/>
              <w:rPr>
                <w:rFonts w:hint="default" w:ascii="Times New Roman" w:hAnsi="Times New Roman" w:cs="Times New Roman"/>
                <w:bCs/>
                <w:color w:val="auto"/>
                <w:sz w:val="24"/>
                <w:u w:val="none"/>
              </w:rPr>
            </w:pPr>
          </w:p>
          <w:p w14:paraId="64FA4C43">
            <w:pPr>
              <w:pStyle w:val="79"/>
              <w:snapToGrid w:val="0"/>
              <w:ind w:left="422" w:firstLine="0"/>
              <w:rPr>
                <w:rFonts w:hint="default" w:ascii="Times New Roman" w:hAnsi="Times New Roman" w:cs="Times New Roman"/>
                <w:bCs/>
                <w:color w:val="auto"/>
                <w:szCs w:val="24"/>
                <w:u w:val="none"/>
              </w:rPr>
            </w:pPr>
          </w:p>
        </w:tc>
      </w:tr>
    </w:tbl>
    <w:p w14:paraId="0CDC6C87">
      <w:pPr>
        <w:pStyle w:val="34"/>
        <w:jc w:val="center"/>
        <w:outlineLvl w:val="0"/>
        <w:rPr>
          <w:rFonts w:hint="default" w:ascii="Times New Roman" w:hAnsi="Times New Roman" w:eastAsia="黑体" w:cs="Times New Roman"/>
          <w:snapToGrid w:val="0"/>
          <w:color w:val="auto"/>
          <w:sz w:val="30"/>
          <w:szCs w:val="30"/>
          <w:u w:val="none"/>
        </w:rPr>
      </w:pPr>
      <w:r>
        <w:rPr>
          <w:rFonts w:hint="default" w:ascii="Times New Roman" w:hAnsi="Times New Roman" w:eastAsia="黑体" w:cs="Times New Roman"/>
          <w:snapToGrid w:val="0"/>
          <w:color w:val="auto"/>
          <w:sz w:val="36"/>
          <w:szCs w:val="36"/>
          <w:u w:val="none"/>
        </w:rPr>
        <w:br w:type="page"/>
      </w:r>
      <w:bookmarkStart w:id="11" w:name="_Toc7016"/>
      <w:bookmarkStart w:id="12" w:name="_Toc5479"/>
      <w:r>
        <w:rPr>
          <w:rFonts w:hint="default" w:ascii="Times New Roman" w:hAnsi="Times New Roman" w:cs="Times New Roman"/>
          <w:b/>
          <w:bCs/>
          <w:color w:val="auto"/>
          <w:kern w:val="2"/>
          <w:sz w:val="32"/>
          <w:szCs w:val="32"/>
          <w:u w:val="none"/>
        </w:rPr>
        <w:t>四、主要环境影响和保护措施</w:t>
      </w:r>
      <w:bookmarkEnd w:id="11"/>
      <w:bookmarkEnd w:id="12"/>
    </w:p>
    <w:tbl>
      <w:tblPr>
        <w:tblStyle w:val="38"/>
        <w:tblW w:w="898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99"/>
        <w:gridCol w:w="8382"/>
      </w:tblGrid>
      <w:tr w14:paraId="706190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522" w:hRule="atLeast"/>
          <w:jc w:val="center"/>
        </w:trPr>
        <w:tc>
          <w:tcPr>
            <w:tcW w:w="599" w:type="dxa"/>
            <w:tcMar>
              <w:left w:w="28" w:type="dxa"/>
              <w:right w:w="28" w:type="dxa"/>
            </w:tcMar>
            <w:vAlign w:val="center"/>
          </w:tcPr>
          <w:p w14:paraId="5B8E6658">
            <w:pPr>
              <w:snapToGrid w:val="0"/>
              <w:jc w:val="center"/>
              <w:rPr>
                <w:rFonts w:hint="default" w:ascii="Times New Roman" w:hAnsi="Times New Roman" w:cs="Times New Roman"/>
                <w:bCs/>
                <w:color w:val="auto"/>
                <w:sz w:val="24"/>
                <w:u w:val="none"/>
              </w:rPr>
            </w:pPr>
            <w:r>
              <w:rPr>
                <w:rFonts w:hint="default" w:ascii="Times New Roman" w:hAnsi="Times New Roman" w:cs="Times New Roman"/>
                <w:bCs/>
                <w:color w:val="auto"/>
                <w:sz w:val="24"/>
                <w:u w:val="none"/>
              </w:rPr>
              <w:t>施工</w:t>
            </w:r>
          </w:p>
          <w:p w14:paraId="64DF7170">
            <w:pPr>
              <w:snapToGrid w:val="0"/>
              <w:jc w:val="center"/>
              <w:rPr>
                <w:rFonts w:hint="default" w:ascii="Times New Roman" w:hAnsi="Times New Roman" w:cs="Times New Roman"/>
                <w:bCs/>
                <w:color w:val="auto"/>
                <w:sz w:val="24"/>
                <w:u w:val="none"/>
              </w:rPr>
            </w:pPr>
            <w:r>
              <w:rPr>
                <w:rFonts w:hint="default" w:ascii="Times New Roman" w:hAnsi="Times New Roman" w:cs="Times New Roman"/>
                <w:bCs/>
                <w:color w:val="auto"/>
                <w:sz w:val="24"/>
                <w:u w:val="none"/>
              </w:rPr>
              <w:t>期环</w:t>
            </w:r>
          </w:p>
          <w:p w14:paraId="367B5A32">
            <w:pPr>
              <w:snapToGrid w:val="0"/>
              <w:jc w:val="center"/>
              <w:rPr>
                <w:rFonts w:hint="default" w:ascii="Times New Roman" w:hAnsi="Times New Roman" w:cs="Times New Roman"/>
                <w:bCs/>
                <w:color w:val="auto"/>
                <w:sz w:val="24"/>
                <w:u w:val="none"/>
              </w:rPr>
            </w:pPr>
            <w:r>
              <w:rPr>
                <w:rFonts w:hint="default" w:ascii="Times New Roman" w:hAnsi="Times New Roman" w:cs="Times New Roman"/>
                <w:bCs/>
                <w:color w:val="auto"/>
                <w:sz w:val="24"/>
                <w:u w:val="none"/>
              </w:rPr>
              <w:t>境影</w:t>
            </w:r>
          </w:p>
          <w:p w14:paraId="32F6C464">
            <w:pPr>
              <w:snapToGrid w:val="0"/>
              <w:jc w:val="center"/>
              <w:rPr>
                <w:rFonts w:hint="default" w:ascii="Times New Roman" w:hAnsi="Times New Roman" w:cs="Times New Roman"/>
                <w:bCs/>
                <w:color w:val="auto"/>
                <w:sz w:val="24"/>
                <w:u w:val="none"/>
              </w:rPr>
            </w:pPr>
            <w:r>
              <w:rPr>
                <w:rFonts w:hint="default" w:ascii="Times New Roman" w:hAnsi="Times New Roman" w:cs="Times New Roman"/>
                <w:bCs/>
                <w:color w:val="auto"/>
                <w:sz w:val="24"/>
                <w:u w:val="none"/>
              </w:rPr>
              <w:t>响和</w:t>
            </w:r>
          </w:p>
          <w:p w14:paraId="1C8962BF">
            <w:pPr>
              <w:snapToGrid w:val="0"/>
              <w:jc w:val="center"/>
              <w:rPr>
                <w:rFonts w:hint="default" w:ascii="Times New Roman" w:hAnsi="Times New Roman" w:cs="Times New Roman"/>
                <w:bCs/>
                <w:color w:val="auto"/>
                <w:sz w:val="24"/>
                <w:u w:val="none"/>
              </w:rPr>
            </w:pPr>
            <w:r>
              <w:rPr>
                <w:rFonts w:hint="default" w:ascii="Times New Roman" w:hAnsi="Times New Roman" w:cs="Times New Roman"/>
                <w:bCs/>
                <w:color w:val="auto"/>
                <w:sz w:val="24"/>
                <w:u w:val="none"/>
              </w:rPr>
              <w:t>保护</w:t>
            </w:r>
          </w:p>
          <w:p w14:paraId="7237E37F">
            <w:pPr>
              <w:snapToGrid w:val="0"/>
              <w:jc w:val="center"/>
              <w:rPr>
                <w:rFonts w:hint="default" w:ascii="Times New Roman" w:hAnsi="Times New Roman" w:cs="Times New Roman"/>
                <w:bCs/>
                <w:color w:val="auto"/>
                <w:szCs w:val="21"/>
                <w:u w:val="none"/>
              </w:rPr>
            </w:pPr>
            <w:r>
              <w:rPr>
                <w:rFonts w:hint="default" w:ascii="Times New Roman" w:hAnsi="Times New Roman" w:cs="Times New Roman"/>
                <w:bCs/>
                <w:color w:val="auto"/>
                <w:sz w:val="24"/>
                <w:u w:val="none"/>
              </w:rPr>
              <w:t>措施</w:t>
            </w:r>
          </w:p>
        </w:tc>
        <w:tc>
          <w:tcPr>
            <w:tcW w:w="8382" w:type="dxa"/>
            <w:vAlign w:val="center"/>
          </w:tcPr>
          <w:p w14:paraId="092A53D7">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baseline"/>
              <w:rPr>
                <w:rFonts w:hint="default" w:ascii="Times New Roman" w:hAnsi="Times New Roman" w:eastAsia="宋体" w:cs="Times New Roman"/>
                <w:color w:val="auto"/>
                <w:sz w:val="24"/>
                <w:u w:val="none"/>
                <w:lang w:val="en-US" w:eastAsia="zh-CN"/>
              </w:rPr>
            </w:pPr>
            <w:r>
              <w:rPr>
                <w:rFonts w:hint="default" w:ascii="Times New Roman" w:hAnsi="Times New Roman" w:eastAsia="宋体" w:cs="Times New Roman"/>
                <w:color w:val="auto"/>
                <w:sz w:val="24"/>
                <w:u w:val="none"/>
                <w:lang w:val="en-US" w:eastAsia="zh-CN"/>
              </w:rPr>
              <w:t>本项目仅依托现有空置厂房开展</w:t>
            </w:r>
            <w:r>
              <w:rPr>
                <w:rFonts w:ascii="Times New Roman" w:hAnsi="Times New Roman" w:eastAsia="宋体" w:cs="Times New Roman"/>
                <w:sz w:val="24"/>
                <w:szCs w:val="24"/>
              </w:rPr>
              <w:t>场地清理、内部装修</w:t>
            </w:r>
            <w:r>
              <w:rPr>
                <w:rFonts w:hint="default" w:ascii="Times New Roman" w:hAnsi="Times New Roman" w:eastAsia="宋体" w:cs="Times New Roman"/>
                <w:color w:val="auto"/>
                <w:sz w:val="24"/>
                <w:u w:val="none"/>
                <w:lang w:val="en-US" w:eastAsia="zh-CN"/>
              </w:rPr>
              <w:t>、生产设备安装作业，施工工期短、作业量小且全部在封闭厂房内开展，对周边环境敏感目标扰动轻微，仅简要分析施工各类污染并配套管控措施。</w:t>
            </w:r>
          </w:p>
          <w:p w14:paraId="7A62CEDF">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baseline"/>
              <w:rPr>
                <w:rFonts w:hint="default" w:ascii="Times New Roman" w:hAnsi="Times New Roman" w:eastAsia="宋体" w:cs="Times New Roman"/>
                <w:color w:val="auto"/>
                <w:sz w:val="24"/>
                <w:u w:val="none"/>
                <w:lang w:val="en-US" w:eastAsia="zh-CN"/>
              </w:rPr>
            </w:pPr>
            <w:r>
              <w:rPr>
                <w:rFonts w:hint="default" w:ascii="Times New Roman" w:hAnsi="Times New Roman" w:eastAsia="宋体" w:cs="Times New Roman"/>
                <w:color w:val="auto"/>
                <w:sz w:val="24"/>
                <w:u w:val="none"/>
                <w:lang w:val="en-US" w:eastAsia="zh-CN"/>
              </w:rPr>
              <w:t>施工阶段主要污染包含施工扬尘、装修有机废气、施工人员生活污水、设备安装及物料运输噪声、建筑垃圾与生活垃圾；废气方面优先选用水性低毒环保装修材料，严格遵循室内有害物质限量相关标准控制甲醛、苯系物挥发，同步定时洒水清扫厂房地面抑制扬尘；</w:t>
            </w:r>
          </w:p>
          <w:p w14:paraId="500E041F">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baseline"/>
              <w:rPr>
                <w:rFonts w:hint="default" w:ascii="Times New Roman" w:hAnsi="Times New Roman" w:eastAsia="宋体" w:cs="Times New Roman"/>
                <w:color w:val="auto"/>
                <w:sz w:val="24"/>
                <w:u w:val="none"/>
                <w:lang w:val="en-US" w:eastAsia="zh-CN"/>
              </w:rPr>
            </w:pPr>
            <w:r>
              <w:rPr>
                <w:rFonts w:hint="default" w:ascii="Times New Roman" w:hAnsi="Times New Roman" w:eastAsia="宋体" w:cs="Times New Roman"/>
                <w:color w:val="auto"/>
                <w:sz w:val="24"/>
                <w:u w:val="none"/>
                <w:lang w:val="en-US" w:eastAsia="zh-CN"/>
              </w:rPr>
              <w:t>施工人员不在厂区食宿，生活污水依托现有化粪池预处理至《污水综合排放标准》（GB8978-1996）三级</w:t>
            </w:r>
            <w:r>
              <w:rPr>
                <w:rFonts w:hint="default" w:ascii="Times New Roman" w:hAnsi="Times New Roman" w:eastAsia="宋体" w:cs="Times New Roman"/>
                <w:color w:val="auto"/>
                <w:sz w:val="24"/>
                <w:u w:val="none"/>
                <w:lang w:val="en-GB"/>
              </w:rPr>
              <w:t>及园区污水处理厂纳管标准较严值</w:t>
            </w:r>
            <w:r>
              <w:rPr>
                <w:rFonts w:hint="default" w:ascii="Times New Roman" w:hAnsi="Times New Roman" w:eastAsia="宋体" w:cs="Times New Roman"/>
                <w:color w:val="auto"/>
                <w:sz w:val="24"/>
                <w:u w:val="none"/>
                <w:lang w:val="en-US" w:eastAsia="zh-CN"/>
              </w:rPr>
              <w:t>后排入东安经开区工业污水处理厂；</w:t>
            </w:r>
          </w:p>
          <w:p w14:paraId="23A25002">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baseline"/>
              <w:rPr>
                <w:rFonts w:hint="default" w:ascii="Times New Roman" w:hAnsi="Times New Roman" w:eastAsia="宋体" w:cs="Times New Roman"/>
                <w:color w:val="auto"/>
                <w:sz w:val="24"/>
                <w:u w:val="none"/>
                <w:lang w:val="en-US" w:eastAsia="zh-CN"/>
              </w:rPr>
            </w:pPr>
            <w:r>
              <w:rPr>
                <w:rFonts w:hint="default" w:ascii="Times New Roman" w:hAnsi="Times New Roman" w:eastAsia="宋体" w:cs="Times New Roman"/>
                <w:color w:val="auto"/>
                <w:sz w:val="24"/>
                <w:u w:val="none"/>
                <w:lang w:val="en-US" w:eastAsia="zh-CN"/>
              </w:rPr>
              <w:t>施工选用低噪声机具、规范物料装卸操作并合理安排施工时段，依托厂房墙体隔声削减噪声影响；</w:t>
            </w:r>
          </w:p>
          <w:p w14:paraId="1878B93B">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baseline"/>
              <w:rPr>
                <w:rFonts w:hint="default" w:ascii="Times New Roman" w:hAnsi="Times New Roman" w:eastAsia="宋体" w:cs="Times New Roman"/>
                <w:color w:val="auto"/>
                <w:sz w:val="24"/>
                <w:u w:val="none"/>
                <w:lang w:val="en-US" w:eastAsia="zh-CN"/>
              </w:rPr>
            </w:pPr>
            <w:r>
              <w:rPr>
                <w:rFonts w:hint="default" w:ascii="Times New Roman" w:hAnsi="Times New Roman" w:eastAsia="宋体" w:cs="Times New Roman"/>
                <w:color w:val="auto"/>
                <w:sz w:val="24"/>
                <w:u w:val="none"/>
                <w:lang w:val="en-US" w:eastAsia="zh-CN"/>
              </w:rPr>
              <w:t>施工产生设备包装废料、建材边角料及生活垃圾分类收集，生活垃圾由园区环卫清运，建筑垃圾转运至市政指定堆放点处置。</w:t>
            </w:r>
          </w:p>
          <w:p w14:paraId="6A3C6E08">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baseline"/>
              <w:rPr>
                <w:rFonts w:hint="default" w:ascii="Times New Roman" w:hAnsi="Times New Roman" w:eastAsia="宋体" w:cs="Times New Roman"/>
                <w:color w:val="auto"/>
                <w:sz w:val="24"/>
                <w:u w:val="none"/>
              </w:rPr>
            </w:pPr>
            <w:r>
              <w:rPr>
                <w:rFonts w:hint="default" w:ascii="Times New Roman" w:hAnsi="Times New Roman" w:eastAsia="宋体" w:cs="Times New Roman"/>
                <w:color w:val="auto"/>
                <w:sz w:val="24"/>
                <w:u w:val="none"/>
                <w:lang w:val="en-US" w:eastAsia="zh-CN"/>
              </w:rPr>
              <w:t>本项目用地为规划工业用地，厂房周边无特殊生态保护目标，无需额外设置生态保护措施，施工污染随施工完成彻底消失，对外环境影响有限。</w:t>
            </w:r>
          </w:p>
          <w:p w14:paraId="157839BB">
            <w:pPr>
              <w:rPr>
                <w:rFonts w:hint="default" w:ascii="Times New Roman" w:hAnsi="Times New Roman" w:cs="Times New Roman"/>
                <w:color w:val="auto"/>
                <w:kern w:val="0"/>
                <w:sz w:val="24"/>
                <w:u w:val="none"/>
                <w:lang w:bidi="ar"/>
              </w:rPr>
            </w:pPr>
          </w:p>
          <w:p w14:paraId="21E5737A">
            <w:pPr>
              <w:pStyle w:val="19"/>
              <w:rPr>
                <w:rFonts w:hint="default" w:ascii="Times New Roman" w:hAnsi="Times New Roman" w:cs="Times New Roman"/>
                <w:color w:val="auto"/>
                <w:sz w:val="24"/>
                <w:szCs w:val="24"/>
                <w:u w:val="none"/>
                <w:lang w:bidi="ar"/>
              </w:rPr>
            </w:pPr>
          </w:p>
          <w:p w14:paraId="436A089E">
            <w:pPr>
              <w:rPr>
                <w:rFonts w:hint="default" w:ascii="Times New Roman" w:hAnsi="Times New Roman" w:cs="Times New Roman"/>
                <w:color w:val="auto"/>
                <w:kern w:val="0"/>
                <w:sz w:val="24"/>
                <w:u w:val="none"/>
                <w:lang w:bidi="ar"/>
              </w:rPr>
            </w:pPr>
          </w:p>
          <w:p w14:paraId="4546A189">
            <w:pPr>
              <w:pStyle w:val="19"/>
              <w:rPr>
                <w:rFonts w:hint="default" w:ascii="Times New Roman" w:hAnsi="Times New Roman" w:cs="Times New Roman"/>
                <w:color w:val="auto"/>
                <w:sz w:val="24"/>
                <w:szCs w:val="24"/>
                <w:u w:val="none"/>
                <w:lang w:bidi="ar"/>
              </w:rPr>
            </w:pPr>
          </w:p>
          <w:p w14:paraId="4627D106">
            <w:pPr>
              <w:rPr>
                <w:rFonts w:hint="default" w:ascii="Times New Roman" w:hAnsi="Times New Roman" w:cs="Times New Roman"/>
                <w:color w:val="auto"/>
                <w:kern w:val="0"/>
                <w:sz w:val="24"/>
                <w:u w:val="none"/>
                <w:lang w:bidi="ar"/>
              </w:rPr>
            </w:pPr>
          </w:p>
          <w:p w14:paraId="39F48AE9">
            <w:pPr>
              <w:pStyle w:val="19"/>
              <w:rPr>
                <w:rFonts w:hint="default" w:ascii="Times New Roman" w:hAnsi="Times New Roman" w:cs="Times New Roman"/>
                <w:color w:val="auto"/>
                <w:sz w:val="24"/>
                <w:szCs w:val="24"/>
                <w:u w:val="none"/>
                <w:lang w:bidi="ar"/>
              </w:rPr>
            </w:pPr>
          </w:p>
          <w:p w14:paraId="40A1CDCA">
            <w:pPr>
              <w:rPr>
                <w:rFonts w:hint="default" w:ascii="Times New Roman" w:hAnsi="Times New Roman" w:cs="Times New Roman"/>
                <w:color w:val="auto"/>
                <w:kern w:val="0"/>
                <w:sz w:val="24"/>
                <w:u w:val="none"/>
                <w:lang w:bidi="ar"/>
              </w:rPr>
            </w:pPr>
          </w:p>
          <w:p w14:paraId="3CCE5847">
            <w:pPr>
              <w:pStyle w:val="19"/>
              <w:rPr>
                <w:rFonts w:hint="default" w:ascii="Times New Roman" w:hAnsi="Times New Roman" w:cs="Times New Roman"/>
                <w:color w:val="auto"/>
                <w:sz w:val="24"/>
                <w:szCs w:val="24"/>
                <w:u w:val="none"/>
                <w:lang w:bidi="ar"/>
              </w:rPr>
            </w:pPr>
          </w:p>
          <w:p w14:paraId="68C06BC5">
            <w:pPr>
              <w:pStyle w:val="37"/>
              <w:rPr>
                <w:rFonts w:hint="default" w:ascii="Times New Roman" w:hAnsi="Times New Roman" w:cs="Times New Roman"/>
                <w:color w:val="auto"/>
                <w:u w:val="none"/>
              </w:rPr>
            </w:pPr>
          </w:p>
          <w:p w14:paraId="733595EA">
            <w:pPr>
              <w:rPr>
                <w:rFonts w:hint="default" w:ascii="Times New Roman" w:hAnsi="Times New Roman" w:cs="Times New Roman"/>
                <w:color w:val="auto"/>
              </w:rPr>
            </w:pPr>
          </w:p>
        </w:tc>
      </w:tr>
      <w:tr w14:paraId="7B9FF8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02" w:hRule="atLeast"/>
          <w:jc w:val="center"/>
        </w:trPr>
        <w:tc>
          <w:tcPr>
            <w:tcW w:w="599" w:type="dxa"/>
            <w:tcMar>
              <w:left w:w="28" w:type="dxa"/>
              <w:right w:w="28" w:type="dxa"/>
            </w:tcMar>
            <w:vAlign w:val="center"/>
          </w:tcPr>
          <w:p w14:paraId="0E8BE60F">
            <w:pPr>
              <w:snapToGrid w:val="0"/>
              <w:jc w:val="center"/>
              <w:rPr>
                <w:rFonts w:hint="default" w:ascii="Times New Roman" w:hAnsi="Times New Roman" w:cs="Times New Roman"/>
                <w:bCs/>
                <w:color w:val="auto"/>
                <w:sz w:val="24"/>
                <w:u w:val="none"/>
              </w:rPr>
            </w:pPr>
            <w:r>
              <w:rPr>
                <w:rFonts w:hint="default" w:ascii="Times New Roman" w:hAnsi="Times New Roman" w:cs="Times New Roman"/>
                <w:bCs/>
                <w:color w:val="auto"/>
                <w:sz w:val="24"/>
                <w:u w:val="none"/>
              </w:rPr>
              <w:t>运营</w:t>
            </w:r>
          </w:p>
          <w:p w14:paraId="7E3A2FCD">
            <w:pPr>
              <w:snapToGrid w:val="0"/>
              <w:jc w:val="center"/>
              <w:rPr>
                <w:rFonts w:hint="default" w:ascii="Times New Roman" w:hAnsi="Times New Roman" w:cs="Times New Roman"/>
                <w:bCs/>
                <w:color w:val="auto"/>
                <w:sz w:val="24"/>
                <w:u w:val="none"/>
              </w:rPr>
            </w:pPr>
            <w:r>
              <w:rPr>
                <w:rFonts w:hint="default" w:ascii="Times New Roman" w:hAnsi="Times New Roman" w:cs="Times New Roman"/>
                <w:bCs/>
                <w:color w:val="auto"/>
                <w:sz w:val="24"/>
                <w:u w:val="none"/>
              </w:rPr>
              <w:t>期环</w:t>
            </w:r>
          </w:p>
          <w:p w14:paraId="610F5620">
            <w:pPr>
              <w:snapToGrid w:val="0"/>
              <w:jc w:val="center"/>
              <w:rPr>
                <w:rFonts w:hint="default" w:ascii="Times New Roman" w:hAnsi="Times New Roman" w:cs="Times New Roman"/>
                <w:bCs/>
                <w:color w:val="auto"/>
                <w:sz w:val="24"/>
                <w:u w:val="none"/>
              </w:rPr>
            </w:pPr>
            <w:r>
              <w:rPr>
                <w:rFonts w:hint="default" w:ascii="Times New Roman" w:hAnsi="Times New Roman" w:cs="Times New Roman"/>
                <w:bCs/>
                <w:color w:val="auto"/>
                <w:sz w:val="24"/>
                <w:u w:val="none"/>
              </w:rPr>
              <w:t>境影</w:t>
            </w:r>
          </w:p>
          <w:p w14:paraId="60372F37">
            <w:pPr>
              <w:snapToGrid w:val="0"/>
              <w:jc w:val="center"/>
              <w:rPr>
                <w:rFonts w:hint="default" w:ascii="Times New Roman" w:hAnsi="Times New Roman" w:cs="Times New Roman"/>
                <w:bCs/>
                <w:color w:val="auto"/>
                <w:sz w:val="24"/>
                <w:u w:val="none"/>
              </w:rPr>
            </w:pPr>
            <w:r>
              <w:rPr>
                <w:rFonts w:hint="default" w:ascii="Times New Roman" w:hAnsi="Times New Roman" w:cs="Times New Roman"/>
                <w:bCs/>
                <w:color w:val="auto"/>
                <w:sz w:val="24"/>
                <w:u w:val="none"/>
              </w:rPr>
              <w:t>响和</w:t>
            </w:r>
          </w:p>
          <w:p w14:paraId="70399274">
            <w:pPr>
              <w:snapToGrid w:val="0"/>
              <w:jc w:val="center"/>
              <w:rPr>
                <w:rFonts w:hint="default" w:ascii="Times New Roman" w:hAnsi="Times New Roman" w:cs="Times New Roman"/>
                <w:bCs/>
                <w:color w:val="auto"/>
                <w:sz w:val="24"/>
                <w:u w:val="none"/>
              </w:rPr>
            </w:pPr>
            <w:r>
              <w:rPr>
                <w:rFonts w:hint="default" w:ascii="Times New Roman" w:hAnsi="Times New Roman" w:cs="Times New Roman"/>
                <w:bCs/>
                <w:color w:val="auto"/>
                <w:sz w:val="24"/>
                <w:u w:val="none"/>
              </w:rPr>
              <w:t>保护</w:t>
            </w:r>
          </w:p>
          <w:p w14:paraId="469A4E05">
            <w:pPr>
              <w:snapToGrid w:val="0"/>
              <w:jc w:val="center"/>
              <w:rPr>
                <w:rFonts w:hint="default" w:ascii="Times New Roman" w:hAnsi="Times New Roman" w:cs="Times New Roman"/>
                <w:bCs/>
                <w:color w:val="auto"/>
                <w:sz w:val="24"/>
                <w:u w:val="none"/>
              </w:rPr>
            </w:pPr>
            <w:r>
              <w:rPr>
                <w:rFonts w:hint="default" w:ascii="Times New Roman" w:hAnsi="Times New Roman" w:cs="Times New Roman"/>
                <w:bCs/>
                <w:color w:val="auto"/>
                <w:sz w:val="24"/>
                <w:u w:val="none"/>
              </w:rPr>
              <w:t>措施</w:t>
            </w:r>
          </w:p>
        </w:tc>
        <w:tc>
          <w:tcPr>
            <w:tcW w:w="8382" w:type="dxa"/>
            <w:vAlign w:val="center"/>
          </w:tcPr>
          <w:p w14:paraId="259A89B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baseline"/>
              <w:rPr>
                <w:rFonts w:hint="default" w:ascii="Times New Roman" w:hAnsi="Times New Roman" w:cs="Times New Roman"/>
                <w:b/>
                <w:bCs/>
                <w:color w:val="auto"/>
                <w:sz w:val="24"/>
                <w:u w:val="none"/>
              </w:rPr>
            </w:pPr>
            <w:r>
              <w:rPr>
                <w:rFonts w:hint="default" w:ascii="Times New Roman" w:hAnsi="Times New Roman" w:cs="Times New Roman"/>
                <w:b/>
                <w:bCs/>
                <w:color w:val="auto"/>
                <w:sz w:val="24"/>
                <w:u w:val="none"/>
              </w:rPr>
              <w:t>（一）废气</w:t>
            </w:r>
          </w:p>
          <w:p w14:paraId="022AD9F0">
            <w:pPr>
              <w:spacing w:line="360" w:lineRule="auto"/>
              <w:ind w:firstLine="482" w:firstLineChars="200"/>
              <w:textAlignment w:val="baseline"/>
              <w:rPr>
                <w:rFonts w:hint="default" w:ascii="Times New Roman" w:hAnsi="Times New Roman" w:cs="Times New Roman"/>
                <w:b/>
                <w:bCs/>
                <w:color w:val="auto"/>
                <w:sz w:val="24"/>
                <w:u w:val="none"/>
              </w:rPr>
            </w:pPr>
            <w:r>
              <w:rPr>
                <w:rFonts w:hint="default" w:ascii="Times New Roman" w:hAnsi="Times New Roman" w:cs="Times New Roman"/>
                <w:b/>
                <w:bCs/>
                <w:color w:val="auto"/>
                <w:sz w:val="24"/>
                <w:u w:val="none"/>
              </w:rPr>
              <w:t>1、项目废气产排总体情况</w:t>
            </w:r>
          </w:p>
          <w:p w14:paraId="3B6D6590">
            <w:pPr>
              <w:pStyle w:val="102"/>
              <w:spacing w:before="0" w:beforeAutospacing="0" w:after="0" w:afterAutospacing="0" w:line="360" w:lineRule="auto"/>
              <w:ind w:firstLine="480" w:firstLineChars="200"/>
              <w:jc w:val="both"/>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项目营运期废气主要分为两类：一是原料密闭</w:t>
            </w:r>
            <w:r>
              <w:rPr>
                <w:rFonts w:hint="default" w:ascii="Times New Roman" w:hAnsi="Times New Roman" w:cs="Times New Roman"/>
                <w:sz w:val="24"/>
                <w:szCs w:val="24"/>
                <w:lang w:val="en-US" w:eastAsia="zh-CN"/>
              </w:rPr>
              <w:t>混合</w:t>
            </w:r>
            <w:r>
              <w:rPr>
                <w:rFonts w:hint="default" w:ascii="Times New Roman" w:hAnsi="Times New Roman" w:eastAsia="宋体" w:cs="Times New Roman"/>
                <w:sz w:val="24"/>
                <w:szCs w:val="24"/>
                <w:lang w:val="en-US" w:eastAsia="zh-CN"/>
              </w:rPr>
              <w:t>、不合格边角料破碎工序产生的微量无组织粉尘；</w:t>
            </w:r>
            <w:r>
              <w:rPr>
                <w:rFonts w:ascii="Times New Roman" w:hAnsi="Times New Roman" w:eastAsia="宋体" w:cs="Times New Roman"/>
                <w:sz w:val="24"/>
                <w:szCs w:val="24"/>
              </w:rPr>
              <w:t>二是塑胶粒子（含填充橡胶石蜡油）注塑熔融产生的挥发性有机废气（以非甲烷总烃NMHC 表征）</w:t>
            </w:r>
            <w:r>
              <w:rPr>
                <w:rFonts w:hint="default" w:ascii="Times New Roman" w:hAnsi="Times New Roman" w:eastAsia="宋体" w:cs="Times New Roman"/>
                <w:sz w:val="24"/>
                <w:szCs w:val="24"/>
                <w:lang w:val="en-US" w:eastAsia="zh-CN"/>
              </w:rPr>
              <w:t>。</w:t>
            </w:r>
            <w:r>
              <w:rPr>
                <w:rFonts w:ascii="Times New Roman" w:hAnsi="Times New Roman" w:eastAsia="宋体" w:cs="Times New Roman"/>
                <w:sz w:val="24"/>
                <w:szCs w:val="24"/>
              </w:rPr>
              <w:t>根据原辅材料 MSDS，项目所用橡胶石蜡油为高闪点精制饱和烷烃矿物油，热稳定性较好；经与业主现场核实，项目注塑加工温度低于石蜡油大量汽化形成油雾的临界温度，生产过程</w:t>
            </w:r>
            <w:r>
              <w:rPr>
                <w:rStyle w:val="41"/>
                <w:rFonts w:ascii="Times New Roman" w:hAnsi="Times New Roman" w:eastAsia="宋体" w:cs="Times New Roman"/>
                <w:color w:val="000000"/>
                <w:sz w:val="24"/>
                <w:szCs w:val="24"/>
              </w:rPr>
              <w:t>无油雾产生</w:t>
            </w:r>
            <w:r>
              <w:rPr>
                <w:rFonts w:ascii="Times New Roman" w:hAnsi="Times New Roman" w:eastAsia="宋体" w:cs="Times New Roman"/>
                <w:sz w:val="24"/>
                <w:szCs w:val="24"/>
              </w:rPr>
              <w:t>。但在注塑受热工况下，石蜡油中少量轻质烷烃组分会缓慢挥发，是非甲烷总烃贡献来源之一</w:t>
            </w:r>
            <w:r>
              <w:rPr>
                <w:rFonts w:hint="default" w:ascii="Times New Roman" w:hAnsi="Times New Roman" w:eastAsia="宋体" w:cs="Times New Roman"/>
                <w:sz w:val="24"/>
                <w:szCs w:val="24"/>
                <w:lang w:val="en-US" w:eastAsia="zh-CN"/>
              </w:rPr>
              <w:t>。项目注塑工位设置专用集气罩收集有机废气，收集废气送入二级活性炭吸附装置（TA001）处理后，通过15m高排气筒（DA001）有组织排放；未收集的少量有机废气、全过程粉尘均以无组织形式在车间内逸散</w:t>
            </w:r>
            <w:r>
              <w:rPr>
                <w:rFonts w:hint="default" w:ascii="Times New Roman" w:hAnsi="Times New Roman" w:cs="Times New Roman"/>
                <w:sz w:val="24"/>
                <w:szCs w:val="24"/>
                <w:lang w:val="en-US" w:eastAsia="zh-CN"/>
              </w:rPr>
              <w:t>。</w:t>
            </w:r>
          </w:p>
          <w:p w14:paraId="74F555D8">
            <w:pPr>
              <w:jc w:val="center"/>
              <w:outlineLvl w:val="0"/>
              <w:rPr>
                <w:rFonts w:hint="default" w:ascii="Times New Roman" w:hAnsi="Times New Roman" w:eastAsia="宋体" w:cs="Times New Roman"/>
                <w:b/>
                <w:color w:val="auto"/>
                <w:szCs w:val="21"/>
                <w:u w:val="none"/>
              </w:rPr>
            </w:pPr>
            <w:r>
              <w:rPr>
                <w:rFonts w:hint="default" w:ascii="Times New Roman" w:hAnsi="Times New Roman" w:eastAsia="宋体" w:cs="Times New Roman"/>
                <w:b/>
                <w:color w:val="auto"/>
                <w:szCs w:val="21"/>
                <w:u w:val="none"/>
              </w:rPr>
              <w:t>表4-1 项目废气产生及排放总体情况表</w:t>
            </w:r>
          </w:p>
          <w:tbl>
            <w:tblPr>
              <w:tblStyle w:val="38"/>
              <w:tblW w:w="8238" w:type="dxa"/>
              <w:tblInd w:w="-1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915"/>
              <w:gridCol w:w="778"/>
              <w:gridCol w:w="954"/>
              <w:gridCol w:w="818"/>
              <w:gridCol w:w="1637"/>
              <w:gridCol w:w="788"/>
              <w:gridCol w:w="909"/>
              <w:gridCol w:w="924"/>
              <w:gridCol w:w="515"/>
            </w:tblGrid>
            <w:tr w14:paraId="05F47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40" w:hRule="atLeast"/>
              </w:trPr>
              <w:tc>
                <w:tcPr>
                  <w:tcW w:w="915" w:type="dxa"/>
                  <w:vMerge w:val="restart"/>
                  <w:tcBorders>
                    <w:tl2br w:val="nil"/>
                    <w:tr2bl w:val="nil"/>
                  </w:tcBorders>
                  <w:shd w:val="clear" w:color="auto" w:fill="auto"/>
                  <w:tcMar>
                    <w:top w:w="120" w:type="dxa"/>
                    <w:left w:w="120" w:type="dxa"/>
                    <w:bottom w:w="120" w:type="dxa"/>
                    <w:right w:w="120" w:type="dxa"/>
                  </w:tcMar>
                  <w:vAlign w:val="center"/>
                </w:tcPr>
                <w:p w14:paraId="2C02D303">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污染源</w:t>
                  </w:r>
                </w:p>
              </w:tc>
              <w:tc>
                <w:tcPr>
                  <w:tcW w:w="778" w:type="dxa"/>
                  <w:vMerge w:val="restart"/>
                  <w:tcBorders>
                    <w:tl2br w:val="nil"/>
                    <w:tr2bl w:val="nil"/>
                  </w:tcBorders>
                  <w:shd w:val="clear" w:color="auto" w:fill="auto"/>
                  <w:tcMar>
                    <w:top w:w="120" w:type="dxa"/>
                    <w:left w:w="120" w:type="dxa"/>
                    <w:bottom w:w="120" w:type="dxa"/>
                    <w:right w:w="120" w:type="dxa"/>
                  </w:tcMar>
                  <w:vAlign w:val="center"/>
                </w:tcPr>
                <w:p w14:paraId="2FB60175">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污染物</w:t>
                  </w:r>
                </w:p>
              </w:tc>
              <w:tc>
                <w:tcPr>
                  <w:tcW w:w="1772" w:type="dxa"/>
                  <w:gridSpan w:val="2"/>
                  <w:tcBorders>
                    <w:tl2br w:val="nil"/>
                    <w:tr2bl w:val="nil"/>
                  </w:tcBorders>
                  <w:shd w:val="clear" w:color="auto" w:fill="auto"/>
                  <w:tcMar>
                    <w:top w:w="120" w:type="dxa"/>
                    <w:left w:w="120" w:type="dxa"/>
                    <w:bottom w:w="120" w:type="dxa"/>
                    <w:right w:w="120" w:type="dxa"/>
                  </w:tcMar>
                  <w:vAlign w:val="center"/>
                </w:tcPr>
                <w:p w14:paraId="4D338615">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产生情况</w:t>
                  </w:r>
                </w:p>
              </w:tc>
              <w:tc>
                <w:tcPr>
                  <w:tcW w:w="1637" w:type="dxa"/>
                  <w:tcBorders>
                    <w:tl2br w:val="nil"/>
                    <w:tr2bl w:val="nil"/>
                  </w:tcBorders>
                  <w:shd w:val="clear" w:color="auto" w:fill="auto"/>
                  <w:tcMar>
                    <w:top w:w="120" w:type="dxa"/>
                    <w:left w:w="120" w:type="dxa"/>
                    <w:bottom w:w="120" w:type="dxa"/>
                    <w:right w:w="120" w:type="dxa"/>
                  </w:tcMar>
                  <w:vAlign w:val="center"/>
                </w:tcPr>
                <w:p w14:paraId="7AB75E88">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处理措施</w:t>
                  </w:r>
                </w:p>
              </w:tc>
              <w:tc>
                <w:tcPr>
                  <w:tcW w:w="2621" w:type="dxa"/>
                  <w:gridSpan w:val="3"/>
                  <w:tcBorders>
                    <w:tl2br w:val="nil"/>
                    <w:tr2bl w:val="nil"/>
                  </w:tcBorders>
                  <w:shd w:val="clear" w:color="auto" w:fill="auto"/>
                  <w:tcMar>
                    <w:top w:w="120" w:type="dxa"/>
                    <w:left w:w="120" w:type="dxa"/>
                    <w:bottom w:w="120" w:type="dxa"/>
                    <w:right w:w="120" w:type="dxa"/>
                  </w:tcMar>
                  <w:vAlign w:val="center"/>
                </w:tcPr>
                <w:p w14:paraId="0AB17121">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排放情况</w:t>
                  </w:r>
                </w:p>
              </w:tc>
              <w:tc>
                <w:tcPr>
                  <w:tcW w:w="515" w:type="dxa"/>
                  <w:vMerge w:val="restart"/>
                  <w:tcBorders>
                    <w:tl2br w:val="nil"/>
                    <w:tr2bl w:val="nil"/>
                  </w:tcBorders>
                  <w:shd w:val="clear" w:color="auto" w:fill="auto"/>
                  <w:tcMar>
                    <w:top w:w="120" w:type="dxa"/>
                    <w:left w:w="120" w:type="dxa"/>
                    <w:bottom w:w="120" w:type="dxa"/>
                    <w:right w:w="120" w:type="dxa"/>
                  </w:tcMar>
                  <w:vAlign w:val="center"/>
                </w:tcPr>
                <w:p w14:paraId="1E72DB25">
                  <w:pPr>
                    <w:jc w:val="both"/>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标准值（mg/m³）</w:t>
                  </w:r>
                </w:p>
              </w:tc>
            </w:tr>
            <w:tr w14:paraId="6034C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40" w:hRule="atLeast"/>
              </w:trPr>
              <w:tc>
                <w:tcPr>
                  <w:tcW w:w="915" w:type="dxa"/>
                  <w:vMerge w:val="continue"/>
                  <w:tcBorders>
                    <w:tl2br w:val="nil"/>
                    <w:tr2bl w:val="nil"/>
                  </w:tcBorders>
                  <w:shd w:val="clear" w:color="auto" w:fill="auto"/>
                  <w:tcMar>
                    <w:top w:w="120" w:type="dxa"/>
                    <w:left w:w="120" w:type="dxa"/>
                    <w:bottom w:w="120" w:type="dxa"/>
                    <w:right w:w="120" w:type="dxa"/>
                  </w:tcMar>
                  <w:vAlign w:val="center"/>
                </w:tcPr>
                <w:p w14:paraId="0237D4B3">
                  <w:pPr>
                    <w:jc w:val="center"/>
                    <w:rPr>
                      <w:rFonts w:hint="default" w:ascii="Times New Roman" w:hAnsi="Times New Roman" w:eastAsia="宋体" w:cs="Times New Roman"/>
                      <w:color w:val="auto"/>
                      <w:szCs w:val="21"/>
                      <w:u w:val="none"/>
                      <w:lang w:val="en-US" w:eastAsia="zh-CN"/>
                    </w:rPr>
                  </w:pPr>
                </w:p>
              </w:tc>
              <w:tc>
                <w:tcPr>
                  <w:tcW w:w="778" w:type="dxa"/>
                  <w:vMerge w:val="continue"/>
                  <w:tcBorders>
                    <w:tl2br w:val="nil"/>
                    <w:tr2bl w:val="nil"/>
                  </w:tcBorders>
                  <w:shd w:val="clear" w:color="auto" w:fill="auto"/>
                  <w:tcMar>
                    <w:top w:w="120" w:type="dxa"/>
                    <w:left w:w="120" w:type="dxa"/>
                    <w:bottom w:w="120" w:type="dxa"/>
                    <w:right w:w="120" w:type="dxa"/>
                  </w:tcMar>
                  <w:vAlign w:val="center"/>
                </w:tcPr>
                <w:p w14:paraId="32C8E3BD">
                  <w:pPr>
                    <w:jc w:val="center"/>
                    <w:rPr>
                      <w:rFonts w:hint="default" w:ascii="Times New Roman" w:hAnsi="Times New Roman" w:eastAsia="宋体" w:cs="Times New Roman"/>
                      <w:color w:val="auto"/>
                      <w:szCs w:val="21"/>
                      <w:u w:val="none"/>
                      <w:lang w:val="en-US" w:eastAsia="zh-CN"/>
                    </w:rPr>
                  </w:pPr>
                </w:p>
              </w:tc>
              <w:tc>
                <w:tcPr>
                  <w:tcW w:w="954" w:type="dxa"/>
                  <w:tcBorders>
                    <w:tl2br w:val="nil"/>
                    <w:tr2bl w:val="nil"/>
                  </w:tcBorders>
                  <w:shd w:val="clear" w:color="auto" w:fill="auto"/>
                  <w:tcMar>
                    <w:top w:w="120" w:type="dxa"/>
                    <w:left w:w="120" w:type="dxa"/>
                    <w:bottom w:w="120" w:type="dxa"/>
                    <w:right w:w="120" w:type="dxa"/>
                  </w:tcMar>
                  <w:vAlign w:val="center"/>
                </w:tcPr>
                <w:p w14:paraId="2B0DBDAB">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产生量（t/a）</w:t>
                  </w:r>
                </w:p>
              </w:tc>
              <w:tc>
                <w:tcPr>
                  <w:tcW w:w="818" w:type="dxa"/>
                  <w:tcBorders>
                    <w:tl2br w:val="nil"/>
                    <w:tr2bl w:val="nil"/>
                  </w:tcBorders>
                  <w:shd w:val="clear" w:color="auto" w:fill="auto"/>
                  <w:tcMar>
                    <w:top w:w="120" w:type="dxa"/>
                    <w:left w:w="120" w:type="dxa"/>
                    <w:bottom w:w="120" w:type="dxa"/>
                    <w:right w:w="120" w:type="dxa"/>
                  </w:tcMar>
                  <w:vAlign w:val="center"/>
                </w:tcPr>
                <w:p w14:paraId="3F94FF20">
                  <w:pPr>
                    <w:jc w:val="both"/>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废气量（万m³/a）</w:t>
                  </w:r>
                </w:p>
              </w:tc>
              <w:tc>
                <w:tcPr>
                  <w:tcW w:w="1637" w:type="dxa"/>
                  <w:tcBorders>
                    <w:tl2br w:val="nil"/>
                    <w:tr2bl w:val="nil"/>
                  </w:tcBorders>
                  <w:shd w:val="clear" w:color="auto" w:fill="auto"/>
                  <w:tcMar>
                    <w:top w:w="120" w:type="dxa"/>
                    <w:left w:w="120" w:type="dxa"/>
                    <w:bottom w:w="120" w:type="dxa"/>
                    <w:right w:w="120" w:type="dxa"/>
                  </w:tcMar>
                  <w:vAlign w:val="center"/>
                </w:tcPr>
                <w:p w14:paraId="4D2A7394">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治理工艺</w:t>
                  </w:r>
                </w:p>
              </w:tc>
              <w:tc>
                <w:tcPr>
                  <w:tcW w:w="788" w:type="dxa"/>
                  <w:tcBorders>
                    <w:tl2br w:val="nil"/>
                    <w:tr2bl w:val="nil"/>
                  </w:tcBorders>
                  <w:shd w:val="clear" w:color="auto" w:fill="auto"/>
                  <w:tcMar>
                    <w:top w:w="120" w:type="dxa"/>
                    <w:left w:w="120" w:type="dxa"/>
                    <w:bottom w:w="120" w:type="dxa"/>
                    <w:right w:w="120" w:type="dxa"/>
                  </w:tcMar>
                  <w:vAlign w:val="center"/>
                </w:tcPr>
                <w:p w14:paraId="552AA800">
                  <w:pPr>
                    <w:jc w:val="both"/>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排放量（t/a）</w:t>
                  </w:r>
                </w:p>
              </w:tc>
              <w:tc>
                <w:tcPr>
                  <w:tcW w:w="909" w:type="dxa"/>
                  <w:tcBorders>
                    <w:tl2br w:val="nil"/>
                    <w:tr2bl w:val="nil"/>
                  </w:tcBorders>
                  <w:shd w:val="clear" w:color="auto" w:fill="auto"/>
                  <w:tcMar>
                    <w:top w:w="120" w:type="dxa"/>
                    <w:left w:w="120" w:type="dxa"/>
                    <w:bottom w:w="120" w:type="dxa"/>
                    <w:right w:w="120" w:type="dxa"/>
                  </w:tcMar>
                  <w:vAlign w:val="center"/>
                </w:tcPr>
                <w:p w14:paraId="408D12F9">
                  <w:pPr>
                    <w:jc w:val="both"/>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排放速率（kg/h）</w:t>
                  </w:r>
                </w:p>
              </w:tc>
              <w:tc>
                <w:tcPr>
                  <w:tcW w:w="924" w:type="dxa"/>
                  <w:tcBorders>
                    <w:tl2br w:val="nil"/>
                    <w:tr2bl w:val="nil"/>
                  </w:tcBorders>
                  <w:shd w:val="clear" w:color="auto" w:fill="auto"/>
                  <w:tcMar>
                    <w:top w:w="120" w:type="dxa"/>
                    <w:left w:w="120" w:type="dxa"/>
                    <w:bottom w:w="120" w:type="dxa"/>
                    <w:right w:w="120" w:type="dxa"/>
                  </w:tcMar>
                  <w:vAlign w:val="center"/>
                </w:tcPr>
                <w:p w14:paraId="2980D51A">
                  <w:pPr>
                    <w:jc w:val="both"/>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排放浓度（mg/m³）</w:t>
                  </w:r>
                </w:p>
              </w:tc>
              <w:tc>
                <w:tcPr>
                  <w:tcW w:w="515" w:type="dxa"/>
                  <w:vMerge w:val="continue"/>
                  <w:tcBorders>
                    <w:tl2br w:val="nil"/>
                    <w:tr2bl w:val="nil"/>
                  </w:tcBorders>
                  <w:shd w:val="clear" w:color="auto" w:fill="auto"/>
                  <w:tcMar>
                    <w:top w:w="120" w:type="dxa"/>
                    <w:left w:w="120" w:type="dxa"/>
                    <w:bottom w:w="120" w:type="dxa"/>
                    <w:right w:w="120" w:type="dxa"/>
                  </w:tcMar>
                  <w:vAlign w:val="center"/>
                </w:tcPr>
                <w:p w14:paraId="3D4E9120">
                  <w:pPr>
                    <w:jc w:val="center"/>
                    <w:rPr>
                      <w:rFonts w:hint="default" w:ascii="Times New Roman" w:hAnsi="Times New Roman" w:eastAsia="宋体" w:cs="Times New Roman"/>
                      <w:color w:val="auto"/>
                      <w:szCs w:val="21"/>
                      <w:u w:val="none"/>
                      <w:lang w:val="en-US" w:eastAsia="zh-CN"/>
                    </w:rPr>
                  </w:pPr>
                </w:p>
              </w:tc>
            </w:tr>
            <w:tr w14:paraId="4E5CE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40" w:hRule="atLeast"/>
              </w:trPr>
              <w:tc>
                <w:tcPr>
                  <w:tcW w:w="915" w:type="dxa"/>
                  <w:tcBorders>
                    <w:tl2br w:val="nil"/>
                    <w:tr2bl w:val="nil"/>
                  </w:tcBorders>
                  <w:shd w:val="clear" w:color="auto" w:fill="auto"/>
                  <w:tcMar>
                    <w:top w:w="120" w:type="dxa"/>
                    <w:left w:w="120" w:type="dxa"/>
                    <w:bottom w:w="120" w:type="dxa"/>
                    <w:right w:w="120" w:type="dxa"/>
                  </w:tcMar>
                  <w:vAlign w:val="center"/>
                </w:tcPr>
                <w:p w14:paraId="4F94D567">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注塑有组织废气</w:t>
                  </w:r>
                </w:p>
              </w:tc>
              <w:tc>
                <w:tcPr>
                  <w:tcW w:w="778" w:type="dxa"/>
                  <w:tcBorders>
                    <w:tl2br w:val="nil"/>
                    <w:tr2bl w:val="nil"/>
                  </w:tcBorders>
                  <w:shd w:val="clear" w:color="auto" w:fill="auto"/>
                  <w:tcMar>
                    <w:top w:w="120" w:type="dxa"/>
                    <w:left w:w="120" w:type="dxa"/>
                    <w:bottom w:w="120" w:type="dxa"/>
                    <w:right w:w="120" w:type="dxa"/>
                  </w:tcMar>
                  <w:vAlign w:val="center"/>
                </w:tcPr>
                <w:p w14:paraId="30C17829">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非甲烷总烃</w:t>
                  </w:r>
                </w:p>
              </w:tc>
              <w:tc>
                <w:tcPr>
                  <w:tcW w:w="954" w:type="dxa"/>
                  <w:tcBorders>
                    <w:tl2br w:val="nil"/>
                    <w:tr2bl w:val="nil"/>
                  </w:tcBorders>
                  <w:shd w:val="clear" w:color="auto" w:fill="auto"/>
                  <w:tcMar>
                    <w:top w:w="120" w:type="dxa"/>
                    <w:left w:w="120" w:type="dxa"/>
                    <w:bottom w:w="120" w:type="dxa"/>
                    <w:right w:w="120" w:type="dxa"/>
                  </w:tcMar>
                  <w:vAlign w:val="center"/>
                </w:tcPr>
                <w:p w14:paraId="7AA8F205">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cs="Times New Roman"/>
                      <w:color w:val="auto"/>
                      <w:szCs w:val="21"/>
                      <w:u w:val="none"/>
                      <w:lang w:val="en-US" w:eastAsia="zh-CN"/>
                    </w:rPr>
                    <w:t>0.1936</w:t>
                  </w:r>
                </w:p>
              </w:tc>
              <w:tc>
                <w:tcPr>
                  <w:tcW w:w="818" w:type="dxa"/>
                  <w:tcBorders>
                    <w:tl2br w:val="nil"/>
                    <w:tr2bl w:val="nil"/>
                  </w:tcBorders>
                  <w:shd w:val="clear" w:color="auto" w:fill="auto"/>
                  <w:tcMar>
                    <w:top w:w="120" w:type="dxa"/>
                    <w:left w:w="120" w:type="dxa"/>
                    <w:bottom w:w="120" w:type="dxa"/>
                    <w:right w:w="120" w:type="dxa"/>
                  </w:tcMar>
                  <w:vAlign w:val="center"/>
                </w:tcPr>
                <w:p w14:paraId="78AB23C6">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cs="Times New Roman"/>
                      <w:color w:val="auto"/>
                      <w:szCs w:val="21"/>
                      <w:u w:val="none"/>
                      <w:lang w:val="en-US" w:eastAsia="zh-CN"/>
                    </w:rPr>
                    <w:t>1200</w:t>
                  </w:r>
                </w:p>
              </w:tc>
              <w:tc>
                <w:tcPr>
                  <w:tcW w:w="1637" w:type="dxa"/>
                  <w:tcBorders>
                    <w:tl2br w:val="nil"/>
                    <w:tr2bl w:val="nil"/>
                  </w:tcBorders>
                  <w:shd w:val="clear" w:color="auto" w:fill="auto"/>
                  <w:tcMar>
                    <w:top w:w="120" w:type="dxa"/>
                    <w:left w:w="120" w:type="dxa"/>
                    <w:bottom w:w="120" w:type="dxa"/>
                    <w:right w:w="120" w:type="dxa"/>
                  </w:tcMar>
                  <w:vAlign w:val="center"/>
                </w:tcPr>
                <w:p w14:paraId="2928D868">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集气</w:t>
                  </w:r>
                  <w:r>
                    <w:rPr>
                      <w:rFonts w:hint="default" w:ascii="Times New Roman" w:hAnsi="Times New Roman" w:cs="Times New Roman"/>
                      <w:color w:val="auto"/>
                      <w:szCs w:val="21"/>
                      <w:u w:val="none"/>
                      <w:lang w:val="en-US" w:eastAsia="zh-CN"/>
                    </w:rPr>
                    <w:t>罩</w:t>
                  </w:r>
                  <w:r>
                    <w:rPr>
                      <w:rFonts w:hint="default" w:ascii="Times New Roman" w:hAnsi="Times New Roman" w:eastAsia="宋体" w:cs="Times New Roman"/>
                      <w:color w:val="auto"/>
                      <w:szCs w:val="21"/>
                      <w:u w:val="none"/>
                      <w:lang w:val="en-US" w:eastAsia="zh-CN"/>
                    </w:rPr>
                    <w:t>+二级活性炭吸附+15m排气筒DA001</w:t>
                  </w:r>
                </w:p>
              </w:tc>
              <w:tc>
                <w:tcPr>
                  <w:tcW w:w="788" w:type="dxa"/>
                  <w:tcBorders>
                    <w:tl2br w:val="nil"/>
                    <w:tr2bl w:val="nil"/>
                  </w:tcBorders>
                  <w:shd w:val="clear" w:color="auto" w:fill="auto"/>
                  <w:tcMar>
                    <w:top w:w="120" w:type="dxa"/>
                    <w:left w:w="120" w:type="dxa"/>
                    <w:bottom w:w="120" w:type="dxa"/>
                    <w:right w:w="120" w:type="dxa"/>
                  </w:tcMar>
                  <w:vAlign w:val="center"/>
                </w:tcPr>
                <w:p w14:paraId="0A11B40A">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cs="Times New Roman"/>
                      <w:color w:val="auto"/>
                      <w:szCs w:val="21"/>
                      <w:u w:val="none"/>
                      <w:lang w:val="en-US" w:eastAsia="zh-CN"/>
                    </w:rPr>
                    <w:t>0.1397</w:t>
                  </w:r>
                </w:p>
              </w:tc>
              <w:tc>
                <w:tcPr>
                  <w:tcW w:w="909" w:type="dxa"/>
                  <w:tcBorders>
                    <w:tl2br w:val="nil"/>
                    <w:tr2bl w:val="nil"/>
                  </w:tcBorders>
                  <w:shd w:val="clear" w:color="auto" w:fill="auto"/>
                  <w:tcMar>
                    <w:top w:w="120" w:type="dxa"/>
                    <w:left w:w="120" w:type="dxa"/>
                    <w:bottom w:w="120" w:type="dxa"/>
                    <w:right w:w="120" w:type="dxa"/>
                  </w:tcMar>
                  <w:vAlign w:val="center"/>
                </w:tcPr>
                <w:p w14:paraId="3D7F8711">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cs="Times New Roman"/>
                      <w:color w:val="auto"/>
                      <w:szCs w:val="21"/>
                      <w:u w:val="none"/>
                      <w:lang w:val="en-US" w:eastAsia="zh-CN"/>
                    </w:rPr>
                    <w:t>0.052</w:t>
                  </w:r>
                </w:p>
              </w:tc>
              <w:tc>
                <w:tcPr>
                  <w:tcW w:w="924" w:type="dxa"/>
                  <w:tcBorders>
                    <w:tl2br w:val="nil"/>
                    <w:tr2bl w:val="nil"/>
                  </w:tcBorders>
                  <w:shd w:val="clear" w:color="auto" w:fill="auto"/>
                  <w:tcMar>
                    <w:top w:w="120" w:type="dxa"/>
                    <w:left w:w="120" w:type="dxa"/>
                    <w:bottom w:w="120" w:type="dxa"/>
                    <w:right w:w="120" w:type="dxa"/>
                  </w:tcMar>
                  <w:vAlign w:val="center"/>
                </w:tcPr>
                <w:p w14:paraId="42D66212">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cs="Times New Roman"/>
                      <w:color w:val="auto"/>
                      <w:szCs w:val="21"/>
                      <w:u w:val="none"/>
                      <w:lang w:val="en-US" w:eastAsia="zh-CN"/>
                    </w:rPr>
                    <w:t>11.64</w:t>
                  </w:r>
                </w:p>
              </w:tc>
              <w:tc>
                <w:tcPr>
                  <w:tcW w:w="515" w:type="dxa"/>
                  <w:tcBorders>
                    <w:tl2br w:val="nil"/>
                    <w:tr2bl w:val="nil"/>
                  </w:tcBorders>
                  <w:shd w:val="clear" w:color="auto" w:fill="auto"/>
                  <w:tcMar>
                    <w:top w:w="120" w:type="dxa"/>
                    <w:left w:w="120" w:type="dxa"/>
                    <w:bottom w:w="120" w:type="dxa"/>
                    <w:right w:w="120" w:type="dxa"/>
                  </w:tcMar>
                  <w:vAlign w:val="center"/>
                </w:tcPr>
                <w:p w14:paraId="19D61E23">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10</w:t>
                  </w:r>
                  <w:r>
                    <w:rPr>
                      <w:rFonts w:hint="default" w:ascii="Times New Roman" w:hAnsi="Times New Roman" w:cs="Times New Roman"/>
                      <w:color w:val="auto"/>
                      <w:szCs w:val="21"/>
                      <w:u w:val="none"/>
                      <w:lang w:val="en-US" w:eastAsia="zh-CN"/>
                    </w:rPr>
                    <w:t>0</w:t>
                  </w:r>
                </w:p>
              </w:tc>
            </w:tr>
            <w:tr w14:paraId="69C8D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40" w:hRule="atLeast"/>
              </w:trPr>
              <w:tc>
                <w:tcPr>
                  <w:tcW w:w="915" w:type="dxa"/>
                  <w:tcBorders>
                    <w:tl2br w:val="nil"/>
                    <w:tr2bl w:val="nil"/>
                  </w:tcBorders>
                  <w:shd w:val="clear" w:color="auto" w:fill="auto"/>
                  <w:tcMar>
                    <w:top w:w="120" w:type="dxa"/>
                    <w:left w:w="120" w:type="dxa"/>
                    <w:bottom w:w="120" w:type="dxa"/>
                    <w:right w:w="120" w:type="dxa"/>
                  </w:tcMar>
                  <w:vAlign w:val="center"/>
                </w:tcPr>
                <w:p w14:paraId="5D9A2330">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注塑无组织废气</w:t>
                  </w:r>
                </w:p>
              </w:tc>
              <w:tc>
                <w:tcPr>
                  <w:tcW w:w="778" w:type="dxa"/>
                  <w:tcBorders>
                    <w:tl2br w:val="nil"/>
                    <w:tr2bl w:val="nil"/>
                  </w:tcBorders>
                  <w:shd w:val="clear" w:color="auto" w:fill="auto"/>
                  <w:tcMar>
                    <w:top w:w="120" w:type="dxa"/>
                    <w:left w:w="120" w:type="dxa"/>
                    <w:bottom w:w="120" w:type="dxa"/>
                    <w:right w:w="120" w:type="dxa"/>
                  </w:tcMar>
                  <w:vAlign w:val="center"/>
                </w:tcPr>
                <w:p w14:paraId="19CA1F29">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非甲烷总烃</w:t>
                  </w:r>
                </w:p>
              </w:tc>
              <w:tc>
                <w:tcPr>
                  <w:tcW w:w="954" w:type="dxa"/>
                  <w:tcBorders>
                    <w:tl2br w:val="nil"/>
                    <w:tr2bl w:val="nil"/>
                  </w:tcBorders>
                  <w:shd w:val="clear" w:color="auto" w:fill="auto"/>
                  <w:tcMar>
                    <w:top w:w="120" w:type="dxa"/>
                    <w:left w:w="120" w:type="dxa"/>
                    <w:bottom w:w="120" w:type="dxa"/>
                    <w:right w:w="120" w:type="dxa"/>
                  </w:tcMar>
                  <w:vAlign w:val="center"/>
                </w:tcPr>
                <w:p w14:paraId="336EDA86">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cs="Times New Roman"/>
                      <w:color w:val="auto"/>
                      <w:szCs w:val="21"/>
                      <w:u w:val="none"/>
                      <w:lang w:val="en-US" w:eastAsia="zh-CN"/>
                    </w:rPr>
                    <w:t>0.0484</w:t>
                  </w:r>
                </w:p>
              </w:tc>
              <w:tc>
                <w:tcPr>
                  <w:tcW w:w="818" w:type="dxa"/>
                  <w:tcBorders>
                    <w:tl2br w:val="nil"/>
                    <w:tr2bl w:val="nil"/>
                  </w:tcBorders>
                  <w:shd w:val="clear" w:color="auto" w:fill="auto"/>
                  <w:tcMar>
                    <w:top w:w="120" w:type="dxa"/>
                    <w:left w:w="120" w:type="dxa"/>
                    <w:bottom w:w="120" w:type="dxa"/>
                    <w:right w:w="120" w:type="dxa"/>
                  </w:tcMar>
                  <w:vAlign w:val="center"/>
                </w:tcPr>
                <w:p w14:paraId="33E9B887">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w:t>
                  </w:r>
                </w:p>
              </w:tc>
              <w:tc>
                <w:tcPr>
                  <w:tcW w:w="1637" w:type="dxa"/>
                  <w:tcBorders>
                    <w:tl2br w:val="nil"/>
                    <w:tr2bl w:val="nil"/>
                  </w:tcBorders>
                  <w:shd w:val="clear" w:color="auto" w:fill="auto"/>
                  <w:tcMar>
                    <w:top w:w="120" w:type="dxa"/>
                    <w:left w:w="120" w:type="dxa"/>
                    <w:bottom w:w="120" w:type="dxa"/>
                    <w:right w:w="120" w:type="dxa"/>
                  </w:tcMar>
                  <w:vAlign w:val="center"/>
                </w:tcPr>
                <w:p w14:paraId="378AC341">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加强车间管控</w:t>
                  </w:r>
                </w:p>
              </w:tc>
              <w:tc>
                <w:tcPr>
                  <w:tcW w:w="788" w:type="dxa"/>
                  <w:tcBorders>
                    <w:tl2br w:val="nil"/>
                    <w:tr2bl w:val="nil"/>
                  </w:tcBorders>
                  <w:shd w:val="clear" w:color="auto" w:fill="auto"/>
                  <w:tcMar>
                    <w:top w:w="120" w:type="dxa"/>
                    <w:left w:w="120" w:type="dxa"/>
                    <w:bottom w:w="120" w:type="dxa"/>
                    <w:right w:w="120" w:type="dxa"/>
                  </w:tcMar>
                  <w:vAlign w:val="center"/>
                </w:tcPr>
                <w:p w14:paraId="483CA0F1">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cs="Times New Roman"/>
                      <w:color w:val="auto"/>
                      <w:szCs w:val="21"/>
                      <w:u w:val="none"/>
                      <w:lang w:val="en-US" w:eastAsia="zh-CN"/>
                    </w:rPr>
                    <w:t>0.0484</w:t>
                  </w:r>
                </w:p>
              </w:tc>
              <w:tc>
                <w:tcPr>
                  <w:tcW w:w="909" w:type="dxa"/>
                  <w:tcBorders>
                    <w:tl2br w:val="nil"/>
                    <w:tr2bl w:val="nil"/>
                  </w:tcBorders>
                  <w:shd w:val="clear" w:color="auto" w:fill="auto"/>
                  <w:tcMar>
                    <w:top w:w="120" w:type="dxa"/>
                    <w:left w:w="120" w:type="dxa"/>
                    <w:bottom w:w="120" w:type="dxa"/>
                    <w:right w:w="120" w:type="dxa"/>
                  </w:tcMar>
                  <w:vAlign w:val="center"/>
                </w:tcPr>
                <w:p w14:paraId="79DE98EC">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cs="Times New Roman"/>
                      <w:color w:val="auto"/>
                      <w:szCs w:val="21"/>
                      <w:u w:val="none"/>
                      <w:lang w:val="en-US" w:eastAsia="zh-CN"/>
                    </w:rPr>
                    <w:t>0.0202</w:t>
                  </w:r>
                </w:p>
              </w:tc>
              <w:tc>
                <w:tcPr>
                  <w:tcW w:w="924" w:type="dxa"/>
                  <w:tcBorders>
                    <w:tl2br w:val="nil"/>
                    <w:tr2bl w:val="nil"/>
                  </w:tcBorders>
                  <w:shd w:val="clear" w:color="auto" w:fill="auto"/>
                  <w:tcMar>
                    <w:top w:w="120" w:type="dxa"/>
                    <w:left w:w="120" w:type="dxa"/>
                    <w:bottom w:w="120" w:type="dxa"/>
                    <w:right w:w="120" w:type="dxa"/>
                  </w:tcMar>
                  <w:vAlign w:val="center"/>
                </w:tcPr>
                <w:p w14:paraId="192C33EC">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w:t>
                  </w:r>
                </w:p>
              </w:tc>
              <w:tc>
                <w:tcPr>
                  <w:tcW w:w="515" w:type="dxa"/>
                  <w:tcBorders>
                    <w:tl2br w:val="nil"/>
                    <w:tr2bl w:val="nil"/>
                  </w:tcBorders>
                  <w:shd w:val="clear" w:color="auto" w:fill="auto"/>
                  <w:tcMar>
                    <w:top w:w="120" w:type="dxa"/>
                    <w:left w:w="120" w:type="dxa"/>
                    <w:bottom w:w="120" w:type="dxa"/>
                    <w:right w:w="120" w:type="dxa"/>
                  </w:tcMar>
                  <w:vAlign w:val="center"/>
                </w:tcPr>
                <w:p w14:paraId="0364817D">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4.0</w:t>
                  </w:r>
                </w:p>
              </w:tc>
            </w:tr>
            <w:tr w14:paraId="54427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40" w:hRule="atLeast"/>
              </w:trPr>
              <w:tc>
                <w:tcPr>
                  <w:tcW w:w="915" w:type="dxa"/>
                  <w:tcBorders>
                    <w:tl2br w:val="nil"/>
                    <w:tr2bl w:val="nil"/>
                  </w:tcBorders>
                  <w:shd w:val="clear" w:color="auto" w:fill="auto"/>
                  <w:tcMar>
                    <w:top w:w="120" w:type="dxa"/>
                    <w:left w:w="120" w:type="dxa"/>
                    <w:bottom w:w="120" w:type="dxa"/>
                    <w:right w:w="120" w:type="dxa"/>
                  </w:tcMar>
                  <w:vAlign w:val="center"/>
                </w:tcPr>
                <w:p w14:paraId="395CE0A5">
                  <w:pPr>
                    <w:jc w:val="center"/>
                    <w:rPr>
                      <w:rFonts w:hint="default" w:ascii="Times New Roman" w:hAnsi="Times New Roman" w:eastAsia="宋体" w:cs="Times New Roman"/>
                      <w:color w:val="auto"/>
                      <w:szCs w:val="21"/>
                      <w:u w:val="none"/>
                      <w:lang w:val="en-US" w:eastAsia="zh-CN"/>
                    </w:rPr>
                  </w:pPr>
                  <w:r>
                    <w:rPr>
                      <w:rFonts w:hint="default" w:cs="Times New Roman"/>
                      <w:color w:val="auto"/>
                      <w:szCs w:val="21"/>
                      <w:u w:val="none"/>
                      <w:lang w:val="en-US" w:eastAsia="zh-CN"/>
                    </w:rPr>
                    <w:t>混合</w:t>
                  </w:r>
                  <w:r>
                    <w:rPr>
                      <w:rFonts w:hint="default" w:ascii="Times New Roman" w:hAnsi="Times New Roman" w:eastAsia="宋体" w:cs="Times New Roman"/>
                      <w:color w:val="auto"/>
                      <w:szCs w:val="21"/>
                      <w:u w:val="none"/>
                      <w:lang w:val="en-US" w:eastAsia="zh-CN"/>
                    </w:rPr>
                    <w:t>、破碎无组织废气</w:t>
                  </w:r>
                </w:p>
              </w:tc>
              <w:tc>
                <w:tcPr>
                  <w:tcW w:w="778" w:type="dxa"/>
                  <w:tcBorders>
                    <w:tl2br w:val="nil"/>
                    <w:tr2bl w:val="nil"/>
                  </w:tcBorders>
                  <w:shd w:val="clear" w:color="auto" w:fill="auto"/>
                  <w:tcMar>
                    <w:top w:w="120" w:type="dxa"/>
                    <w:left w:w="120" w:type="dxa"/>
                    <w:bottom w:w="120" w:type="dxa"/>
                    <w:right w:w="120" w:type="dxa"/>
                  </w:tcMar>
                  <w:vAlign w:val="center"/>
                </w:tcPr>
                <w:p w14:paraId="7512C7E4">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颗粒物</w:t>
                  </w:r>
                </w:p>
              </w:tc>
              <w:tc>
                <w:tcPr>
                  <w:tcW w:w="954" w:type="dxa"/>
                  <w:tcBorders>
                    <w:tl2br w:val="nil"/>
                    <w:tr2bl w:val="nil"/>
                  </w:tcBorders>
                  <w:shd w:val="clear" w:color="auto" w:fill="auto"/>
                  <w:tcMar>
                    <w:top w:w="120" w:type="dxa"/>
                    <w:left w:w="120" w:type="dxa"/>
                    <w:bottom w:w="120" w:type="dxa"/>
                    <w:right w:w="120" w:type="dxa"/>
                  </w:tcMar>
                  <w:vAlign w:val="center"/>
                </w:tcPr>
                <w:p w14:paraId="390C9741">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0.</w:t>
                  </w:r>
                  <w:r>
                    <w:rPr>
                      <w:rFonts w:hint="eastAsia" w:cs="Times New Roman"/>
                      <w:color w:val="auto"/>
                      <w:szCs w:val="21"/>
                      <w:u w:val="none"/>
                      <w:lang w:val="en-US" w:eastAsia="zh-CN"/>
                    </w:rPr>
                    <w:t>3005</w:t>
                  </w:r>
                </w:p>
              </w:tc>
              <w:tc>
                <w:tcPr>
                  <w:tcW w:w="818" w:type="dxa"/>
                  <w:tcBorders>
                    <w:tl2br w:val="nil"/>
                    <w:tr2bl w:val="nil"/>
                  </w:tcBorders>
                  <w:shd w:val="clear" w:color="auto" w:fill="auto"/>
                  <w:tcMar>
                    <w:top w:w="120" w:type="dxa"/>
                    <w:left w:w="120" w:type="dxa"/>
                    <w:bottom w:w="120" w:type="dxa"/>
                    <w:right w:w="120" w:type="dxa"/>
                  </w:tcMar>
                  <w:vAlign w:val="center"/>
                </w:tcPr>
                <w:p w14:paraId="3AC07B99">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w:t>
                  </w:r>
                </w:p>
              </w:tc>
              <w:tc>
                <w:tcPr>
                  <w:tcW w:w="1637" w:type="dxa"/>
                  <w:tcBorders>
                    <w:tl2br w:val="nil"/>
                    <w:tr2bl w:val="nil"/>
                  </w:tcBorders>
                  <w:shd w:val="clear" w:color="auto" w:fill="auto"/>
                  <w:tcMar>
                    <w:top w:w="120" w:type="dxa"/>
                    <w:left w:w="120" w:type="dxa"/>
                    <w:bottom w:w="120" w:type="dxa"/>
                    <w:right w:w="120" w:type="dxa"/>
                  </w:tcMar>
                  <w:vAlign w:val="center"/>
                </w:tcPr>
                <w:p w14:paraId="26BEF505">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设备密闭作业、加强车间管控</w:t>
                  </w:r>
                </w:p>
              </w:tc>
              <w:tc>
                <w:tcPr>
                  <w:tcW w:w="788" w:type="dxa"/>
                  <w:tcBorders>
                    <w:tl2br w:val="nil"/>
                    <w:tr2bl w:val="nil"/>
                  </w:tcBorders>
                  <w:shd w:val="clear" w:color="auto" w:fill="auto"/>
                  <w:tcMar>
                    <w:top w:w="120" w:type="dxa"/>
                    <w:left w:w="120" w:type="dxa"/>
                    <w:bottom w:w="120" w:type="dxa"/>
                    <w:right w:w="120" w:type="dxa"/>
                  </w:tcMar>
                  <w:vAlign w:val="center"/>
                </w:tcPr>
                <w:p w14:paraId="3535A534">
                  <w:pPr>
                    <w:jc w:val="center"/>
                    <w:rPr>
                      <w:rFonts w:hint="default" w:ascii="Times New Roman" w:hAnsi="Times New Roman" w:eastAsia="宋体" w:cs="Times New Roman"/>
                      <w:color w:val="auto"/>
                      <w:szCs w:val="21"/>
                      <w:u w:val="none"/>
                      <w:lang w:val="en-US" w:eastAsia="zh-CN"/>
                    </w:rPr>
                  </w:pPr>
                  <w:r>
                    <w:rPr>
                      <w:rFonts w:hint="eastAsia" w:cs="Times New Roman"/>
                      <w:color w:val="auto"/>
                      <w:szCs w:val="21"/>
                      <w:u w:val="none"/>
                      <w:lang w:val="en-US" w:eastAsia="zh-CN"/>
                    </w:rPr>
                    <w:t>0.3005</w:t>
                  </w:r>
                </w:p>
              </w:tc>
              <w:tc>
                <w:tcPr>
                  <w:tcW w:w="909" w:type="dxa"/>
                  <w:tcBorders>
                    <w:tl2br w:val="nil"/>
                    <w:tr2bl w:val="nil"/>
                  </w:tcBorders>
                  <w:shd w:val="clear" w:color="auto" w:fill="auto"/>
                  <w:tcMar>
                    <w:top w:w="120" w:type="dxa"/>
                    <w:left w:w="120" w:type="dxa"/>
                    <w:bottom w:w="120" w:type="dxa"/>
                    <w:right w:w="120" w:type="dxa"/>
                  </w:tcMar>
                  <w:vAlign w:val="center"/>
                </w:tcPr>
                <w:p w14:paraId="0E0C742F">
                  <w:pPr>
                    <w:jc w:val="center"/>
                    <w:rPr>
                      <w:rFonts w:hint="default" w:ascii="Times New Roman" w:hAnsi="Times New Roman" w:eastAsia="宋体" w:cs="Times New Roman"/>
                      <w:color w:val="auto"/>
                      <w:szCs w:val="21"/>
                      <w:u w:val="none"/>
                      <w:lang w:val="en-US" w:eastAsia="zh-CN"/>
                    </w:rPr>
                  </w:pPr>
                  <w:r>
                    <w:rPr>
                      <w:rFonts w:hint="eastAsia" w:cs="Times New Roman"/>
                      <w:color w:val="auto"/>
                      <w:szCs w:val="21"/>
                      <w:u w:val="none"/>
                      <w:lang w:val="en-US" w:eastAsia="zh-CN"/>
                    </w:rPr>
                    <w:t>0.1252</w:t>
                  </w:r>
                </w:p>
              </w:tc>
              <w:tc>
                <w:tcPr>
                  <w:tcW w:w="924" w:type="dxa"/>
                  <w:tcBorders>
                    <w:tl2br w:val="nil"/>
                    <w:tr2bl w:val="nil"/>
                  </w:tcBorders>
                  <w:shd w:val="clear" w:color="auto" w:fill="auto"/>
                  <w:tcMar>
                    <w:top w:w="120" w:type="dxa"/>
                    <w:left w:w="120" w:type="dxa"/>
                    <w:bottom w:w="120" w:type="dxa"/>
                    <w:right w:w="120" w:type="dxa"/>
                  </w:tcMar>
                  <w:vAlign w:val="center"/>
                </w:tcPr>
                <w:p w14:paraId="4AAA1338">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w:t>
                  </w:r>
                </w:p>
              </w:tc>
              <w:tc>
                <w:tcPr>
                  <w:tcW w:w="515" w:type="dxa"/>
                  <w:tcBorders>
                    <w:tl2br w:val="nil"/>
                    <w:tr2bl w:val="nil"/>
                  </w:tcBorders>
                  <w:shd w:val="clear" w:color="auto" w:fill="auto"/>
                  <w:tcMar>
                    <w:top w:w="120" w:type="dxa"/>
                    <w:left w:w="120" w:type="dxa"/>
                    <w:bottom w:w="120" w:type="dxa"/>
                    <w:right w:w="120" w:type="dxa"/>
                  </w:tcMar>
                  <w:vAlign w:val="center"/>
                </w:tcPr>
                <w:p w14:paraId="62D9255E">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1.0</w:t>
                  </w:r>
                </w:p>
              </w:tc>
            </w:tr>
            <w:tr w14:paraId="32300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40" w:hRule="atLeast"/>
              </w:trPr>
              <w:tc>
                <w:tcPr>
                  <w:tcW w:w="915" w:type="dxa"/>
                  <w:tcBorders>
                    <w:tl2br w:val="nil"/>
                    <w:tr2bl w:val="nil"/>
                  </w:tcBorders>
                  <w:shd w:val="clear" w:color="auto" w:fill="auto"/>
                  <w:tcMar>
                    <w:top w:w="120" w:type="dxa"/>
                    <w:left w:w="120" w:type="dxa"/>
                    <w:bottom w:w="120" w:type="dxa"/>
                    <w:right w:w="120" w:type="dxa"/>
                  </w:tcMar>
                  <w:vAlign w:val="center"/>
                </w:tcPr>
                <w:p w14:paraId="54F0DE36">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全厂合计</w:t>
                  </w:r>
                </w:p>
              </w:tc>
              <w:tc>
                <w:tcPr>
                  <w:tcW w:w="778" w:type="dxa"/>
                  <w:tcBorders>
                    <w:tl2br w:val="nil"/>
                    <w:tr2bl w:val="nil"/>
                  </w:tcBorders>
                  <w:shd w:val="clear" w:color="auto" w:fill="auto"/>
                  <w:tcMar>
                    <w:top w:w="120" w:type="dxa"/>
                    <w:left w:w="120" w:type="dxa"/>
                    <w:bottom w:w="120" w:type="dxa"/>
                    <w:right w:w="120" w:type="dxa"/>
                  </w:tcMar>
                  <w:vAlign w:val="center"/>
                </w:tcPr>
                <w:p w14:paraId="56BA06D0">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非甲烷总烃</w:t>
                  </w:r>
                </w:p>
              </w:tc>
              <w:tc>
                <w:tcPr>
                  <w:tcW w:w="954" w:type="dxa"/>
                  <w:tcBorders>
                    <w:tl2br w:val="nil"/>
                    <w:tr2bl w:val="nil"/>
                  </w:tcBorders>
                  <w:shd w:val="clear" w:color="auto" w:fill="auto"/>
                  <w:tcMar>
                    <w:top w:w="120" w:type="dxa"/>
                    <w:left w:w="120" w:type="dxa"/>
                    <w:bottom w:w="120" w:type="dxa"/>
                    <w:right w:w="120" w:type="dxa"/>
                  </w:tcMar>
                  <w:vAlign w:val="center"/>
                </w:tcPr>
                <w:p w14:paraId="3DE3886D">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cs="Times New Roman"/>
                      <w:color w:val="auto"/>
                      <w:szCs w:val="21"/>
                      <w:u w:val="none"/>
                      <w:lang w:val="en-US" w:eastAsia="zh-CN"/>
                    </w:rPr>
                    <w:t>0.242</w:t>
                  </w:r>
                </w:p>
              </w:tc>
              <w:tc>
                <w:tcPr>
                  <w:tcW w:w="818" w:type="dxa"/>
                  <w:tcBorders>
                    <w:tl2br w:val="nil"/>
                    <w:tr2bl w:val="nil"/>
                  </w:tcBorders>
                  <w:shd w:val="clear" w:color="auto" w:fill="auto"/>
                  <w:tcMar>
                    <w:top w:w="120" w:type="dxa"/>
                    <w:left w:w="120" w:type="dxa"/>
                    <w:bottom w:w="120" w:type="dxa"/>
                    <w:right w:w="120" w:type="dxa"/>
                  </w:tcMar>
                  <w:vAlign w:val="center"/>
                </w:tcPr>
                <w:p w14:paraId="6DB8B21D">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w:t>
                  </w:r>
                </w:p>
              </w:tc>
              <w:tc>
                <w:tcPr>
                  <w:tcW w:w="1637" w:type="dxa"/>
                  <w:tcBorders>
                    <w:tl2br w:val="nil"/>
                    <w:tr2bl w:val="nil"/>
                  </w:tcBorders>
                  <w:shd w:val="clear" w:color="auto" w:fill="auto"/>
                  <w:tcMar>
                    <w:top w:w="120" w:type="dxa"/>
                    <w:left w:w="120" w:type="dxa"/>
                    <w:bottom w:w="120" w:type="dxa"/>
                    <w:right w:w="120" w:type="dxa"/>
                  </w:tcMar>
                  <w:vAlign w:val="center"/>
                </w:tcPr>
                <w:p w14:paraId="05126003">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w:t>
                  </w:r>
                </w:p>
              </w:tc>
              <w:tc>
                <w:tcPr>
                  <w:tcW w:w="788" w:type="dxa"/>
                  <w:tcBorders>
                    <w:tl2br w:val="nil"/>
                    <w:tr2bl w:val="nil"/>
                  </w:tcBorders>
                  <w:shd w:val="clear" w:color="auto" w:fill="auto"/>
                  <w:tcMar>
                    <w:top w:w="120" w:type="dxa"/>
                    <w:left w:w="120" w:type="dxa"/>
                    <w:bottom w:w="120" w:type="dxa"/>
                    <w:right w:w="120" w:type="dxa"/>
                  </w:tcMar>
                  <w:vAlign w:val="center"/>
                </w:tcPr>
                <w:p w14:paraId="253F79CD">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cs="Times New Roman"/>
                      <w:color w:val="auto"/>
                      <w:szCs w:val="21"/>
                      <w:u w:val="none"/>
                      <w:lang w:val="en-US" w:eastAsia="zh-CN"/>
                    </w:rPr>
                    <w:t>0.1881</w:t>
                  </w:r>
                </w:p>
              </w:tc>
              <w:tc>
                <w:tcPr>
                  <w:tcW w:w="909" w:type="dxa"/>
                  <w:tcBorders>
                    <w:tl2br w:val="nil"/>
                    <w:tr2bl w:val="nil"/>
                  </w:tcBorders>
                  <w:shd w:val="clear" w:color="auto" w:fill="auto"/>
                  <w:tcMar>
                    <w:top w:w="120" w:type="dxa"/>
                    <w:left w:w="120" w:type="dxa"/>
                    <w:bottom w:w="120" w:type="dxa"/>
                    <w:right w:w="120" w:type="dxa"/>
                  </w:tcMar>
                  <w:vAlign w:val="center"/>
                </w:tcPr>
                <w:p w14:paraId="1B3A4BA9">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w:t>
                  </w:r>
                </w:p>
              </w:tc>
              <w:tc>
                <w:tcPr>
                  <w:tcW w:w="924" w:type="dxa"/>
                  <w:tcBorders>
                    <w:tl2br w:val="nil"/>
                    <w:tr2bl w:val="nil"/>
                  </w:tcBorders>
                  <w:shd w:val="clear" w:color="auto" w:fill="auto"/>
                  <w:tcMar>
                    <w:top w:w="120" w:type="dxa"/>
                    <w:left w:w="120" w:type="dxa"/>
                    <w:bottom w:w="120" w:type="dxa"/>
                    <w:right w:w="120" w:type="dxa"/>
                  </w:tcMar>
                  <w:vAlign w:val="center"/>
                </w:tcPr>
                <w:p w14:paraId="75CD95D9">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w:t>
                  </w:r>
                </w:p>
              </w:tc>
              <w:tc>
                <w:tcPr>
                  <w:tcW w:w="515" w:type="dxa"/>
                  <w:tcBorders>
                    <w:tl2br w:val="nil"/>
                    <w:tr2bl w:val="nil"/>
                  </w:tcBorders>
                  <w:shd w:val="clear" w:color="auto" w:fill="auto"/>
                  <w:tcMar>
                    <w:top w:w="120" w:type="dxa"/>
                    <w:left w:w="120" w:type="dxa"/>
                    <w:bottom w:w="120" w:type="dxa"/>
                    <w:right w:w="120" w:type="dxa"/>
                  </w:tcMar>
                  <w:vAlign w:val="center"/>
                </w:tcPr>
                <w:p w14:paraId="5AADE452">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w:t>
                  </w:r>
                </w:p>
              </w:tc>
            </w:tr>
            <w:tr w14:paraId="56754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40" w:hRule="atLeast"/>
              </w:trPr>
              <w:tc>
                <w:tcPr>
                  <w:tcW w:w="915" w:type="dxa"/>
                  <w:tcBorders>
                    <w:tl2br w:val="nil"/>
                    <w:tr2bl w:val="nil"/>
                  </w:tcBorders>
                  <w:shd w:val="clear" w:color="auto" w:fill="auto"/>
                  <w:tcMar>
                    <w:top w:w="120" w:type="dxa"/>
                    <w:left w:w="120" w:type="dxa"/>
                    <w:bottom w:w="120" w:type="dxa"/>
                    <w:right w:w="120" w:type="dxa"/>
                  </w:tcMar>
                  <w:vAlign w:val="center"/>
                </w:tcPr>
                <w:p w14:paraId="186A54C1">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全厂合计</w:t>
                  </w:r>
                </w:p>
              </w:tc>
              <w:tc>
                <w:tcPr>
                  <w:tcW w:w="778" w:type="dxa"/>
                  <w:tcBorders>
                    <w:tl2br w:val="nil"/>
                    <w:tr2bl w:val="nil"/>
                  </w:tcBorders>
                  <w:shd w:val="clear" w:color="auto" w:fill="auto"/>
                  <w:tcMar>
                    <w:top w:w="120" w:type="dxa"/>
                    <w:left w:w="120" w:type="dxa"/>
                    <w:bottom w:w="120" w:type="dxa"/>
                    <w:right w:w="120" w:type="dxa"/>
                  </w:tcMar>
                  <w:vAlign w:val="center"/>
                </w:tcPr>
                <w:p w14:paraId="043F8CA1">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颗粒物</w:t>
                  </w:r>
                </w:p>
              </w:tc>
              <w:tc>
                <w:tcPr>
                  <w:tcW w:w="954" w:type="dxa"/>
                  <w:tcBorders>
                    <w:tl2br w:val="nil"/>
                    <w:tr2bl w:val="nil"/>
                  </w:tcBorders>
                  <w:shd w:val="clear" w:color="auto" w:fill="auto"/>
                  <w:tcMar>
                    <w:top w:w="120" w:type="dxa"/>
                    <w:left w:w="120" w:type="dxa"/>
                    <w:bottom w:w="120" w:type="dxa"/>
                    <w:right w:w="120" w:type="dxa"/>
                  </w:tcMar>
                  <w:vAlign w:val="center"/>
                </w:tcPr>
                <w:p w14:paraId="7E80FF5B">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0.0070</w:t>
                  </w:r>
                </w:p>
              </w:tc>
              <w:tc>
                <w:tcPr>
                  <w:tcW w:w="818" w:type="dxa"/>
                  <w:tcBorders>
                    <w:tl2br w:val="nil"/>
                    <w:tr2bl w:val="nil"/>
                  </w:tcBorders>
                  <w:shd w:val="clear" w:color="auto" w:fill="auto"/>
                  <w:tcMar>
                    <w:top w:w="120" w:type="dxa"/>
                    <w:left w:w="120" w:type="dxa"/>
                    <w:bottom w:w="120" w:type="dxa"/>
                    <w:right w:w="120" w:type="dxa"/>
                  </w:tcMar>
                  <w:vAlign w:val="center"/>
                </w:tcPr>
                <w:p w14:paraId="464FF5F7">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w:t>
                  </w:r>
                </w:p>
              </w:tc>
              <w:tc>
                <w:tcPr>
                  <w:tcW w:w="1637" w:type="dxa"/>
                  <w:tcBorders>
                    <w:tl2br w:val="nil"/>
                    <w:tr2bl w:val="nil"/>
                  </w:tcBorders>
                  <w:shd w:val="clear" w:color="auto" w:fill="auto"/>
                  <w:tcMar>
                    <w:top w:w="120" w:type="dxa"/>
                    <w:left w:w="120" w:type="dxa"/>
                    <w:bottom w:w="120" w:type="dxa"/>
                    <w:right w:w="120" w:type="dxa"/>
                  </w:tcMar>
                  <w:vAlign w:val="center"/>
                </w:tcPr>
                <w:p w14:paraId="70B7CE65">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w:t>
                  </w:r>
                </w:p>
              </w:tc>
              <w:tc>
                <w:tcPr>
                  <w:tcW w:w="788" w:type="dxa"/>
                  <w:tcBorders>
                    <w:tl2br w:val="nil"/>
                    <w:tr2bl w:val="nil"/>
                  </w:tcBorders>
                  <w:shd w:val="clear" w:color="auto" w:fill="auto"/>
                  <w:tcMar>
                    <w:top w:w="120" w:type="dxa"/>
                    <w:left w:w="120" w:type="dxa"/>
                    <w:bottom w:w="120" w:type="dxa"/>
                    <w:right w:w="120" w:type="dxa"/>
                  </w:tcMar>
                  <w:vAlign w:val="center"/>
                </w:tcPr>
                <w:p w14:paraId="24B70A46">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0.0070</w:t>
                  </w:r>
                </w:p>
              </w:tc>
              <w:tc>
                <w:tcPr>
                  <w:tcW w:w="909" w:type="dxa"/>
                  <w:tcBorders>
                    <w:tl2br w:val="nil"/>
                    <w:tr2bl w:val="nil"/>
                  </w:tcBorders>
                  <w:shd w:val="clear" w:color="auto" w:fill="auto"/>
                  <w:tcMar>
                    <w:top w:w="120" w:type="dxa"/>
                    <w:left w:w="120" w:type="dxa"/>
                    <w:bottom w:w="120" w:type="dxa"/>
                    <w:right w:w="120" w:type="dxa"/>
                  </w:tcMar>
                  <w:vAlign w:val="center"/>
                </w:tcPr>
                <w:p w14:paraId="50D52793">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w:t>
                  </w:r>
                </w:p>
              </w:tc>
              <w:tc>
                <w:tcPr>
                  <w:tcW w:w="924" w:type="dxa"/>
                  <w:tcBorders>
                    <w:tl2br w:val="nil"/>
                    <w:tr2bl w:val="nil"/>
                  </w:tcBorders>
                  <w:shd w:val="clear" w:color="auto" w:fill="auto"/>
                  <w:tcMar>
                    <w:top w:w="120" w:type="dxa"/>
                    <w:left w:w="120" w:type="dxa"/>
                    <w:bottom w:w="120" w:type="dxa"/>
                    <w:right w:w="120" w:type="dxa"/>
                  </w:tcMar>
                  <w:vAlign w:val="center"/>
                </w:tcPr>
                <w:p w14:paraId="2CA8E203">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w:t>
                  </w:r>
                </w:p>
              </w:tc>
              <w:tc>
                <w:tcPr>
                  <w:tcW w:w="515" w:type="dxa"/>
                  <w:tcBorders>
                    <w:tl2br w:val="nil"/>
                    <w:tr2bl w:val="nil"/>
                  </w:tcBorders>
                  <w:shd w:val="clear" w:color="auto" w:fill="auto"/>
                  <w:tcMar>
                    <w:top w:w="120" w:type="dxa"/>
                    <w:left w:w="120" w:type="dxa"/>
                    <w:bottom w:w="120" w:type="dxa"/>
                    <w:right w:w="120" w:type="dxa"/>
                  </w:tcMar>
                  <w:vAlign w:val="center"/>
                </w:tcPr>
                <w:p w14:paraId="3973976F">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w:t>
                  </w:r>
                </w:p>
              </w:tc>
            </w:tr>
          </w:tbl>
          <w:p w14:paraId="36A91F60">
            <w:pPr>
              <w:spacing w:line="360" w:lineRule="auto"/>
              <w:ind w:firstLine="482" w:firstLineChars="200"/>
              <w:textAlignment w:val="baseline"/>
              <w:rPr>
                <w:rFonts w:hint="default" w:ascii="Times New Roman" w:hAnsi="Times New Roman" w:cs="Times New Roman"/>
                <w:b/>
                <w:bCs/>
                <w:color w:val="auto"/>
                <w:sz w:val="24"/>
                <w:u w:val="none"/>
                <w:lang w:val="en-US" w:eastAsia="zh-CN"/>
              </w:rPr>
            </w:pPr>
            <w:r>
              <w:rPr>
                <w:rFonts w:hint="default" w:ascii="Times New Roman" w:hAnsi="Times New Roman" w:cs="Times New Roman"/>
                <w:b/>
                <w:bCs/>
                <w:color w:val="auto"/>
                <w:sz w:val="24"/>
                <w:u w:val="none"/>
                <w:lang w:val="en-US" w:eastAsia="zh-CN"/>
              </w:rPr>
              <w:t>2、注塑废气</w:t>
            </w:r>
          </w:p>
          <w:p w14:paraId="508A0BBE">
            <w:pPr>
              <w:pStyle w:val="96"/>
              <w:spacing w:before="1" w:line="364" w:lineRule="auto"/>
              <w:ind w:left="107" w:right="-29" w:firstLine="480"/>
              <w:rPr>
                <w:rFonts w:ascii="Times New Roman" w:hAnsi="Times New Roman" w:eastAsia="宋体" w:cs="Times New Roman"/>
                <w:sz w:val="24"/>
                <w:szCs w:val="24"/>
              </w:rPr>
            </w:pPr>
            <w:r>
              <w:rPr>
                <w:rStyle w:val="41"/>
                <w:rFonts w:hint="default" w:ascii="Times New Roman" w:hAnsi="Times New Roman" w:eastAsia="宋体" w:cs="Times New Roman"/>
                <w:color w:val="000000"/>
                <w:sz w:val="24"/>
                <w:szCs w:val="24"/>
                <w:lang w:val="en-US" w:eastAsia="zh-CN"/>
              </w:rPr>
              <w:t>项目采用TBE颗粒、SBS粉、SEBS粉及橡胶石蜡油辅料进行</w:t>
            </w:r>
            <w:r>
              <w:rPr>
                <w:rStyle w:val="41"/>
                <w:rFonts w:hint="default" w:eastAsia="宋体" w:cs="Times New Roman"/>
                <w:color w:val="000000"/>
                <w:sz w:val="24"/>
                <w:szCs w:val="24"/>
                <w:lang w:val="en-US" w:eastAsia="zh-CN"/>
              </w:rPr>
              <w:t>混合</w:t>
            </w:r>
            <w:r>
              <w:rPr>
                <w:rStyle w:val="41"/>
                <w:rFonts w:hint="default" w:ascii="Times New Roman" w:hAnsi="Times New Roman" w:eastAsia="宋体" w:cs="Times New Roman"/>
                <w:color w:val="000000"/>
                <w:sz w:val="24"/>
                <w:szCs w:val="24"/>
                <w:lang w:val="en-US" w:eastAsia="zh-CN"/>
              </w:rPr>
              <w:t>、注塑成型、边角料破碎加工，核心生产温度控制在170～220℃，远低于物料热分解温度</w:t>
            </w:r>
            <w:r>
              <w:rPr>
                <w:rStyle w:val="41"/>
                <w:rFonts w:hint="default" w:eastAsia="宋体" w:cs="Times New Roman"/>
                <w:color w:val="000000"/>
                <w:sz w:val="24"/>
                <w:szCs w:val="24"/>
                <w:lang w:val="en-US" w:eastAsia="zh-CN"/>
              </w:rPr>
              <w:t>，</w:t>
            </w:r>
            <w:r>
              <w:rPr>
                <w:rFonts w:ascii="Times New Roman" w:hAnsi="Times New Roman" w:eastAsia="宋体" w:cs="Times New Roman"/>
                <w:sz w:val="24"/>
                <w:szCs w:val="24"/>
              </w:rPr>
              <w:t>物料仅发生物理熔融，无高分子裂解反应。</w:t>
            </w:r>
          </w:p>
          <w:p w14:paraId="677AD974">
            <w:pPr>
              <w:pStyle w:val="96"/>
              <w:spacing w:before="1" w:line="364" w:lineRule="auto"/>
              <w:ind w:left="107" w:right="-29" w:firstLine="480"/>
              <w:rPr>
                <w:rStyle w:val="41"/>
                <w:rFonts w:hint="default" w:ascii="Times New Roman" w:hAnsi="Times New Roman" w:eastAsia="宋体" w:cs="Times New Roman"/>
                <w:color w:val="000000"/>
                <w:sz w:val="24"/>
                <w:szCs w:val="24"/>
                <w:lang w:val="en-US" w:eastAsia="zh-CN"/>
              </w:rPr>
            </w:pPr>
            <w:r>
              <w:rPr>
                <w:rFonts w:ascii="Times New Roman" w:hAnsi="Times New Roman" w:eastAsia="宋体" w:cs="Times New Roman"/>
                <w:sz w:val="24"/>
                <w:szCs w:val="24"/>
              </w:rPr>
              <w:t>原料SBS、SEBS基体为苯乙烯类嵌段共聚物，受热过程会微量释放残留单体，废气特征污染物可识别出微量苯乙烯、1,3-丁二烯，同时熔融挥发组分产生异味（臭气浓度），本次仅做定性分析；废气总量统一以非甲烷总烃（NMHC）作为表征指标进行定量核算</w:t>
            </w:r>
            <w:r>
              <w:rPr>
                <w:rStyle w:val="41"/>
                <w:rFonts w:hint="default" w:ascii="Times New Roman" w:hAnsi="Times New Roman" w:eastAsia="宋体" w:cs="Times New Roman"/>
                <w:color w:val="000000"/>
                <w:sz w:val="24"/>
                <w:szCs w:val="24"/>
                <w:lang w:val="en-US" w:eastAsia="zh-CN"/>
              </w:rPr>
              <w:t>。</w:t>
            </w:r>
          </w:p>
          <w:p w14:paraId="757E4976">
            <w:pPr>
              <w:pStyle w:val="96"/>
              <w:spacing w:before="1" w:line="364" w:lineRule="auto"/>
              <w:ind w:left="107" w:right="-29" w:firstLine="480"/>
              <w:rPr>
                <w:rStyle w:val="41"/>
                <w:rFonts w:hint="default" w:ascii="Times New Roman" w:hAnsi="Times New Roman" w:eastAsia="宋体" w:cs="Times New Roman"/>
                <w:color w:val="000000"/>
                <w:sz w:val="24"/>
                <w:szCs w:val="24"/>
                <w:lang w:val="en-US" w:eastAsia="zh-CN"/>
              </w:rPr>
            </w:pPr>
            <w:r>
              <w:rPr>
                <w:rStyle w:val="41"/>
                <w:rFonts w:hint="default" w:ascii="Times New Roman" w:hAnsi="Times New Roman" w:eastAsia="宋体" w:cs="Times New Roman"/>
                <w:color w:val="000000"/>
                <w:sz w:val="24"/>
                <w:szCs w:val="24"/>
                <w:lang w:val="en-US" w:eastAsia="zh-CN"/>
              </w:rPr>
              <w:t>橡胶石蜡油挥发特性分析（严格依据项目MSDS报告）：</w:t>
            </w:r>
            <w:r>
              <w:rPr>
                <w:rFonts w:ascii="Times New Roman" w:hAnsi="Times New Roman" w:eastAsia="宋体" w:cs="Times New Roman"/>
                <w:sz w:val="24"/>
                <w:szCs w:val="24"/>
              </w:rPr>
              <w:t>本项目使用的橡胶石蜡油为高闪点精制饱和烷烃矿物油，芳烃含量极低、热稳定性较好</w:t>
            </w:r>
            <w:r>
              <w:rPr>
                <w:rFonts w:hint="default" w:ascii="Times New Roman" w:hAnsi="Times New Roman" w:eastAsia="宋体" w:cs="Times New Roman"/>
                <w:sz w:val="24"/>
                <w:szCs w:val="24"/>
                <w:lang w:eastAsia="zh-CN"/>
              </w:rPr>
              <w:t>，</w:t>
            </w:r>
            <w:r>
              <w:rPr>
                <w:rFonts w:ascii="Times New Roman" w:hAnsi="Times New Roman" w:eastAsia="宋体" w:cs="Times New Roman"/>
                <w:sz w:val="24"/>
                <w:szCs w:val="24"/>
              </w:rPr>
              <w:t>但注塑受热工况下，石蜡油内少量轻质烷烃组分会缓慢挥发，为本项目非甲烷总烃重要贡献来源之一，本次源强核算将塑胶基体、石蜡油分为两套基数分别计算</w:t>
            </w:r>
            <w:r>
              <w:rPr>
                <w:rStyle w:val="41"/>
                <w:rFonts w:hint="default" w:ascii="Times New Roman" w:hAnsi="Times New Roman" w:eastAsia="宋体" w:cs="Times New Roman"/>
                <w:color w:val="000000"/>
                <w:sz w:val="24"/>
                <w:szCs w:val="24"/>
                <w:lang w:val="en-US" w:eastAsia="zh-CN"/>
              </w:rPr>
              <w:t>。</w:t>
            </w:r>
          </w:p>
          <w:p w14:paraId="544A11BC">
            <w:pPr>
              <w:pStyle w:val="96"/>
              <w:spacing w:before="1" w:line="364" w:lineRule="auto"/>
              <w:ind w:left="107" w:right="-29" w:firstLine="480"/>
              <w:rPr>
                <w:rStyle w:val="41"/>
                <w:rFonts w:hint="default" w:ascii="Times New Roman" w:hAnsi="Times New Roman" w:eastAsia="宋体" w:cs="Times New Roman"/>
                <w:color w:val="000000"/>
                <w:sz w:val="24"/>
                <w:szCs w:val="24"/>
                <w:lang w:val="en-US" w:eastAsia="zh-CN"/>
              </w:rPr>
            </w:pPr>
            <w:r>
              <w:rPr>
                <w:rStyle w:val="41"/>
                <w:rFonts w:hint="default" w:ascii="Times New Roman" w:hAnsi="Times New Roman" w:eastAsia="宋体" w:cs="Times New Roman"/>
                <w:color w:val="000000"/>
                <w:sz w:val="24"/>
                <w:szCs w:val="24"/>
                <w:lang w:val="en-US" w:eastAsia="zh-CN"/>
              </w:rPr>
              <w:t>有机废气核算基数：</w:t>
            </w:r>
            <w:r>
              <w:rPr>
                <w:rStyle w:val="41"/>
                <w:rFonts w:ascii="Times New Roman" w:hAnsi="Times New Roman" w:eastAsia="宋体" w:cs="Times New Roman"/>
                <w:color w:val="000000"/>
                <w:sz w:val="24"/>
                <w:szCs w:val="24"/>
              </w:rPr>
              <w:t>①塑胶基体原料：TBE颗粒、SBS粉、SEBS粉，年用量分别为1t/a、29t/a、6.3t/a，合计36.3t/a；②橡胶石蜡油：</w:t>
            </w:r>
            <w:r>
              <w:rPr>
                <w:rStyle w:val="41"/>
                <w:color w:val="000000"/>
                <w:sz w:val="24"/>
                <w:szCs w:val="24"/>
              </w:rPr>
              <w:t>180t/a</w:t>
            </w:r>
            <w:r>
              <w:rPr>
                <w:rStyle w:val="41"/>
                <w:rFonts w:hint="default" w:ascii="Times New Roman" w:hAnsi="Times New Roman" w:eastAsia="宋体" w:cs="Times New Roman"/>
                <w:color w:val="000000"/>
                <w:sz w:val="24"/>
                <w:szCs w:val="24"/>
                <w:lang w:val="en-US" w:eastAsia="zh-CN"/>
              </w:rPr>
              <w:t>。</w:t>
            </w:r>
          </w:p>
          <w:p w14:paraId="7511CC2A">
            <w:pPr>
              <w:pStyle w:val="96"/>
              <w:spacing w:before="1" w:line="364" w:lineRule="auto"/>
              <w:ind w:left="107" w:right="-29" w:firstLine="480"/>
              <w:rPr>
                <w:rStyle w:val="41"/>
                <w:rFonts w:hint="default" w:ascii="Times New Roman" w:hAnsi="Times New Roman" w:eastAsia="宋体" w:cs="Times New Roman"/>
                <w:b/>
                <w:bCs w:val="0"/>
                <w:color w:val="000000"/>
                <w:sz w:val="24"/>
                <w:szCs w:val="24"/>
                <w:lang w:val="en-US" w:eastAsia="zh-CN"/>
              </w:rPr>
            </w:pPr>
            <w:r>
              <w:rPr>
                <w:rStyle w:val="41"/>
                <w:rFonts w:hint="default" w:ascii="Times New Roman" w:hAnsi="Times New Roman" w:eastAsia="宋体" w:cs="Times New Roman"/>
                <w:b/>
                <w:bCs w:val="0"/>
                <w:color w:val="000000"/>
                <w:sz w:val="24"/>
                <w:szCs w:val="24"/>
                <w:lang w:val="en-US" w:eastAsia="zh-CN"/>
              </w:rPr>
              <w:t>核算依据：</w:t>
            </w:r>
          </w:p>
          <w:p w14:paraId="180B932F">
            <w:pPr>
              <w:pStyle w:val="96"/>
              <w:numPr>
                <w:ilvl w:val="-1"/>
                <w:numId w:val="0"/>
              </w:numPr>
              <w:spacing w:before="1" w:line="364" w:lineRule="auto"/>
              <w:ind w:left="107" w:right="-29" w:rightChars="0" w:firstLine="480" w:firstLineChars="0"/>
              <w:rPr>
                <w:rStyle w:val="41"/>
                <w:rFonts w:hint="default" w:ascii="Times New Roman" w:hAnsi="Times New Roman" w:eastAsia="宋体" w:cs="Times New Roman"/>
                <w:color w:val="000000"/>
                <w:sz w:val="24"/>
                <w:lang w:eastAsia="zh-CN"/>
              </w:rPr>
            </w:pPr>
            <w:r>
              <w:rPr>
                <w:rStyle w:val="41"/>
                <w:rFonts w:hint="default" w:ascii="Times New Roman" w:hAnsi="Times New Roman" w:eastAsia="宋体" w:cs="Times New Roman"/>
                <w:color w:val="000000"/>
                <w:sz w:val="24"/>
                <w:szCs w:val="24"/>
                <w:lang w:val="en-US" w:eastAsia="zh-CN"/>
              </w:rPr>
              <w:t>①有机废气核算：依据《排放源统计调查产排污核算方法和系数手册（2021版）292塑料制品业系数手册》2929塑料零件制造“配料-混合-注塑”工序，</w:t>
            </w:r>
            <w:r>
              <w:rPr>
                <w:rStyle w:val="41"/>
                <w:rFonts w:hint="default" w:eastAsia="宋体" w:cs="Times New Roman"/>
                <w:color w:val="000000"/>
                <w:sz w:val="24"/>
                <w:szCs w:val="24"/>
                <w:lang w:val="en-US" w:eastAsia="zh-CN"/>
              </w:rPr>
              <w:t>非甲烷总烃/VOCs</w:t>
            </w:r>
            <w:r>
              <w:rPr>
                <w:rStyle w:val="41"/>
                <w:rFonts w:hint="default" w:ascii="Times New Roman" w:hAnsi="Times New Roman" w:eastAsia="宋体" w:cs="Times New Roman"/>
                <w:color w:val="000000"/>
                <w:sz w:val="24"/>
                <w:szCs w:val="24"/>
                <w:lang w:val="en-US" w:eastAsia="zh-CN"/>
              </w:rPr>
              <w:t>产污系数2.7kg/t；</w:t>
            </w:r>
            <w:r>
              <w:rPr>
                <w:rStyle w:val="41"/>
                <w:rFonts w:hint="default" w:ascii="Times New Roman" w:hAnsi="Times New Roman" w:eastAsia="宋体" w:cs="Times New Roman"/>
                <w:color w:val="000000"/>
                <w:sz w:val="24"/>
              </w:rPr>
              <w:t>橡胶石蜡油产污系数：国家产排污系数手册无矿物油受热挥发专用系数，</w:t>
            </w:r>
            <w:r>
              <w:rPr>
                <w:rFonts w:ascii="Times New Roman" w:hAnsi="Times New Roman" w:eastAsia="宋体" w:cs="Times New Roman"/>
                <w:sz w:val="24"/>
                <w:szCs w:val="24"/>
              </w:rPr>
              <w:t>参考SEBS充石蜡油体系热重（TGA）模拟注塑工况试验研究成果，普通工业石蜡油（闪点＞1</w:t>
            </w:r>
            <w:r>
              <w:rPr>
                <w:rFonts w:hint="default" w:ascii="Times New Roman" w:hAnsi="Times New Roman" w:eastAsia="宋体" w:cs="Times New Roman"/>
                <w:sz w:val="24"/>
                <w:szCs w:val="24"/>
                <w:lang w:val="en-US" w:eastAsia="zh-CN"/>
              </w:rPr>
              <w:t>8</w:t>
            </w:r>
            <w:r>
              <w:rPr>
                <w:rFonts w:ascii="Times New Roman" w:hAnsi="Times New Roman" w:eastAsia="宋体" w:cs="Times New Roman"/>
                <w:sz w:val="24"/>
                <w:szCs w:val="24"/>
              </w:rPr>
              <w:t>0℃），在170～220℃持续热加工条件下，可挥发烷烃组分释放比例约0.06%～0.10%（质量占石蜡油），换算即为0.6～1.0kg/t石蜡油；结合本项目工况保守选取0.8kg/t石蜡油。试验原理参考《充矿物油SEBS共混物的热稳定性及耐紫外老化性能》（郭伟，塑料工业，2013）</w:t>
            </w:r>
            <w:r>
              <w:rPr>
                <w:rFonts w:hint="default" w:ascii="Times New Roman" w:hAnsi="Times New Roman" w:eastAsia="宋体" w:cs="Times New Roman"/>
                <w:sz w:val="24"/>
                <w:szCs w:val="24"/>
                <w:lang w:eastAsia="zh-CN"/>
              </w:rPr>
              <w:t>。</w:t>
            </w:r>
          </w:p>
          <w:p w14:paraId="5F409D84">
            <w:pPr>
              <w:pStyle w:val="96"/>
              <w:numPr>
                <w:ilvl w:val="0"/>
                <w:numId w:val="0"/>
              </w:numPr>
              <w:spacing w:before="1" w:line="364" w:lineRule="auto"/>
              <w:ind w:right="-29" w:rightChars="0" w:firstLine="480" w:firstLineChars="200"/>
              <w:rPr>
                <w:rStyle w:val="41"/>
                <w:rFonts w:hint="default" w:ascii="Times New Roman" w:hAnsi="Times New Roman" w:eastAsia="宋体" w:cs="Times New Roman"/>
                <w:color w:val="000000"/>
                <w:sz w:val="24"/>
                <w:szCs w:val="24"/>
                <w:lang w:val="en-US" w:eastAsia="zh-CN"/>
              </w:rPr>
            </w:pPr>
            <w:r>
              <w:rPr>
                <w:rStyle w:val="41"/>
                <w:rFonts w:hint="default" w:ascii="Times New Roman" w:hAnsi="Times New Roman" w:eastAsia="宋体" w:cs="Times New Roman"/>
                <w:color w:val="000000"/>
                <w:sz w:val="24"/>
                <w:szCs w:val="24"/>
                <w:lang w:val="en-US" w:eastAsia="zh-CN"/>
              </w:rPr>
              <w:t>②集气效率依据：</w:t>
            </w:r>
            <w:r>
              <w:rPr>
                <w:rFonts w:ascii="Times New Roman" w:hAnsi="Times New Roman" w:eastAsia="宋体" w:cs="Times New Roman"/>
                <w:sz w:val="24"/>
                <w:szCs w:val="24"/>
              </w:rPr>
              <w:t>参照《主要污染物总量减排核算技术指南》（2022年修订）选取：注塑工位上方设置专用</w:t>
            </w:r>
            <w:r>
              <w:rPr>
                <w:rFonts w:hint="default" w:ascii="Times New Roman" w:hAnsi="Times New Roman" w:eastAsia="宋体" w:cs="Times New Roman"/>
                <w:sz w:val="24"/>
                <w:szCs w:val="24"/>
                <w:lang w:val="en-US" w:eastAsia="zh-CN"/>
              </w:rPr>
              <w:t>密闭</w:t>
            </w:r>
            <w:r>
              <w:rPr>
                <w:rFonts w:ascii="Times New Roman" w:hAnsi="Times New Roman" w:eastAsia="宋体" w:cs="Times New Roman"/>
                <w:sz w:val="24"/>
                <w:szCs w:val="24"/>
              </w:rPr>
              <w:t>集气罩，合理控制罩口控制风速≥0.3m/s，集气效率取值</w:t>
            </w:r>
            <w:r>
              <w:rPr>
                <w:rStyle w:val="41"/>
                <w:rFonts w:ascii="Times New Roman" w:hAnsi="Times New Roman" w:eastAsia="宋体" w:cs="Times New Roman"/>
                <w:color w:val="000000"/>
                <w:sz w:val="24"/>
                <w:szCs w:val="24"/>
              </w:rPr>
              <w:t>80%</w:t>
            </w:r>
            <w:r>
              <w:rPr>
                <w:rStyle w:val="41"/>
                <w:rFonts w:hint="default" w:ascii="Times New Roman" w:hAnsi="Times New Roman" w:eastAsia="宋体" w:cs="Times New Roman"/>
                <w:color w:val="000000"/>
                <w:sz w:val="24"/>
                <w:szCs w:val="24"/>
                <w:lang w:val="en-US" w:eastAsia="zh-CN"/>
              </w:rPr>
              <w:t>；</w:t>
            </w:r>
          </w:p>
          <w:p w14:paraId="09F41FAE">
            <w:pPr>
              <w:pStyle w:val="96"/>
              <w:keepNext w:val="0"/>
              <w:keepLines w:val="0"/>
              <w:widowControl/>
              <w:numPr>
                <w:ilvl w:val="0"/>
                <w:numId w:val="0"/>
              </w:numPr>
              <w:suppressLineNumbers w:val="0"/>
              <w:spacing w:before="1" w:line="364" w:lineRule="auto"/>
              <w:ind w:left="107" w:right="-29" w:firstLine="480"/>
              <w:rPr>
                <w:rFonts w:hint="default" w:ascii="Times New Roman" w:hAnsi="Times New Roman" w:eastAsia="宋体" w:cs="Times New Roman"/>
                <w:sz w:val="24"/>
              </w:rPr>
            </w:pPr>
            <w:r>
              <w:rPr>
                <w:rStyle w:val="41"/>
                <w:rFonts w:hint="default" w:ascii="Times New Roman" w:hAnsi="Times New Roman" w:eastAsia="宋体" w:cs="Times New Roman"/>
                <w:color w:val="000000"/>
                <w:sz w:val="24"/>
                <w:szCs w:val="24"/>
                <w:lang w:val="en-US" w:eastAsia="zh-CN"/>
              </w:rPr>
              <w:t>③治理效率依据：</w:t>
            </w:r>
            <w:r>
              <w:rPr>
                <w:rStyle w:val="41"/>
                <w:rFonts w:hint="default" w:ascii="Times New Roman" w:hAnsi="Times New Roman" w:eastAsia="宋体" w:cs="Times New Roman"/>
                <w:color w:val="000000"/>
                <w:kern w:val="0"/>
                <w:sz w:val="24"/>
                <w:szCs w:val="24"/>
                <w:lang w:val="en-US" w:eastAsia="zh-CN" w:bidi="ar"/>
              </w:rPr>
              <w:t>项</w:t>
            </w:r>
            <w:r>
              <w:rPr>
                <w:rStyle w:val="41"/>
                <w:rFonts w:ascii="Times New Roman" w:hAnsi="Times New Roman" w:eastAsia="宋体" w:cs="Times New Roman"/>
                <w:color w:val="000000"/>
                <w:kern w:val="0"/>
                <w:sz w:val="24"/>
                <w:szCs w:val="24"/>
                <w:lang w:val="en-US" w:eastAsia="zh-CN" w:bidi="ar"/>
              </w:rPr>
              <w:t>目废气采用二级一次性活性炭吸附装置处理，参照《主要污染物总量减排核算技术指南》（2022年修订），一次性使用、不再生的单级活性炭VOCs去除效率取15%，两级串联总去除效率：</w:t>
            </w:r>
            <w:r>
              <w:rPr>
                <w:rStyle w:val="41"/>
                <w:rFonts w:ascii="Times New Roman" w:hAnsi="Times New Roman" w:eastAsia="宋体" w:cs="Times New Roman"/>
                <w:color w:val="000000"/>
                <w:sz w:val="24"/>
                <w:szCs w:val="24"/>
              </w:rPr>
              <w:t>η=1−(1−15%)×(1−15%)=27.75%</w:t>
            </w:r>
            <w:r>
              <w:rPr>
                <w:rStyle w:val="41"/>
                <w:rFonts w:hint="default" w:ascii="Times New Roman" w:hAnsi="Times New Roman" w:eastAsia="宋体" w:cs="Times New Roman"/>
                <w:color w:val="000000"/>
                <w:sz w:val="24"/>
                <w:szCs w:val="24"/>
                <w:lang w:eastAsia="zh-CN"/>
              </w:rPr>
              <w:t>。</w:t>
            </w:r>
          </w:p>
          <w:p w14:paraId="3510A172">
            <w:pPr>
              <w:pStyle w:val="96"/>
              <w:numPr>
                <w:ilvl w:val="0"/>
                <w:numId w:val="0"/>
              </w:numPr>
              <w:spacing w:before="1" w:line="364" w:lineRule="auto"/>
              <w:ind w:right="-29" w:rightChars="0" w:firstLine="480" w:firstLineChars="200"/>
              <w:rPr>
                <w:rStyle w:val="41"/>
                <w:rFonts w:hint="default" w:ascii="Times New Roman" w:hAnsi="Times New Roman" w:eastAsia="宋体" w:cs="Times New Roman"/>
                <w:color w:val="000000"/>
                <w:sz w:val="24"/>
                <w:szCs w:val="24"/>
                <w:lang w:val="en-US" w:eastAsia="zh-CN"/>
              </w:rPr>
            </w:pPr>
            <w:r>
              <w:rPr>
                <w:rStyle w:val="41"/>
                <w:rFonts w:hint="default" w:ascii="Times New Roman" w:hAnsi="Times New Roman" w:eastAsia="宋体" w:cs="Times New Roman"/>
                <w:color w:val="000000"/>
                <w:sz w:val="24"/>
                <w:szCs w:val="24"/>
                <w:lang w:val="en-US" w:eastAsia="zh-CN"/>
              </w:rPr>
              <w:t>④</w:t>
            </w:r>
            <w:r>
              <w:rPr>
                <w:rStyle w:val="41"/>
                <w:rFonts w:hint="eastAsia" w:eastAsia="宋体" w:cs="Times New Roman"/>
                <w:color w:val="000000"/>
                <w:sz w:val="24"/>
                <w:szCs w:val="24"/>
                <w:lang w:val="en-US" w:eastAsia="zh-CN"/>
              </w:rPr>
              <w:t>边角料产生量依据：</w:t>
            </w:r>
            <w:r>
              <w:rPr>
                <w:rStyle w:val="41"/>
                <w:rFonts w:hint="default" w:eastAsia="宋体"/>
                <w:color w:val="000000"/>
                <w:sz w:val="24"/>
              </w:rPr>
              <w:t>根据</w:t>
            </w:r>
            <w:r>
              <w:rPr>
                <w:rStyle w:val="41"/>
                <w:rFonts w:ascii="Times New Roman" w:hAnsi="Times New Roman" w:cs="Times New Roman"/>
                <w:color w:val="000000"/>
                <w:sz w:val="24"/>
              </w:rPr>
              <w:t>《排放源统计调查产排污核算方法和系数手册（2021公告24号，292塑料制品）》</w:t>
            </w:r>
            <w:r>
              <w:rPr>
                <w:rStyle w:val="41"/>
                <w:rFonts w:hint="default" w:ascii="Times New Roman" w:hAnsi="Times New Roman" w:eastAsia="宋体" w:cs="Times New Roman"/>
                <w:color w:val="000000"/>
                <w:sz w:val="24"/>
              </w:rPr>
              <w:t>中主要针对外排一般工业固废产生系数，因此拟使用业主提供的保守值估算</w:t>
            </w:r>
            <w:r>
              <w:rPr>
                <w:rStyle w:val="41"/>
                <w:rFonts w:hint="eastAsia" w:eastAsia="宋体" w:cs="Times New Roman"/>
                <w:color w:val="000000"/>
                <w:sz w:val="24"/>
                <w:lang w:eastAsia="zh-CN"/>
              </w:rPr>
              <w:t>（</w:t>
            </w:r>
            <w:r>
              <w:rPr>
                <w:rStyle w:val="41"/>
                <w:rFonts w:hint="default" w:ascii="Times New Roman" w:hAnsi="Times New Roman" w:eastAsia="宋体" w:cs="Times New Roman"/>
                <w:color w:val="000000"/>
                <w:sz w:val="24"/>
                <w:szCs w:val="24"/>
                <w:lang w:val="en-US" w:eastAsia="zh-CN"/>
              </w:rPr>
              <w:t>边角料产率</w:t>
            </w:r>
            <w:r>
              <w:rPr>
                <w:rStyle w:val="41"/>
                <w:rFonts w:hint="default" w:eastAsia="宋体" w:cs="Times New Roman"/>
                <w:color w:val="000000"/>
                <w:sz w:val="24"/>
                <w:szCs w:val="24"/>
                <w:lang w:val="en-US" w:eastAsia="zh-CN"/>
              </w:rPr>
              <w:t>约为</w:t>
            </w:r>
            <w:r>
              <w:rPr>
                <w:rStyle w:val="41"/>
                <w:rFonts w:hint="default" w:ascii="Times New Roman" w:hAnsi="Times New Roman" w:eastAsia="宋体" w:cs="Times New Roman"/>
                <w:color w:val="000000"/>
                <w:sz w:val="24"/>
                <w:szCs w:val="24"/>
                <w:lang w:val="en-US" w:eastAsia="zh-CN"/>
              </w:rPr>
              <w:t>4%</w:t>
            </w:r>
            <w:r>
              <w:rPr>
                <w:rStyle w:val="41"/>
                <w:rFonts w:hint="eastAsia" w:eastAsia="宋体" w:cs="Times New Roman"/>
                <w:color w:val="000000"/>
                <w:sz w:val="24"/>
                <w:szCs w:val="24"/>
                <w:lang w:val="en-US" w:eastAsia="zh-CN"/>
              </w:rPr>
              <w:t>）</w:t>
            </w:r>
            <w:r>
              <w:rPr>
                <w:rStyle w:val="41"/>
                <w:rFonts w:hint="default" w:ascii="Times New Roman" w:hAnsi="Times New Roman" w:eastAsia="宋体" w:cs="Times New Roman"/>
                <w:color w:val="000000"/>
                <w:sz w:val="24"/>
                <w:szCs w:val="24"/>
                <w:lang w:val="en-US" w:eastAsia="zh-CN"/>
              </w:rPr>
              <w:t>。</w:t>
            </w:r>
          </w:p>
          <w:p w14:paraId="3B32408A">
            <w:pPr>
              <w:pStyle w:val="96"/>
              <w:widowControl/>
              <w:numPr>
                <w:ilvl w:val="0"/>
                <w:numId w:val="0"/>
              </w:numPr>
              <w:spacing w:before="1" w:line="364" w:lineRule="auto"/>
              <w:ind w:left="107" w:right="-29" w:rightChars="0" w:firstLine="480" w:firstLineChars="0"/>
              <w:rPr>
                <w:rStyle w:val="41"/>
                <w:rFonts w:hint="default" w:ascii="Times New Roman" w:hAnsi="Times New Roman" w:eastAsia="宋体" w:cs="Times New Roman"/>
                <w:color w:val="000000"/>
                <w:sz w:val="24"/>
                <w:szCs w:val="24"/>
                <w:lang w:val="en-US" w:eastAsia="zh-CN"/>
              </w:rPr>
            </w:pPr>
            <w:r>
              <w:rPr>
                <w:rStyle w:val="41"/>
                <w:rFonts w:hint="default" w:eastAsia="宋体" w:cs="Times New Roman"/>
                <w:color w:val="000000"/>
                <w:sz w:val="24"/>
                <w:szCs w:val="24"/>
                <w:lang w:val="en-US" w:eastAsia="zh-CN"/>
              </w:rPr>
              <w:t>⑤</w:t>
            </w:r>
            <w:r>
              <w:rPr>
                <w:rStyle w:val="41"/>
                <w:rFonts w:hint="default" w:ascii="Times New Roman" w:hAnsi="Times New Roman" w:eastAsia="宋体" w:cs="Times New Roman"/>
                <w:color w:val="000000"/>
                <w:sz w:val="24"/>
                <w:szCs w:val="24"/>
                <w:lang w:val="en-US" w:eastAsia="zh-CN"/>
              </w:rPr>
              <w:t>粉尘核算依据：</w:t>
            </w:r>
            <w:r>
              <w:rPr>
                <w:rStyle w:val="41"/>
                <w:rFonts w:hint="default" w:ascii="Times New Roman" w:hAnsi="Times New Roman" w:eastAsia="宋体" w:cs="Times New Roman"/>
                <w:color w:val="000000"/>
                <w:sz w:val="24"/>
                <w:lang w:val="en-US" w:eastAsia="zh-CN"/>
              </w:rPr>
              <w:t>边角料</w:t>
            </w:r>
            <w:r>
              <w:rPr>
                <w:rStyle w:val="41"/>
                <w:rFonts w:hint="default" w:ascii="Times New Roman" w:hAnsi="Times New Roman" w:cs="Times New Roman"/>
                <w:color w:val="000000"/>
                <w:sz w:val="24"/>
              </w:rPr>
              <w:t>破碎</w:t>
            </w:r>
            <w:r>
              <w:rPr>
                <w:rStyle w:val="41"/>
                <w:rFonts w:hint="default" w:ascii="Times New Roman" w:hAnsi="Times New Roman" w:eastAsia="宋体" w:cs="Times New Roman"/>
                <w:color w:val="000000"/>
                <w:sz w:val="24"/>
                <w:lang w:val="en-US" w:eastAsia="zh-CN"/>
              </w:rPr>
              <w:t>粉尘</w:t>
            </w:r>
            <w:r>
              <w:rPr>
                <w:rStyle w:val="41"/>
                <w:rFonts w:hint="default" w:ascii="Times New Roman" w:hAnsi="Times New Roman" w:cs="Times New Roman"/>
                <w:color w:val="000000"/>
                <w:sz w:val="24"/>
              </w:rPr>
              <w:t>参考</w:t>
            </w:r>
            <w:r>
              <w:rPr>
                <w:rFonts w:ascii="Times New Roman" w:hAnsi="Times New Roman" w:eastAsia="宋体" w:cs="Times New Roman"/>
                <w:sz w:val="24"/>
                <w:szCs w:val="24"/>
              </w:rPr>
              <w:t>《排放源统计调查产排污核算方法和系数手册》（生态环境部公告2021年第24号）42废弃资源综合利用行业4220非金属废料和碎屑加工处理</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取375</w:t>
            </w:r>
            <w:r>
              <w:rPr>
                <w:rFonts w:ascii="Times New Roman" w:hAnsi="Times New Roman" w:eastAsia="宋体" w:cs="Times New Roman"/>
                <w:sz w:val="24"/>
                <w:szCs w:val="24"/>
              </w:rPr>
              <w:t>g/t</w:t>
            </w:r>
            <w:r>
              <w:rPr>
                <w:rFonts w:hint="default" w:ascii="Times New Roman" w:hAnsi="Times New Roman" w:eastAsia="宋体" w:cs="Times New Roman"/>
                <w:sz w:val="24"/>
                <w:szCs w:val="24"/>
                <w:lang w:val="en-US" w:eastAsia="zh-CN"/>
              </w:rPr>
              <w:t>-</w:t>
            </w:r>
            <w:r>
              <w:rPr>
                <w:rFonts w:ascii="Times New Roman" w:hAnsi="Times New Roman" w:eastAsia="宋体" w:cs="Times New Roman"/>
                <w:sz w:val="24"/>
                <w:szCs w:val="24"/>
              </w:rPr>
              <w:t>原料</w:t>
            </w:r>
            <w:r>
              <w:rPr>
                <w:rFonts w:hint="default" w:ascii="Times New Roman" w:hAnsi="Times New Roman" w:eastAsia="宋体" w:cs="Times New Roman"/>
                <w:sz w:val="24"/>
                <w:szCs w:val="24"/>
                <w:lang w:val="en-US" w:eastAsia="zh-CN"/>
              </w:rPr>
              <w:t>；</w:t>
            </w:r>
          </w:p>
          <w:p w14:paraId="298BF9E6">
            <w:pPr>
              <w:pStyle w:val="96"/>
              <w:widowControl/>
              <w:numPr>
                <w:ilvl w:val="0"/>
                <w:numId w:val="0"/>
              </w:numPr>
              <w:spacing w:before="1" w:line="364" w:lineRule="auto"/>
              <w:ind w:left="107" w:right="-29" w:rightChars="0" w:firstLine="480" w:firstLineChars="0"/>
              <w:rPr>
                <w:rStyle w:val="41"/>
                <w:rFonts w:hint="default" w:ascii="Times New Roman" w:hAnsi="Times New Roman" w:eastAsia="宋体" w:cs="Times New Roman"/>
                <w:color w:val="000000"/>
                <w:sz w:val="24"/>
                <w:szCs w:val="24"/>
                <w:lang w:val="en-US" w:eastAsia="zh-CN"/>
              </w:rPr>
            </w:pPr>
            <w:r>
              <w:rPr>
                <w:rStyle w:val="41"/>
                <w:rFonts w:hint="default" w:ascii="Times New Roman" w:hAnsi="Times New Roman" w:eastAsia="宋体" w:cs="Times New Roman"/>
                <w:color w:val="000000"/>
                <w:sz w:val="24"/>
                <w:szCs w:val="24"/>
                <w:lang w:val="en-US" w:eastAsia="zh-CN"/>
              </w:rPr>
              <w:t>混合工序粉尘：</w:t>
            </w:r>
            <w:r>
              <w:rPr>
                <w:rFonts w:ascii="Times New Roman" w:hAnsi="Times New Roman" w:eastAsia="宋体" w:cs="Times New Roman"/>
                <w:sz w:val="24"/>
                <w:szCs w:val="24"/>
              </w:rPr>
              <w:t>参考《塑料改性实用技术》（化学工业出版社，2020）塑料改性密闭高速混料机，粉体投料过程，在设备密闭、粉料逸出损失一般为</w:t>
            </w:r>
            <w:r>
              <w:rPr>
                <w:rStyle w:val="41"/>
                <w:rFonts w:ascii="Times New Roman" w:hAnsi="Times New Roman" w:eastAsia="宋体" w:cs="Times New Roman"/>
                <w:color w:val="000000"/>
                <w:sz w:val="24"/>
                <w:szCs w:val="24"/>
              </w:rPr>
              <w:t>0.5%</w:t>
            </w:r>
            <w:r>
              <w:rPr>
                <w:rStyle w:val="41"/>
                <w:rFonts w:ascii="Times New Roman" w:hAnsi="Times New Roman" w:eastAsia="宋体" w:cs="Times New Roman"/>
                <w:color w:val="000000"/>
                <w:sz w:val="24"/>
                <w:szCs w:val="24"/>
              </w:rPr>
              <w:noBreakHyphen/>
            </w:r>
            <w:r>
              <w:rPr>
                <w:rStyle w:val="41"/>
                <w:rFonts w:ascii="Times New Roman" w:hAnsi="Times New Roman" w:eastAsia="宋体" w:cs="Times New Roman"/>
                <w:color w:val="000000"/>
                <w:sz w:val="24"/>
                <w:szCs w:val="24"/>
              </w:rPr>
              <w:t>1.5%（占投入粉料质量）</w:t>
            </w:r>
            <w:r>
              <w:rPr>
                <w:rStyle w:val="41"/>
                <w:rFonts w:hint="default" w:ascii="Times New Roman" w:hAnsi="Times New Roman" w:eastAsia="宋体" w:cs="Times New Roman"/>
                <w:color w:val="000000"/>
                <w:sz w:val="24"/>
                <w:szCs w:val="24"/>
                <w:lang w:eastAsia="zh-CN"/>
              </w:rPr>
              <w:t>，</w:t>
            </w:r>
            <w:r>
              <w:rPr>
                <w:rFonts w:ascii="Times New Roman" w:hAnsi="Times New Roman" w:eastAsia="宋体" w:cs="Times New Roman"/>
                <w:sz w:val="24"/>
                <w:szCs w:val="24"/>
              </w:rPr>
              <w:t>本项目保守选取逸出比例1.0%</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粉状原料为</w:t>
            </w:r>
            <w:r>
              <w:rPr>
                <w:rFonts w:hint="default" w:ascii="Times New Roman" w:hAnsi="Times New Roman" w:eastAsia="宋体" w:cs="Times New Roman"/>
                <w:color w:val="auto"/>
                <w:sz w:val="24"/>
                <w:szCs w:val="24"/>
                <w:u w:val="none"/>
                <w:lang w:val="en-US" w:eastAsia="zh-CN"/>
              </w:rPr>
              <w:t>SBS粉、SEBS粉共30t</w:t>
            </w:r>
            <w:r>
              <w:rPr>
                <w:rFonts w:ascii="Times New Roman" w:hAnsi="Times New Roman" w:eastAsia="宋体" w:cs="Times New Roman"/>
                <w:sz w:val="24"/>
                <w:szCs w:val="24"/>
              </w:rPr>
              <w:t>。</w:t>
            </w:r>
          </w:p>
          <w:p w14:paraId="5434AA97">
            <w:pPr>
              <w:pStyle w:val="96"/>
              <w:spacing w:before="1" w:line="364" w:lineRule="auto"/>
              <w:ind w:left="107" w:right="-29" w:firstLine="480"/>
              <w:rPr>
                <w:rStyle w:val="41"/>
                <w:rFonts w:hint="default" w:ascii="Times New Roman" w:hAnsi="Times New Roman" w:eastAsia="宋体" w:cs="Times New Roman"/>
                <w:color w:val="000000"/>
                <w:sz w:val="24"/>
                <w:szCs w:val="24"/>
                <w:lang w:val="en-US" w:eastAsia="zh-CN"/>
              </w:rPr>
            </w:pPr>
            <w:r>
              <w:rPr>
                <w:rStyle w:val="41"/>
                <w:rFonts w:hint="default" w:ascii="Times New Roman" w:hAnsi="Times New Roman" w:eastAsia="宋体" w:cs="Times New Roman"/>
                <w:color w:val="000000"/>
                <w:sz w:val="24"/>
                <w:szCs w:val="24"/>
                <w:lang w:val="en-US" w:eastAsia="zh-CN"/>
              </w:rPr>
              <w:t>项目年生产制度为年工作300d、每天8h，全年有效生产时长为2400h。</w:t>
            </w:r>
          </w:p>
          <w:p w14:paraId="046EA23C">
            <w:pPr>
              <w:pStyle w:val="96"/>
              <w:spacing w:before="1" w:line="364" w:lineRule="auto"/>
              <w:ind w:left="107" w:right="-29" w:firstLine="480"/>
              <w:rPr>
                <w:rStyle w:val="41"/>
                <w:rFonts w:hint="default" w:ascii="Times New Roman" w:hAnsi="Times New Roman" w:eastAsia="宋体" w:cs="Times New Roman"/>
                <w:color w:val="000000"/>
                <w:sz w:val="24"/>
                <w:szCs w:val="24"/>
                <w:lang w:val="en-US" w:eastAsia="zh-CN"/>
              </w:rPr>
            </w:pPr>
            <w:r>
              <w:rPr>
                <w:rStyle w:val="41"/>
                <w:rFonts w:hint="default" w:ascii="Times New Roman" w:hAnsi="Times New Roman" w:eastAsia="宋体" w:cs="Times New Roman"/>
                <w:color w:val="000000"/>
                <w:sz w:val="24"/>
                <w:szCs w:val="24"/>
                <w:lang w:val="en-US" w:eastAsia="zh-CN"/>
              </w:rPr>
              <w:t>核算固定参数：年生产300d、8h/d，年有效工时2400h；集气效率80%（GB/T16758-2008）、二级活性炭去除效率27.75%；集气风量5000m</w:t>
            </w:r>
            <w:r>
              <w:rPr>
                <w:rStyle w:val="41"/>
                <w:rFonts w:hint="default" w:ascii="Times New Roman" w:hAnsi="Times New Roman" w:eastAsia="宋体" w:cs="Times New Roman"/>
                <w:bCs/>
                <w:color w:val="000000"/>
                <w:sz w:val="24"/>
                <w:szCs w:val="24"/>
                <w:vertAlign w:val="superscript"/>
                <w:lang w:val="en-US" w:eastAsia="zh-CN"/>
              </w:rPr>
              <w:t>3</w:t>
            </w:r>
            <w:r>
              <w:rPr>
                <w:rStyle w:val="41"/>
                <w:rFonts w:hint="default" w:ascii="Times New Roman" w:hAnsi="Times New Roman" w:eastAsia="宋体" w:cs="Times New Roman"/>
                <w:color w:val="000000"/>
                <w:sz w:val="24"/>
                <w:szCs w:val="24"/>
                <w:lang w:val="en-US" w:eastAsia="zh-CN"/>
              </w:rPr>
              <w:t>/h。</w:t>
            </w:r>
          </w:p>
          <w:p w14:paraId="14261807">
            <w:pPr>
              <w:pStyle w:val="96"/>
              <w:spacing w:before="1" w:line="364" w:lineRule="auto"/>
              <w:ind w:left="107" w:right="-29" w:firstLine="480"/>
              <w:rPr>
                <w:rStyle w:val="41"/>
                <w:rFonts w:hint="default" w:ascii="Times New Roman" w:hAnsi="Times New Roman" w:eastAsia="宋体" w:cs="Times New Roman"/>
                <w:color w:val="000000"/>
                <w:sz w:val="24"/>
                <w:szCs w:val="24"/>
                <w:lang w:val="en-US" w:eastAsia="zh-CN"/>
              </w:rPr>
            </w:pPr>
            <w:r>
              <w:rPr>
                <w:rStyle w:val="41"/>
                <w:rFonts w:hint="default" w:ascii="Times New Roman" w:hAnsi="Times New Roman" w:eastAsia="宋体" w:cs="Times New Roman"/>
                <w:color w:val="000000"/>
                <w:sz w:val="24"/>
                <w:szCs w:val="24"/>
                <w:lang w:val="en-US" w:eastAsia="zh-CN"/>
              </w:rPr>
              <w:t>项目注塑工位配套密闭集气罩、车间维持微负压，有机废气收集效率80%，剩余20%无组织逸散；收集废气经二级活性炭吸附处理，综合去除效率27.75%。</w:t>
            </w:r>
            <w:r>
              <w:rPr>
                <w:rStyle w:val="41"/>
                <w:rFonts w:hint="default" w:eastAsia="宋体" w:cs="Times New Roman"/>
                <w:color w:val="000000"/>
                <w:sz w:val="24"/>
                <w:szCs w:val="24"/>
                <w:lang w:val="en-US" w:eastAsia="zh-CN"/>
              </w:rPr>
              <w:t>混合</w:t>
            </w:r>
            <w:r>
              <w:rPr>
                <w:rStyle w:val="41"/>
                <w:rFonts w:hint="default" w:ascii="Times New Roman" w:hAnsi="Times New Roman" w:eastAsia="宋体" w:cs="Times New Roman"/>
                <w:color w:val="000000"/>
                <w:sz w:val="24"/>
                <w:szCs w:val="24"/>
                <w:lang w:val="en-US" w:eastAsia="zh-CN"/>
              </w:rPr>
              <w:t>、破碎设备全密闭，粉尘微量无组织排放。</w:t>
            </w:r>
          </w:p>
          <w:p w14:paraId="6ECDDA45">
            <w:pPr>
              <w:pStyle w:val="96"/>
              <w:spacing w:before="1" w:line="364" w:lineRule="auto"/>
              <w:ind w:left="107" w:right="-29" w:firstLine="480"/>
              <w:rPr>
                <w:rStyle w:val="41"/>
                <w:rFonts w:hint="default" w:ascii="Times New Roman" w:hAnsi="Times New Roman" w:eastAsia="宋体" w:cs="Times New Roman"/>
                <w:color w:val="000000"/>
                <w:sz w:val="24"/>
                <w:szCs w:val="24"/>
                <w:lang w:val="en-US" w:eastAsia="zh-CN"/>
              </w:rPr>
            </w:pPr>
            <w:r>
              <w:rPr>
                <w:rStyle w:val="41"/>
                <w:rFonts w:hint="default" w:ascii="Times New Roman" w:hAnsi="Times New Roman" w:eastAsia="宋体" w:cs="Times New Roman"/>
                <w:color w:val="000000"/>
                <w:sz w:val="24"/>
                <w:szCs w:val="24"/>
                <w:lang w:val="en-US" w:eastAsia="zh-CN"/>
              </w:rPr>
              <w:t>1）</w:t>
            </w:r>
            <w:r>
              <w:rPr>
                <w:rStyle w:val="41"/>
                <w:rFonts w:hint="default" w:eastAsia="宋体" w:cs="Times New Roman"/>
                <w:color w:val="000000"/>
                <w:sz w:val="24"/>
                <w:szCs w:val="24"/>
                <w:lang w:val="en-US" w:eastAsia="zh-CN"/>
              </w:rPr>
              <w:t>非甲烷总烃</w:t>
            </w:r>
            <w:r>
              <w:rPr>
                <w:rStyle w:val="41"/>
                <w:rFonts w:hint="default" w:ascii="Times New Roman" w:hAnsi="Times New Roman" w:eastAsia="宋体" w:cs="Times New Roman"/>
                <w:color w:val="000000"/>
                <w:sz w:val="24"/>
                <w:szCs w:val="24"/>
                <w:lang w:val="en-US" w:eastAsia="zh-CN"/>
              </w:rPr>
              <w:t>总产生量、总废气量：</w:t>
            </w:r>
          </w:p>
          <w:p w14:paraId="16F979E3">
            <w:pPr>
              <w:pStyle w:val="96"/>
              <w:keepNext w:val="0"/>
              <w:keepLines w:val="0"/>
              <w:widowControl/>
              <w:suppressLineNumbers w:val="0"/>
              <w:spacing w:before="1" w:line="364" w:lineRule="auto"/>
              <w:ind w:left="107" w:right="-29" w:firstLine="480"/>
              <w:rPr>
                <w:rStyle w:val="41"/>
                <w:rFonts w:ascii="Times New Roman" w:hAnsi="Times New Roman" w:eastAsia="宋体" w:cs="Times New Roman"/>
                <w:color w:val="000000"/>
                <w:sz w:val="24"/>
              </w:rPr>
            </w:pPr>
            <w:r>
              <w:rPr>
                <w:rStyle w:val="41"/>
                <w:rFonts w:ascii="Times New Roman" w:hAnsi="Times New Roman" w:eastAsia="宋体" w:cs="Times New Roman"/>
                <w:color w:val="000000"/>
                <w:kern w:val="0"/>
                <w:sz w:val="24"/>
                <w:szCs w:val="24"/>
                <w:lang w:val="en-US" w:eastAsia="zh-CN" w:bidi="ar"/>
              </w:rPr>
              <w:t>塑胶基体产生量=36.3t/a×2.7kg/t=98.01kg/a=0.0980t/a</w:t>
            </w:r>
          </w:p>
          <w:p w14:paraId="0B03DD2D">
            <w:pPr>
              <w:pStyle w:val="96"/>
              <w:keepNext w:val="0"/>
              <w:keepLines w:val="0"/>
              <w:widowControl/>
              <w:suppressLineNumbers w:val="0"/>
              <w:spacing w:before="1" w:line="364" w:lineRule="auto"/>
              <w:ind w:left="107" w:right="-29" w:firstLine="480"/>
              <w:rPr>
                <w:rStyle w:val="41"/>
                <w:rFonts w:ascii="Times New Roman" w:hAnsi="Times New Roman" w:eastAsia="宋体" w:cs="Times New Roman"/>
                <w:color w:val="000000"/>
                <w:sz w:val="24"/>
              </w:rPr>
            </w:pPr>
            <w:r>
              <w:rPr>
                <w:rStyle w:val="41"/>
                <w:rFonts w:ascii="Times New Roman" w:hAnsi="Times New Roman" w:eastAsia="宋体" w:cs="Times New Roman"/>
                <w:color w:val="000000"/>
                <w:kern w:val="0"/>
                <w:sz w:val="24"/>
                <w:szCs w:val="24"/>
                <w:lang w:val="en-US" w:eastAsia="zh-CN" w:bidi="ar"/>
              </w:rPr>
              <w:t>石蜡油产生量=180t/a×0.8kg/t=144.00kg/a=0.1440t/a</w:t>
            </w:r>
          </w:p>
          <w:p w14:paraId="56D5825E">
            <w:pPr>
              <w:pStyle w:val="96"/>
              <w:spacing w:before="1" w:line="364" w:lineRule="auto"/>
              <w:ind w:left="107" w:right="-29" w:firstLine="480"/>
              <w:rPr>
                <w:rStyle w:val="41"/>
                <w:rFonts w:hint="default" w:ascii="Times New Roman" w:hAnsi="Times New Roman" w:eastAsia="宋体" w:cs="Times New Roman"/>
                <w:color w:val="000000"/>
                <w:sz w:val="24"/>
                <w:szCs w:val="24"/>
                <w:lang w:val="en-US" w:eastAsia="zh-CN"/>
              </w:rPr>
            </w:pPr>
            <w:r>
              <w:rPr>
                <w:rStyle w:val="41"/>
                <w:rFonts w:hint="default" w:ascii="Times New Roman" w:hAnsi="Times New Roman" w:eastAsia="宋体" w:cs="Times New Roman"/>
                <w:color w:val="000000"/>
                <w:sz w:val="24"/>
                <w:szCs w:val="24"/>
                <w:lang w:val="en-US" w:eastAsia="zh-CN"/>
              </w:rPr>
              <w:t>2）有组织、无组织产生拆分（集气效率80%）：</w:t>
            </w:r>
          </w:p>
          <w:p w14:paraId="5FD1503D">
            <w:pPr>
              <w:pStyle w:val="96"/>
              <w:keepNext w:val="0"/>
              <w:keepLines w:val="0"/>
              <w:widowControl/>
              <w:suppressLineNumbers w:val="0"/>
              <w:spacing w:before="1" w:line="364" w:lineRule="auto"/>
              <w:ind w:left="107" w:right="-29" w:firstLine="480"/>
              <w:rPr>
                <w:rStyle w:val="41"/>
                <w:rFonts w:ascii="Times New Roman" w:hAnsi="Times New Roman" w:eastAsia="宋体" w:cs="Times New Roman"/>
                <w:color w:val="000000"/>
                <w:sz w:val="24"/>
              </w:rPr>
            </w:pPr>
            <w:r>
              <w:rPr>
                <w:rStyle w:val="41"/>
                <w:rFonts w:ascii="Times New Roman" w:hAnsi="Times New Roman" w:eastAsia="宋体" w:cs="Times New Roman"/>
                <w:color w:val="000000"/>
                <w:kern w:val="0"/>
                <w:sz w:val="24"/>
                <w:szCs w:val="24"/>
                <w:lang w:val="en-US" w:eastAsia="zh-CN" w:bidi="ar"/>
              </w:rPr>
              <w:t>有组织产生量=0.2420×80%=</w:t>
            </w:r>
            <w:r>
              <w:rPr>
                <w:rStyle w:val="41"/>
                <w:rFonts w:ascii="Times New Roman" w:hAnsi="Times New Roman" w:eastAsia="宋体" w:cs="Times New Roman"/>
                <w:color w:val="000000"/>
                <w:kern w:val="2"/>
                <w:sz w:val="24"/>
                <w:szCs w:val="24"/>
                <w:lang w:val="en-US" w:eastAsia="zh-CN" w:bidi="ar"/>
              </w:rPr>
              <w:t>0.1936t/a</w:t>
            </w:r>
          </w:p>
          <w:p w14:paraId="0DC8495D">
            <w:pPr>
              <w:pStyle w:val="96"/>
              <w:keepNext w:val="0"/>
              <w:keepLines w:val="0"/>
              <w:widowControl/>
              <w:suppressLineNumbers w:val="0"/>
              <w:spacing w:before="1" w:line="364" w:lineRule="auto"/>
              <w:ind w:left="107" w:right="-29" w:firstLine="480"/>
              <w:rPr>
                <w:rStyle w:val="41"/>
                <w:rFonts w:ascii="Times New Roman" w:hAnsi="Times New Roman" w:eastAsia="宋体" w:cs="Times New Roman"/>
                <w:color w:val="000000"/>
                <w:sz w:val="24"/>
              </w:rPr>
            </w:pPr>
            <w:r>
              <w:rPr>
                <w:rStyle w:val="41"/>
                <w:rFonts w:ascii="Times New Roman" w:hAnsi="Times New Roman" w:eastAsia="宋体" w:cs="Times New Roman"/>
                <w:color w:val="000000"/>
                <w:kern w:val="0"/>
                <w:sz w:val="24"/>
                <w:szCs w:val="24"/>
                <w:lang w:val="en-US" w:eastAsia="zh-CN" w:bidi="ar"/>
              </w:rPr>
              <w:t>无组织产生量=0.2420×20%=</w:t>
            </w:r>
            <w:r>
              <w:rPr>
                <w:rStyle w:val="41"/>
                <w:rFonts w:ascii="Times New Roman" w:hAnsi="Times New Roman" w:eastAsia="宋体" w:cs="Times New Roman"/>
                <w:color w:val="000000"/>
                <w:kern w:val="2"/>
                <w:sz w:val="24"/>
                <w:szCs w:val="24"/>
                <w:lang w:val="en-US" w:eastAsia="zh-CN" w:bidi="ar"/>
              </w:rPr>
              <w:t>0.0484t/a</w:t>
            </w:r>
          </w:p>
          <w:p w14:paraId="14AACE1D">
            <w:pPr>
              <w:pStyle w:val="96"/>
              <w:spacing w:before="1" w:line="364" w:lineRule="auto"/>
              <w:ind w:left="107" w:right="-29" w:firstLine="480"/>
              <w:rPr>
                <w:rStyle w:val="41"/>
                <w:rFonts w:hint="default" w:ascii="Times New Roman" w:hAnsi="Times New Roman" w:eastAsia="宋体" w:cs="Times New Roman"/>
                <w:color w:val="000000"/>
                <w:sz w:val="24"/>
                <w:szCs w:val="24"/>
                <w:lang w:val="en-US" w:eastAsia="zh-CN"/>
              </w:rPr>
            </w:pPr>
            <w:r>
              <w:rPr>
                <w:rStyle w:val="41"/>
                <w:rFonts w:hint="default" w:ascii="Times New Roman" w:hAnsi="Times New Roman" w:eastAsia="宋体" w:cs="Times New Roman"/>
                <w:color w:val="000000"/>
                <w:sz w:val="24"/>
                <w:szCs w:val="24"/>
                <w:lang w:val="en-US" w:eastAsia="zh-CN"/>
              </w:rPr>
              <w:t>3）治理后排放量（27.75%去除效率）：</w:t>
            </w:r>
          </w:p>
          <w:p w14:paraId="0B7FA406">
            <w:pPr>
              <w:pStyle w:val="96"/>
              <w:keepNext w:val="0"/>
              <w:keepLines w:val="0"/>
              <w:widowControl/>
              <w:suppressLineNumbers w:val="0"/>
              <w:spacing w:before="1" w:line="364" w:lineRule="auto"/>
              <w:ind w:left="107" w:right="-29" w:firstLine="480"/>
              <w:rPr>
                <w:rStyle w:val="41"/>
                <w:rFonts w:ascii="Times New Roman" w:hAnsi="Times New Roman" w:eastAsia="宋体" w:cs="Times New Roman"/>
                <w:color w:val="000000"/>
                <w:sz w:val="24"/>
              </w:rPr>
            </w:pPr>
            <w:r>
              <w:rPr>
                <w:rStyle w:val="41"/>
                <w:rFonts w:ascii="Times New Roman" w:hAnsi="Times New Roman" w:eastAsia="宋体" w:cs="Times New Roman"/>
                <w:color w:val="000000"/>
                <w:kern w:val="0"/>
                <w:sz w:val="24"/>
                <w:szCs w:val="24"/>
                <w:lang w:val="en-US" w:eastAsia="zh-CN" w:bidi="ar"/>
              </w:rPr>
              <w:t>有组织排放量=0.1936×(1-27.75%)=</w:t>
            </w:r>
            <w:r>
              <w:rPr>
                <w:rStyle w:val="41"/>
                <w:rFonts w:ascii="Times New Roman" w:hAnsi="Times New Roman" w:eastAsia="宋体" w:cs="Times New Roman"/>
                <w:color w:val="000000"/>
                <w:kern w:val="2"/>
                <w:sz w:val="24"/>
                <w:szCs w:val="24"/>
                <w:lang w:val="en-US" w:eastAsia="zh-CN" w:bidi="ar"/>
              </w:rPr>
              <w:t>0.1397t/a</w:t>
            </w:r>
            <w:r>
              <w:rPr>
                <w:rStyle w:val="41"/>
                <w:rFonts w:hint="default" w:ascii="Times New Roman" w:hAnsi="Times New Roman" w:eastAsia="宋体" w:cs="Times New Roman"/>
                <w:color w:val="000000"/>
                <w:kern w:val="2"/>
                <w:sz w:val="24"/>
                <w:szCs w:val="24"/>
                <w:lang w:val="en-US" w:eastAsia="zh-CN" w:bidi="ar"/>
              </w:rPr>
              <w:t>，</w:t>
            </w:r>
            <w:r>
              <w:rPr>
                <w:rStyle w:val="41"/>
                <w:rFonts w:ascii="Times New Roman" w:hAnsi="Times New Roman" w:eastAsia="宋体" w:cs="Times New Roman"/>
                <w:color w:val="000000"/>
                <w:kern w:val="0"/>
                <w:sz w:val="24"/>
                <w:szCs w:val="24"/>
                <w:lang w:val="en-US" w:eastAsia="zh-CN" w:bidi="ar"/>
              </w:rPr>
              <w:t>无组织排放量=0.0484t/a</w:t>
            </w:r>
            <w:r>
              <w:rPr>
                <w:rStyle w:val="41"/>
                <w:rFonts w:hint="default" w:ascii="Times New Roman" w:hAnsi="Times New Roman" w:eastAsia="宋体" w:cs="Times New Roman"/>
                <w:color w:val="000000"/>
                <w:sz w:val="24"/>
                <w:szCs w:val="24"/>
                <w:lang w:val="en-US" w:eastAsia="zh-CN"/>
              </w:rPr>
              <w:t>；全厂非甲烷总烃总排放量=</w:t>
            </w:r>
            <w:r>
              <w:rPr>
                <w:rStyle w:val="41"/>
                <w:rFonts w:ascii="Times New Roman" w:hAnsi="Times New Roman" w:eastAsia="宋体" w:cs="Times New Roman"/>
                <w:color w:val="000000"/>
                <w:kern w:val="2"/>
                <w:sz w:val="24"/>
                <w:szCs w:val="24"/>
                <w:lang w:val="en-US" w:eastAsia="zh-CN" w:bidi="ar"/>
              </w:rPr>
              <w:t>0.1397+0.0484=0.1881t/a</w:t>
            </w:r>
          </w:p>
          <w:p w14:paraId="2895913E">
            <w:pPr>
              <w:pStyle w:val="96"/>
              <w:spacing w:before="1" w:line="364" w:lineRule="auto"/>
              <w:ind w:left="107" w:right="-29" w:firstLine="480"/>
              <w:rPr>
                <w:rStyle w:val="41"/>
                <w:rFonts w:hint="default" w:ascii="Times New Roman" w:hAnsi="Times New Roman" w:eastAsia="宋体" w:cs="Times New Roman"/>
                <w:color w:val="000000"/>
                <w:sz w:val="24"/>
                <w:szCs w:val="24"/>
                <w:lang w:val="en-US" w:eastAsia="zh-CN"/>
              </w:rPr>
            </w:pPr>
            <w:r>
              <w:rPr>
                <w:rStyle w:val="41"/>
                <w:rFonts w:hint="default" w:ascii="Times New Roman" w:hAnsi="Times New Roman" w:eastAsia="宋体" w:cs="Times New Roman"/>
                <w:color w:val="000000"/>
                <w:sz w:val="24"/>
                <w:szCs w:val="24"/>
                <w:lang w:val="en-US" w:eastAsia="zh-CN"/>
              </w:rPr>
              <w:t>4）排放速率、浓度核算（年工时2400h）：</w:t>
            </w:r>
          </w:p>
          <w:p w14:paraId="24A8910A">
            <w:pPr>
              <w:pStyle w:val="96"/>
              <w:keepNext w:val="0"/>
              <w:keepLines w:val="0"/>
              <w:widowControl/>
              <w:suppressLineNumbers w:val="0"/>
              <w:spacing w:before="1" w:line="364" w:lineRule="auto"/>
              <w:ind w:left="107" w:right="-29" w:firstLine="480"/>
              <w:rPr>
                <w:rStyle w:val="41"/>
                <w:rFonts w:ascii="Times New Roman" w:hAnsi="Times New Roman" w:eastAsia="宋体" w:cs="Times New Roman"/>
                <w:color w:val="000000"/>
                <w:sz w:val="24"/>
              </w:rPr>
            </w:pPr>
            <w:r>
              <w:rPr>
                <w:rStyle w:val="41"/>
                <w:rFonts w:ascii="Times New Roman" w:hAnsi="Times New Roman" w:eastAsia="宋体" w:cs="Times New Roman"/>
                <w:color w:val="000000"/>
                <w:kern w:val="0"/>
                <w:sz w:val="24"/>
                <w:szCs w:val="24"/>
                <w:lang w:val="en-US" w:eastAsia="zh-CN" w:bidi="ar"/>
              </w:rPr>
              <w:t>有组织排放速率=0.1397t/a÷2400h=</w:t>
            </w:r>
            <w:r>
              <w:rPr>
                <w:rStyle w:val="41"/>
                <w:rFonts w:ascii="Times New Roman" w:hAnsi="Times New Roman" w:eastAsia="宋体" w:cs="Times New Roman"/>
                <w:color w:val="000000"/>
                <w:kern w:val="2"/>
                <w:sz w:val="24"/>
                <w:szCs w:val="24"/>
                <w:lang w:val="en-US" w:eastAsia="zh-CN" w:bidi="ar"/>
              </w:rPr>
              <w:t>0.0582kg/h</w:t>
            </w:r>
          </w:p>
          <w:p w14:paraId="506D4DBA">
            <w:pPr>
              <w:pStyle w:val="96"/>
              <w:keepNext w:val="0"/>
              <w:keepLines w:val="0"/>
              <w:widowControl/>
              <w:suppressLineNumbers w:val="0"/>
              <w:spacing w:before="1" w:line="364" w:lineRule="auto"/>
              <w:ind w:left="107" w:right="-29" w:firstLine="480"/>
              <w:rPr>
                <w:rStyle w:val="41"/>
                <w:rFonts w:ascii="Times New Roman" w:hAnsi="Times New Roman" w:eastAsia="宋体" w:cs="Times New Roman"/>
                <w:color w:val="000000"/>
                <w:sz w:val="24"/>
              </w:rPr>
            </w:pPr>
            <w:r>
              <w:rPr>
                <w:rStyle w:val="41"/>
                <w:rFonts w:ascii="Times New Roman" w:hAnsi="Times New Roman" w:eastAsia="宋体" w:cs="Times New Roman"/>
                <w:color w:val="000000"/>
                <w:kern w:val="0"/>
                <w:sz w:val="24"/>
                <w:szCs w:val="24"/>
                <w:lang w:val="en-US" w:eastAsia="zh-CN" w:bidi="ar"/>
              </w:rPr>
              <w:t>有组织排放浓度=0.1397×10⁹mg÷(5000m³/h×2400h)=</w:t>
            </w:r>
            <w:r>
              <w:rPr>
                <w:rStyle w:val="41"/>
                <w:rFonts w:ascii="Times New Roman" w:hAnsi="Times New Roman" w:eastAsia="宋体" w:cs="Times New Roman"/>
                <w:color w:val="000000"/>
                <w:kern w:val="2"/>
                <w:sz w:val="24"/>
                <w:szCs w:val="24"/>
                <w:lang w:val="en-US" w:eastAsia="zh-CN" w:bidi="ar"/>
              </w:rPr>
              <w:t>11.64mg/m³</w:t>
            </w:r>
          </w:p>
          <w:p w14:paraId="2CA1DC4D">
            <w:pPr>
              <w:pStyle w:val="96"/>
              <w:numPr>
                <w:ilvl w:val="0"/>
                <w:numId w:val="9"/>
              </w:numPr>
              <w:spacing w:before="1" w:line="364" w:lineRule="auto"/>
              <w:ind w:left="107" w:right="-29" w:firstLine="480"/>
              <w:rPr>
                <w:rStyle w:val="41"/>
                <w:rFonts w:hint="default" w:ascii="Times New Roman" w:hAnsi="Times New Roman" w:eastAsia="宋体" w:cs="Times New Roman"/>
                <w:color w:val="000000"/>
                <w:sz w:val="24"/>
                <w:szCs w:val="24"/>
                <w:lang w:val="en-US" w:eastAsia="zh-CN"/>
              </w:rPr>
            </w:pPr>
            <w:r>
              <w:rPr>
                <w:rStyle w:val="41"/>
                <w:rFonts w:hint="default" w:ascii="Times New Roman" w:hAnsi="Times New Roman" w:eastAsia="宋体" w:cs="Times New Roman"/>
                <w:color w:val="000000"/>
                <w:sz w:val="24"/>
                <w:szCs w:val="24"/>
                <w:lang w:val="en-US" w:eastAsia="zh-CN"/>
              </w:rPr>
              <w:t>无组织粉尘核算：</w:t>
            </w:r>
          </w:p>
          <w:p w14:paraId="4CDFB691">
            <w:pPr>
              <w:pStyle w:val="96"/>
              <w:numPr>
                <w:ilvl w:val="-1"/>
                <w:numId w:val="0"/>
              </w:numPr>
              <w:spacing w:before="1" w:line="364" w:lineRule="auto"/>
              <w:ind w:left="0" w:right="-29" w:firstLine="480" w:firstLineChars="200"/>
              <w:rPr>
                <w:rFonts w:hint="eastAsia" w:ascii="宋体" w:hAnsi="宋体" w:eastAsia="宋体" w:cs="宋体"/>
                <w:sz w:val="24"/>
                <w:szCs w:val="24"/>
                <w:lang w:val="en-US" w:eastAsia="zh-CN"/>
              </w:rPr>
            </w:pPr>
            <w:r>
              <w:rPr>
                <w:rStyle w:val="41"/>
                <w:rFonts w:hint="eastAsia" w:eastAsia="宋体" w:cs="Times New Roman"/>
                <w:color w:val="000000"/>
                <w:sz w:val="24"/>
                <w:szCs w:val="24"/>
                <w:lang w:val="en-US" w:eastAsia="zh-CN"/>
              </w:rPr>
              <w:t>边角料破碎粉尘：</w:t>
            </w:r>
            <w:r>
              <w:rPr>
                <w:rStyle w:val="41"/>
                <w:rFonts w:hint="default" w:eastAsia="宋体" w:cs="Times New Roman"/>
                <w:color w:val="000000"/>
                <w:sz w:val="24"/>
                <w:szCs w:val="24"/>
                <w:lang w:val="en-US" w:eastAsia="zh-CN"/>
              </w:rPr>
              <w:t>根据业主提供</w:t>
            </w:r>
            <w:r>
              <w:rPr>
                <w:rStyle w:val="41"/>
                <w:rFonts w:hint="default" w:ascii="Times New Roman" w:hAnsi="Times New Roman" w:eastAsia="宋体" w:cs="Times New Roman"/>
                <w:color w:val="000000"/>
                <w:sz w:val="24"/>
                <w:szCs w:val="24"/>
                <w:lang w:val="en-US" w:eastAsia="zh-CN"/>
              </w:rPr>
              <w:t>边角料产率</w:t>
            </w:r>
            <w:r>
              <w:rPr>
                <w:rStyle w:val="41"/>
                <w:rFonts w:hint="default" w:eastAsia="宋体" w:cs="Times New Roman"/>
                <w:color w:val="000000"/>
                <w:sz w:val="24"/>
                <w:szCs w:val="24"/>
                <w:lang w:val="en-US" w:eastAsia="zh-CN"/>
              </w:rPr>
              <w:t>约为</w:t>
            </w:r>
            <w:r>
              <w:rPr>
                <w:rStyle w:val="41"/>
                <w:rFonts w:hint="default" w:ascii="Times New Roman" w:hAnsi="Times New Roman" w:eastAsia="宋体" w:cs="Times New Roman"/>
                <w:color w:val="000000"/>
                <w:sz w:val="24"/>
                <w:szCs w:val="24"/>
                <w:lang w:val="en-US" w:eastAsia="zh-CN"/>
              </w:rPr>
              <w:t>4%，年破碎物料量=36.3t×4%=1.452t/a。</w:t>
            </w:r>
            <w:r>
              <w:rPr>
                <w:rStyle w:val="41"/>
                <w:rFonts w:hint="eastAsia" w:eastAsia="宋体" w:cs="Times New Roman"/>
                <w:color w:val="000000"/>
                <w:sz w:val="24"/>
                <w:szCs w:val="24"/>
                <w:lang w:val="en-US" w:eastAsia="zh-CN"/>
              </w:rPr>
              <w:t>颗粒物产生系数</w:t>
            </w:r>
            <w:r>
              <w:rPr>
                <w:rFonts w:hint="eastAsia" w:ascii="宋体" w:hAnsi="宋体" w:eastAsia="宋体" w:cs="宋体"/>
                <w:sz w:val="24"/>
                <w:szCs w:val="24"/>
                <w:lang w:val="en-US" w:eastAsia="zh-CN"/>
              </w:rPr>
              <w:t>375</w:t>
            </w:r>
            <w:r>
              <w:rPr>
                <w:rFonts w:ascii="宋体" w:hAnsi="宋体" w:eastAsia="宋体" w:cs="宋体"/>
                <w:sz w:val="24"/>
                <w:szCs w:val="24"/>
              </w:rPr>
              <w:t>g/t</w:t>
            </w:r>
            <w:r>
              <w:rPr>
                <w:rFonts w:hint="eastAsia" w:ascii="宋体" w:hAnsi="宋体" w:eastAsia="宋体" w:cs="宋体"/>
                <w:sz w:val="24"/>
                <w:szCs w:val="24"/>
                <w:lang w:val="en-US" w:eastAsia="zh-CN"/>
              </w:rPr>
              <w:t>-</w:t>
            </w:r>
            <w:r>
              <w:rPr>
                <w:rFonts w:ascii="宋体" w:hAnsi="宋体" w:eastAsia="宋体" w:cs="宋体"/>
                <w:sz w:val="24"/>
                <w:szCs w:val="24"/>
              </w:rPr>
              <w:t>原料</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则本项目破碎粉尘产生量为0.5445kg/a。</w:t>
            </w:r>
            <w:r>
              <w:rPr>
                <w:rStyle w:val="41"/>
                <w:rFonts w:hint="default" w:ascii="Times New Roman" w:hAnsi="Times New Roman" w:eastAsia="宋体" w:cs="Times New Roman"/>
                <w:color w:val="000000"/>
                <w:sz w:val="24"/>
                <w:szCs w:val="24"/>
                <w:lang w:val="en-US" w:eastAsia="zh-CN"/>
              </w:rPr>
              <w:t>项目</w:t>
            </w:r>
            <w:r>
              <w:rPr>
                <w:rStyle w:val="41"/>
                <w:rFonts w:hint="eastAsia" w:eastAsia="宋体" w:cs="Times New Roman"/>
                <w:color w:val="000000"/>
                <w:sz w:val="24"/>
                <w:szCs w:val="24"/>
                <w:lang w:val="en-US" w:eastAsia="zh-CN"/>
              </w:rPr>
              <w:t>边角料</w:t>
            </w:r>
            <w:r>
              <w:rPr>
                <w:rStyle w:val="41"/>
                <w:rFonts w:hint="default" w:ascii="Times New Roman" w:hAnsi="Times New Roman" w:eastAsia="宋体" w:cs="Times New Roman"/>
                <w:color w:val="000000"/>
                <w:sz w:val="24"/>
                <w:szCs w:val="24"/>
                <w:lang w:val="en-US" w:eastAsia="zh-CN"/>
              </w:rPr>
              <w:t>破碎工序全密闭产生量极微，对环境影响极小</w:t>
            </w:r>
            <w:r>
              <w:rPr>
                <w:rStyle w:val="41"/>
                <w:rFonts w:hint="eastAsia" w:eastAsia="宋体" w:cs="Times New Roman"/>
                <w:color w:val="000000"/>
                <w:sz w:val="24"/>
                <w:szCs w:val="24"/>
                <w:lang w:val="en-US" w:eastAsia="zh-CN"/>
              </w:rPr>
              <w:t>。</w:t>
            </w:r>
          </w:p>
          <w:p w14:paraId="6243EF0E">
            <w:pPr>
              <w:pStyle w:val="96"/>
              <w:numPr>
                <w:ilvl w:val="-1"/>
                <w:numId w:val="0"/>
              </w:numPr>
              <w:spacing w:before="1" w:line="364" w:lineRule="auto"/>
              <w:ind w:left="0" w:right="-29" w:firstLine="480" w:firstLineChars="200"/>
              <w:rPr>
                <w:rStyle w:val="41"/>
                <w:rFonts w:hint="default" w:eastAsia="宋体" w:cs="Times New Roman"/>
                <w:color w:val="000000"/>
                <w:sz w:val="24"/>
                <w:szCs w:val="24"/>
                <w:lang w:val="en-US" w:eastAsia="zh-CN"/>
              </w:rPr>
            </w:pPr>
            <w:r>
              <w:rPr>
                <w:rStyle w:val="41"/>
                <w:rFonts w:hint="default" w:eastAsia="宋体" w:cs="Times New Roman"/>
                <w:color w:val="000000"/>
                <w:sz w:val="24"/>
                <w:szCs w:val="24"/>
                <w:lang w:val="en-US" w:eastAsia="zh-CN"/>
              </w:rPr>
              <w:t>混</w:t>
            </w:r>
            <w:r>
              <w:rPr>
                <w:rStyle w:val="41"/>
                <w:rFonts w:hint="eastAsia" w:eastAsia="宋体" w:cs="Times New Roman"/>
                <w:color w:val="000000"/>
                <w:sz w:val="24"/>
                <w:szCs w:val="24"/>
                <w:lang w:val="en-US" w:eastAsia="zh-CN"/>
              </w:rPr>
              <w:t>合工序粉尘：</w:t>
            </w:r>
            <w:r>
              <w:rPr>
                <w:rStyle w:val="41"/>
                <w:rFonts w:hint="default" w:eastAsia="宋体" w:cs="Times New Roman"/>
                <w:color w:val="000000"/>
                <w:sz w:val="24"/>
                <w:lang w:val="en-US" w:eastAsia="zh-CN"/>
              </w:rPr>
              <w:t>颗粒物</w:t>
            </w:r>
            <w:r>
              <w:rPr>
                <w:rStyle w:val="41"/>
                <w:rFonts w:hint="eastAsia" w:eastAsia="宋体" w:cs="Times New Roman"/>
                <w:color w:val="000000"/>
                <w:sz w:val="24"/>
                <w:lang w:val="en-US" w:eastAsia="zh-CN"/>
              </w:rPr>
              <w:t>产生系数</w:t>
            </w:r>
            <w:r>
              <w:rPr>
                <w:rStyle w:val="41"/>
                <w:rFonts w:hint="default" w:eastAsia="宋体" w:cs="Times New Roman"/>
                <w:color w:val="000000"/>
                <w:sz w:val="24"/>
                <w:lang w:val="en-US" w:eastAsia="zh-CN"/>
              </w:rPr>
              <w:t>取</w:t>
            </w:r>
            <w:r>
              <w:rPr>
                <w:rStyle w:val="41"/>
                <w:rFonts w:hint="eastAsia" w:ascii="宋体" w:hAnsi="宋体" w:eastAsia="宋体" w:cs="宋体"/>
                <w:color w:val="000000"/>
                <w:sz w:val="24"/>
                <w:szCs w:val="24"/>
                <w:lang w:val="en-US" w:eastAsia="zh-CN"/>
              </w:rPr>
              <w:t>1.0</w:t>
            </w:r>
            <w:r>
              <w:rPr>
                <w:rStyle w:val="41"/>
                <w:rFonts w:ascii="宋体" w:hAnsi="宋体" w:eastAsia="宋体" w:cs="宋体"/>
                <w:color w:val="000000"/>
                <w:sz w:val="24"/>
                <w:szCs w:val="24"/>
              </w:rPr>
              <w:t>%（占投入粉料质量）</w:t>
            </w:r>
            <w:r>
              <w:rPr>
                <w:rStyle w:val="41"/>
                <w:rFonts w:hint="eastAsia" w:eastAsia="宋体" w:cs="Times New Roman"/>
                <w:color w:val="000000"/>
                <w:sz w:val="24"/>
                <w:szCs w:val="24"/>
                <w:lang w:eastAsia="zh-CN"/>
              </w:rPr>
              <w:t>，</w:t>
            </w:r>
            <w:r>
              <w:rPr>
                <w:rStyle w:val="41"/>
                <w:rFonts w:hint="eastAsia" w:eastAsia="宋体" w:cs="Times New Roman"/>
                <w:color w:val="000000"/>
                <w:sz w:val="24"/>
                <w:szCs w:val="24"/>
                <w:lang w:val="en-US" w:eastAsia="zh-CN"/>
              </w:rPr>
              <w:t>本项目</w:t>
            </w:r>
            <w:r>
              <w:rPr>
                <w:rFonts w:hint="eastAsia" w:ascii="宋体" w:hAnsi="宋体" w:eastAsia="宋体" w:cs="宋体"/>
                <w:sz w:val="24"/>
                <w:szCs w:val="24"/>
                <w:lang w:val="en-US" w:eastAsia="zh-CN"/>
              </w:rPr>
              <w:t>粉状原料为</w:t>
            </w:r>
            <w:r>
              <w:rPr>
                <w:rFonts w:hint="default" w:ascii="Times New Roman" w:hAnsi="Times New Roman" w:eastAsia="宋体" w:cs="Times New Roman"/>
                <w:color w:val="auto"/>
                <w:szCs w:val="21"/>
                <w:u w:val="none"/>
                <w:lang w:val="en-US" w:eastAsia="zh-CN"/>
              </w:rPr>
              <w:t>SBS粉</w:t>
            </w:r>
            <w:r>
              <w:rPr>
                <w:rFonts w:hint="eastAsia" w:eastAsia="宋体" w:cs="Times New Roman"/>
                <w:color w:val="auto"/>
                <w:szCs w:val="21"/>
                <w:u w:val="none"/>
                <w:lang w:val="en-US" w:eastAsia="zh-CN"/>
              </w:rPr>
              <w:t>、</w:t>
            </w:r>
            <w:r>
              <w:rPr>
                <w:rFonts w:hint="default" w:ascii="Times New Roman" w:hAnsi="Times New Roman" w:eastAsia="宋体" w:cs="Times New Roman"/>
                <w:color w:val="auto"/>
                <w:szCs w:val="21"/>
                <w:u w:val="none"/>
                <w:lang w:val="en-US" w:eastAsia="zh-CN"/>
              </w:rPr>
              <w:t>SEBS粉</w:t>
            </w:r>
            <w:r>
              <w:rPr>
                <w:rFonts w:hint="eastAsia" w:eastAsia="宋体" w:cs="Times New Roman"/>
                <w:color w:val="auto"/>
                <w:szCs w:val="21"/>
                <w:u w:val="none"/>
                <w:lang w:val="en-US" w:eastAsia="zh-CN"/>
              </w:rPr>
              <w:t>共30t</w:t>
            </w:r>
            <w:r>
              <w:rPr>
                <w:rStyle w:val="41"/>
                <w:rFonts w:hint="eastAsia" w:eastAsia="宋体" w:cs="Times New Roman"/>
                <w:color w:val="000000"/>
                <w:sz w:val="24"/>
                <w:szCs w:val="24"/>
                <w:lang w:val="en-US" w:eastAsia="zh-CN"/>
              </w:rPr>
              <w:t>，则本项目</w:t>
            </w:r>
            <w:r>
              <w:rPr>
                <w:rStyle w:val="41"/>
                <w:rFonts w:hint="default" w:eastAsia="宋体" w:cs="Times New Roman"/>
                <w:color w:val="000000"/>
                <w:sz w:val="24"/>
                <w:szCs w:val="24"/>
                <w:lang w:val="en-US" w:eastAsia="zh-CN"/>
              </w:rPr>
              <w:t>混</w:t>
            </w:r>
            <w:r>
              <w:rPr>
                <w:rStyle w:val="41"/>
                <w:rFonts w:hint="eastAsia" w:eastAsia="宋体" w:cs="Times New Roman"/>
                <w:color w:val="000000"/>
                <w:sz w:val="24"/>
                <w:szCs w:val="24"/>
                <w:lang w:val="en-US" w:eastAsia="zh-CN"/>
              </w:rPr>
              <w:t>合工序粉尘产生量为0.3t</w:t>
            </w:r>
            <w:r>
              <w:rPr>
                <w:rFonts w:hint="eastAsia" w:ascii="宋体" w:hAnsi="宋体" w:eastAsia="宋体" w:cs="宋体"/>
                <w:sz w:val="24"/>
                <w:szCs w:val="24"/>
                <w:lang w:val="en-US" w:eastAsia="zh-CN"/>
              </w:rPr>
              <w:t>/a。</w:t>
            </w:r>
          </w:p>
          <w:p w14:paraId="6F1F537D">
            <w:pPr>
              <w:pStyle w:val="96"/>
              <w:spacing w:before="1" w:line="364" w:lineRule="auto"/>
              <w:ind w:left="107" w:right="-29" w:firstLine="480"/>
              <w:rPr>
                <w:rStyle w:val="41"/>
                <w:rFonts w:hint="default" w:ascii="Times New Roman" w:hAnsi="Times New Roman" w:eastAsia="宋体" w:cs="Times New Roman"/>
                <w:color w:val="000000"/>
                <w:sz w:val="24"/>
                <w:szCs w:val="24"/>
                <w:lang w:val="en-US" w:eastAsia="zh-CN"/>
              </w:rPr>
            </w:pPr>
            <w:r>
              <w:rPr>
                <w:rStyle w:val="41"/>
                <w:rFonts w:hint="default" w:ascii="Times New Roman" w:hAnsi="Times New Roman" w:eastAsia="宋体" w:cs="Times New Roman"/>
                <w:color w:val="000000"/>
                <w:sz w:val="24"/>
                <w:szCs w:val="24"/>
                <w:lang w:val="en-US" w:eastAsia="zh-CN"/>
              </w:rPr>
              <w:t>项目</w:t>
            </w:r>
            <w:r>
              <w:rPr>
                <w:rStyle w:val="41"/>
                <w:rFonts w:hint="default" w:eastAsia="宋体" w:cs="Times New Roman"/>
                <w:color w:val="000000"/>
                <w:sz w:val="24"/>
                <w:szCs w:val="24"/>
                <w:lang w:val="en-US" w:eastAsia="zh-CN"/>
              </w:rPr>
              <w:t>混合</w:t>
            </w:r>
            <w:r>
              <w:rPr>
                <w:rStyle w:val="41"/>
                <w:rFonts w:hint="default" w:ascii="Times New Roman" w:hAnsi="Times New Roman" w:eastAsia="宋体" w:cs="Times New Roman"/>
                <w:color w:val="000000"/>
                <w:sz w:val="24"/>
                <w:szCs w:val="24"/>
                <w:lang w:val="en-US" w:eastAsia="zh-CN"/>
              </w:rPr>
              <w:t>、破碎工序均为密闭设备作业，无开放式投料、无高强度扬尘，粉尘无组织排放总量</w:t>
            </w:r>
            <w:r>
              <w:rPr>
                <w:rStyle w:val="41"/>
                <w:rFonts w:hint="eastAsia" w:eastAsia="宋体" w:cs="Times New Roman"/>
                <w:color w:val="000000"/>
                <w:sz w:val="24"/>
                <w:szCs w:val="24"/>
                <w:lang w:val="en-US" w:eastAsia="zh-CN"/>
              </w:rPr>
              <w:t>很小（0.3005t</w:t>
            </w:r>
            <w:r>
              <w:rPr>
                <w:rFonts w:hint="eastAsia" w:ascii="宋体" w:hAnsi="宋体" w:eastAsia="宋体" w:cs="宋体"/>
                <w:sz w:val="24"/>
                <w:szCs w:val="24"/>
                <w:lang w:val="en-US" w:eastAsia="zh-CN"/>
              </w:rPr>
              <w:t>/a</w:t>
            </w:r>
            <w:r>
              <w:rPr>
                <w:rStyle w:val="41"/>
                <w:rFonts w:hint="eastAsia" w:eastAsia="宋体" w:cs="Times New Roman"/>
                <w:color w:val="000000"/>
                <w:sz w:val="24"/>
                <w:szCs w:val="24"/>
                <w:lang w:val="en-US" w:eastAsia="zh-CN"/>
              </w:rPr>
              <w:t>）</w:t>
            </w:r>
            <w:r>
              <w:rPr>
                <w:rStyle w:val="41"/>
                <w:rFonts w:hint="default" w:ascii="Times New Roman" w:hAnsi="Times New Roman" w:eastAsia="宋体" w:cs="Times New Roman"/>
                <w:color w:val="000000"/>
                <w:sz w:val="24"/>
                <w:szCs w:val="24"/>
                <w:lang w:val="en-US" w:eastAsia="zh-CN"/>
              </w:rPr>
              <w:t>，经车间自然沉降、通风扩散后，厂界颗粒物可稳定满足标准限值。</w:t>
            </w:r>
          </w:p>
          <w:p w14:paraId="29779D3C">
            <w:pPr>
              <w:pStyle w:val="96"/>
              <w:spacing w:before="1" w:line="364" w:lineRule="auto"/>
              <w:ind w:left="107" w:right="-29" w:firstLine="480"/>
              <w:rPr>
                <w:rStyle w:val="41"/>
                <w:rFonts w:hint="default" w:ascii="Times New Roman" w:hAnsi="Times New Roman" w:eastAsia="宋体" w:cs="Times New Roman"/>
                <w:color w:val="000000"/>
                <w:sz w:val="24"/>
                <w:szCs w:val="24"/>
                <w:lang w:val="en-US" w:eastAsia="zh-CN"/>
              </w:rPr>
            </w:pPr>
            <w:r>
              <w:rPr>
                <w:rStyle w:val="41"/>
                <w:rFonts w:hint="default" w:ascii="Times New Roman" w:hAnsi="Times New Roman" w:eastAsia="宋体" w:cs="Times New Roman"/>
                <w:color w:val="000000"/>
                <w:sz w:val="24"/>
                <w:szCs w:val="24"/>
                <w:lang w:val="en-US" w:eastAsia="zh-CN"/>
              </w:rPr>
              <w:t>项目注塑工位配套专用集气罩、车间维持微负压，有机废气收集效率80%，剩余20%未收集废气以无组织排放；收集后的有机废气经二级活性炭吸附处理，综合去除效率27.75%。</w:t>
            </w:r>
            <w:r>
              <w:rPr>
                <w:rStyle w:val="41"/>
                <w:rFonts w:hint="default" w:eastAsia="宋体" w:cs="Times New Roman"/>
                <w:color w:val="000000"/>
                <w:sz w:val="24"/>
                <w:szCs w:val="24"/>
                <w:lang w:val="en-US" w:eastAsia="zh-CN"/>
              </w:rPr>
              <w:t>混合</w:t>
            </w:r>
            <w:r>
              <w:rPr>
                <w:rStyle w:val="41"/>
                <w:rFonts w:hint="default" w:ascii="Times New Roman" w:hAnsi="Times New Roman" w:eastAsia="宋体" w:cs="Times New Roman"/>
                <w:color w:val="000000"/>
                <w:sz w:val="24"/>
                <w:szCs w:val="24"/>
                <w:lang w:val="en-US" w:eastAsia="zh-CN"/>
              </w:rPr>
              <w:t>、边角料破碎设备全程密闭，无配套集气设施，粉尘全部以无组织微量排放，依靠车间密闭、自然通风抑制扩散。</w:t>
            </w:r>
          </w:p>
          <w:p w14:paraId="2A807126">
            <w:pPr>
              <w:jc w:val="center"/>
              <w:outlineLvl w:val="0"/>
              <w:rPr>
                <w:rFonts w:hint="default" w:ascii="Times New Roman" w:hAnsi="Times New Roman" w:eastAsia="宋体" w:cs="Times New Roman"/>
                <w:b/>
                <w:color w:val="auto"/>
                <w:szCs w:val="21"/>
                <w:u w:val="none"/>
                <w:lang w:val="en-US" w:eastAsia="zh-CN"/>
              </w:rPr>
            </w:pPr>
            <w:r>
              <w:rPr>
                <w:rFonts w:hint="default" w:ascii="Times New Roman" w:hAnsi="Times New Roman" w:eastAsia="宋体" w:cs="Times New Roman"/>
                <w:b/>
                <w:color w:val="auto"/>
                <w:szCs w:val="21"/>
                <w:u w:val="none"/>
                <w:lang w:val="en-US" w:eastAsia="zh-CN"/>
              </w:rPr>
              <w:t xml:space="preserve">表4-2 </w:t>
            </w:r>
            <w:r>
              <w:rPr>
                <w:rFonts w:hint="default" w:ascii="Times New Roman" w:hAnsi="Times New Roman" w:cs="Times New Roman"/>
                <w:b/>
                <w:color w:val="auto"/>
                <w:szCs w:val="21"/>
                <w:u w:val="none"/>
                <w:lang w:val="en-US" w:eastAsia="zh-CN"/>
              </w:rPr>
              <w:t xml:space="preserve"> </w:t>
            </w:r>
            <w:r>
              <w:rPr>
                <w:rFonts w:hint="default" w:ascii="Times New Roman" w:hAnsi="Times New Roman" w:eastAsia="宋体" w:cs="Times New Roman"/>
                <w:b/>
                <w:color w:val="auto"/>
                <w:szCs w:val="21"/>
                <w:u w:val="none"/>
                <w:lang w:val="en-US" w:eastAsia="zh-CN"/>
              </w:rPr>
              <w:t>注塑废气产排污明细一览表</w:t>
            </w:r>
          </w:p>
          <w:tbl>
            <w:tblPr>
              <w:tblStyle w:val="39"/>
              <w:tblW w:w="81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1207"/>
              <w:gridCol w:w="888"/>
              <w:gridCol w:w="1100"/>
              <w:gridCol w:w="962"/>
              <w:gridCol w:w="947"/>
              <w:gridCol w:w="903"/>
              <w:gridCol w:w="1139"/>
            </w:tblGrid>
            <w:tr w14:paraId="0C09A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20" w:type="dxa"/>
                  <w:shd w:val="clear" w:color="auto" w:fill="auto"/>
                  <w:vAlign w:val="center"/>
                </w:tcPr>
                <w:p w14:paraId="239A5714">
                  <w:pPr>
                    <w:pStyle w:val="48"/>
                    <w:jc w:val="center"/>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eastAsia="宋体" w:cs="Times New Roman"/>
                      <w:color w:val="auto"/>
                      <w:sz w:val="21"/>
                      <w:szCs w:val="21"/>
                      <w:u w:val="none"/>
                      <w:lang w:val="en-US" w:eastAsia="zh-CN"/>
                    </w:rPr>
                    <w:t>污染源</w:t>
                  </w:r>
                </w:p>
              </w:tc>
              <w:tc>
                <w:tcPr>
                  <w:tcW w:w="1207" w:type="dxa"/>
                  <w:shd w:val="clear" w:color="auto" w:fill="auto"/>
                  <w:vAlign w:val="center"/>
                </w:tcPr>
                <w:p w14:paraId="51CEAB96">
                  <w:pPr>
                    <w:pStyle w:val="48"/>
                    <w:jc w:val="center"/>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eastAsia="宋体" w:cs="Times New Roman"/>
                      <w:color w:val="auto"/>
                      <w:sz w:val="21"/>
                      <w:szCs w:val="21"/>
                      <w:u w:val="none"/>
                      <w:lang w:val="en-US" w:eastAsia="zh-CN"/>
                    </w:rPr>
                    <w:t>污染物</w:t>
                  </w:r>
                </w:p>
              </w:tc>
              <w:tc>
                <w:tcPr>
                  <w:tcW w:w="888" w:type="dxa"/>
                  <w:shd w:val="clear" w:color="auto" w:fill="auto"/>
                  <w:vAlign w:val="center"/>
                </w:tcPr>
                <w:p w14:paraId="64AE4554">
                  <w:pPr>
                    <w:pStyle w:val="48"/>
                    <w:jc w:val="center"/>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eastAsia="宋体" w:cs="Times New Roman"/>
                      <w:color w:val="auto"/>
                      <w:sz w:val="21"/>
                      <w:szCs w:val="21"/>
                      <w:u w:val="none"/>
                      <w:lang w:val="en-US" w:eastAsia="zh-CN"/>
                    </w:rPr>
                    <w:t>产生量（t/a）</w:t>
                  </w:r>
                </w:p>
              </w:tc>
              <w:tc>
                <w:tcPr>
                  <w:tcW w:w="1100" w:type="dxa"/>
                  <w:shd w:val="clear" w:color="auto" w:fill="auto"/>
                  <w:vAlign w:val="center"/>
                </w:tcPr>
                <w:p w14:paraId="31AFB192">
                  <w:pPr>
                    <w:pStyle w:val="48"/>
                    <w:jc w:val="center"/>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eastAsia="宋体" w:cs="Times New Roman"/>
                      <w:color w:val="auto"/>
                      <w:sz w:val="21"/>
                      <w:szCs w:val="21"/>
                      <w:u w:val="none"/>
                      <w:lang w:val="en-US" w:eastAsia="zh-CN"/>
                    </w:rPr>
                    <w:t>产生浓度（mg/m³）</w:t>
                  </w:r>
                </w:p>
              </w:tc>
              <w:tc>
                <w:tcPr>
                  <w:tcW w:w="962" w:type="dxa"/>
                  <w:shd w:val="clear" w:color="auto" w:fill="auto"/>
                  <w:vAlign w:val="center"/>
                </w:tcPr>
                <w:p w14:paraId="6087638C">
                  <w:pPr>
                    <w:pStyle w:val="48"/>
                    <w:jc w:val="center"/>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eastAsia="宋体" w:cs="Times New Roman"/>
                      <w:color w:val="auto"/>
                      <w:sz w:val="21"/>
                      <w:szCs w:val="21"/>
                      <w:u w:val="none"/>
                      <w:lang w:val="en-US" w:eastAsia="zh-CN"/>
                    </w:rPr>
                    <w:t>排放量（t/a）</w:t>
                  </w:r>
                </w:p>
              </w:tc>
              <w:tc>
                <w:tcPr>
                  <w:tcW w:w="947" w:type="dxa"/>
                  <w:shd w:val="clear" w:color="auto" w:fill="auto"/>
                  <w:vAlign w:val="center"/>
                </w:tcPr>
                <w:p w14:paraId="3BB6E8FE">
                  <w:pPr>
                    <w:pStyle w:val="48"/>
                    <w:jc w:val="center"/>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eastAsia="宋体" w:cs="Times New Roman"/>
                      <w:color w:val="auto"/>
                      <w:sz w:val="21"/>
                      <w:szCs w:val="21"/>
                      <w:u w:val="none"/>
                      <w:lang w:val="en-US" w:eastAsia="zh-CN"/>
                    </w:rPr>
                    <w:t>排放浓度（mg/m³）</w:t>
                  </w:r>
                </w:p>
              </w:tc>
              <w:tc>
                <w:tcPr>
                  <w:tcW w:w="903" w:type="dxa"/>
                  <w:shd w:val="clear" w:color="auto" w:fill="auto"/>
                  <w:vAlign w:val="center"/>
                </w:tcPr>
                <w:p w14:paraId="17EA7463">
                  <w:pPr>
                    <w:pStyle w:val="48"/>
                    <w:jc w:val="center"/>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eastAsia="宋体" w:cs="Times New Roman"/>
                      <w:color w:val="auto"/>
                      <w:sz w:val="21"/>
                      <w:szCs w:val="21"/>
                      <w:u w:val="none"/>
                      <w:lang w:val="en-US" w:eastAsia="zh-CN"/>
                    </w:rPr>
                    <w:t>排放速率（kg/h）</w:t>
                  </w:r>
                </w:p>
              </w:tc>
              <w:tc>
                <w:tcPr>
                  <w:tcW w:w="1139" w:type="dxa"/>
                  <w:shd w:val="clear" w:color="auto" w:fill="auto"/>
                  <w:vAlign w:val="center"/>
                </w:tcPr>
                <w:p w14:paraId="39A2F189">
                  <w:pPr>
                    <w:pStyle w:val="48"/>
                    <w:jc w:val="center"/>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eastAsia="宋体" w:cs="Times New Roman"/>
                      <w:color w:val="auto"/>
                      <w:sz w:val="21"/>
                      <w:szCs w:val="21"/>
                      <w:u w:val="none"/>
                      <w:lang w:val="en-US" w:eastAsia="zh-CN"/>
                    </w:rPr>
                    <w:t>标准限值（mg/m³）</w:t>
                  </w:r>
                </w:p>
              </w:tc>
            </w:tr>
            <w:tr w14:paraId="52C2A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shd w:val="clear" w:color="auto" w:fill="auto"/>
                  <w:vAlign w:val="center"/>
                </w:tcPr>
                <w:p w14:paraId="1FAA0720">
                  <w:pPr>
                    <w:pStyle w:val="48"/>
                    <w:jc w:val="center"/>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eastAsia="宋体" w:cs="Times New Roman"/>
                      <w:color w:val="auto"/>
                      <w:sz w:val="21"/>
                      <w:szCs w:val="21"/>
                      <w:u w:val="none"/>
                      <w:lang w:val="en-US" w:eastAsia="zh-CN"/>
                    </w:rPr>
                    <w:t>注塑有组织废气</w:t>
                  </w:r>
                </w:p>
              </w:tc>
              <w:tc>
                <w:tcPr>
                  <w:tcW w:w="1207" w:type="dxa"/>
                  <w:shd w:val="clear" w:color="auto" w:fill="auto"/>
                  <w:vAlign w:val="center"/>
                </w:tcPr>
                <w:p w14:paraId="23F979D0">
                  <w:pPr>
                    <w:pStyle w:val="48"/>
                    <w:jc w:val="center"/>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eastAsia="宋体" w:cs="Times New Roman"/>
                      <w:color w:val="auto"/>
                      <w:sz w:val="21"/>
                      <w:szCs w:val="21"/>
                      <w:u w:val="none"/>
                      <w:lang w:val="en-US" w:eastAsia="zh-CN"/>
                    </w:rPr>
                    <w:t>非甲烷总烃</w:t>
                  </w:r>
                </w:p>
              </w:tc>
              <w:tc>
                <w:tcPr>
                  <w:tcW w:w="888" w:type="dxa"/>
                  <w:shd w:val="clear" w:color="auto" w:fill="auto"/>
                  <w:vAlign w:val="center"/>
                </w:tcPr>
                <w:p w14:paraId="0DD7E792">
                  <w:pPr>
                    <w:pStyle w:val="48"/>
                    <w:jc w:val="center"/>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cs="Times New Roman"/>
                      <w:color w:val="auto"/>
                      <w:sz w:val="21"/>
                      <w:szCs w:val="21"/>
                      <w:u w:val="none"/>
                      <w:lang w:val="en-US" w:eastAsia="zh-CN"/>
                    </w:rPr>
                    <w:t>0.1936</w:t>
                  </w:r>
                </w:p>
              </w:tc>
              <w:tc>
                <w:tcPr>
                  <w:tcW w:w="1100" w:type="dxa"/>
                  <w:shd w:val="clear" w:color="auto" w:fill="auto"/>
                  <w:vAlign w:val="center"/>
                </w:tcPr>
                <w:p w14:paraId="4996C829">
                  <w:pPr>
                    <w:pStyle w:val="48"/>
                    <w:jc w:val="center"/>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cs="Times New Roman"/>
                      <w:color w:val="auto"/>
                      <w:sz w:val="21"/>
                      <w:szCs w:val="21"/>
                      <w:u w:val="none"/>
                      <w:lang w:val="en-US" w:eastAsia="zh-CN"/>
                    </w:rPr>
                    <w:t>16.11</w:t>
                  </w:r>
                </w:p>
              </w:tc>
              <w:tc>
                <w:tcPr>
                  <w:tcW w:w="962" w:type="dxa"/>
                  <w:shd w:val="clear" w:color="auto" w:fill="auto"/>
                  <w:vAlign w:val="center"/>
                </w:tcPr>
                <w:p w14:paraId="657C0C57">
                  <w:pPr>
                    <w:pStyle w:val="48"/>
                    <w:jc w:val="center"/>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cs="Times New Roman"/>
                      <w:color w:val="auto"/>
                      <w:sz w:val="21"/>
                      <w:szCs w:val="21"/>
                      <w:u w:val="none"/>
                      <w:lang w:val="en-US" w:eastAsia="zh-CN"/>
                    </w:rPr>
                    <w:t>0.1397</w:t>
                  </w:r>
                </w:p>
              </w:tc>
              <w:tc>
                <w:tcPr>
                  <w:tcW w:w="947" w:type="dxa"/>
                  <w:shd w:val="clear" w:color="auto" w:fill="auto"/>
                  <w:vAlign w:val="center"/>
                </w:tcPr>
                <w:p w14:paraId="79F11A7D">
                  <w:pPr>
                    <w:pStyle w:val="48"/>
                    <w:jc w:val="center"/>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cs="Times New Roman"/>
                      <w:color w:val="auto"/>
                      <w:sz w:val="21"/>
                      <w:szCs w:val="21"/>
                      <w:u w:val="none"/>
                      <w:lang w:val="en-US" w:eastAsia="zh-CN"/>
                    </w:rPr>
                    <w:t>11.64</w:t>
                  </w:r>
                </w:p>
              </w:tc>
              <w:tc>
                <w:tcPr>
                  <w:tcW w:w="903" w:type="dxa"/>
                  <w:shd w:val="clear" w:color="auto" w:fill="auto"/>
                  <w:vAlign w:val="center"/>
                </w:tcPr>
                <w:p w14:paraId="5E64188F">
                  <w:pPr>
                    <w:pStyle w:val="48"/>
                    <w:jc w:val="center"/>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cs="Times New Roman"/>
                      <w:color w:val="auto"/>
                      <w:sz w:val="21"/>
                      <w:szCs w:val="21"/>
                      <w:u w:val="none"/>
                      <w:lang w:val="en-US" w:eastAsia="zh-CN"/>
                    </w:rPr>
                    <w:t>0.052</w:t>
                  </w:r>
                </w:p>
              </w:tc>
              <w:tc>
                <w:tcPr>
                  <w:tcW w:w="1139" w:type="dxa"/>
                  <w:shd w:val="clear" w:color="auto" w:fill="auto"/>
                  <w:vAlign w:val="center"/>
                </w:tcPr>
                <w:p w14:paraId="713EC21D">
                  <w:pPr>
                    <w:pStyle w:val="48"/>
                    <w:jc w:val="center"/>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eastAsia="宋体" w:cs="Times New Roman"/>
                      <w:color w:val="auto"/>
                      <w:sz w:val="21"/>
                      <w:szCs w:val="21"/>
                      <w:u w:val="none"/>
                      <w:lang w:val="en-US" w:eastAsia="zh-CN"/>
                    </w:rPr>
                    <w:t>100</w:t>
                  </w:r>
                </w:p>
              </w:tc>
            </w:tr>
            <w:tr w14:paraId="79266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shd w:val="clear" w:color="auto" w:fill="auto"/>
                  <w:vAlign w:val="center"/>
                </w:tcPr>
                <w:p w14:paraId="35463833">
                  <w:pPr>
                    <w:pStyle w:val="48"/>
                    <w:jc w:val="center"/>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eastAsia="宋体" w:cs="Times New Roman"/>
                      <w:color w:val="auto"/>
                      <w:sz w:val="21"/>
                      <w:szCs w:val="21"/>
                      <w:u w:val="none"/>
                      <w:lang w:val="en-US" w:eastAsia="zh-CN"/>
                    </w:rPr>
                    <w:t>注塑无组织废气</w:t>
                  </w:r>
                </w:p>
              </w:tc>
              <w:tc>
                <w:tcPr>
                  <w:tcW w:w="1207" w:type="dxa"/>
                  <w:shd w:val="clear" w:color="auto" w:fill="auto"/>
                  <w:vAlign w:val="center"/>
                </w:tcPr>
                <w:p w14:paraId="08F068B6">
                  <w:pPr>
                    <w:pStyle w:val="48"/>
                    <w:jc w:val="center"/>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eastAsia="宋体" w:cs="Times New Roman"/>
                      <w:color w:val="auto"/>
                      <w:sz w:val="21"/>
                      <w:szCs w:val="21"/>
                      <w:u w:val="none"/>
                      <w:lang w:val="en-US" w:eastAsia="zh-CN"/>
                    </w:rPr>
                    <w:t>非甲烷总烃</w:t>
                  </w:r>
                </w:p>
              </w:tc>
              <w:tc>
                <w:tcPr>
                  <w:tcW w:w="888" w:type="dxa"/>
                  <w:shd w:val="clear" w:color="auto" w:fill="auto"/>
                  <w:vAlign w:val="center"/>
                </w:tcPr>
                <w:p w14:paraId="671CC46E">
                  <w:pPr>
                    <w:pStyle w:val="48"/>
                    <w:jc w:val="center"/>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cs="Times New Roman"/>
                      <w:color w:val="auto"/>
                      <w:sz w:val="21"/>
                      <w:szCs w:val="21"/>
                      <w:u w:val="none"/>
                      <w:lang w:val="en-US" w:eastAsia="zh-CN"/>
                    </w:rPr>
                    <w:t>0.0484</w:t>
                  </w:r>
                </w:p>
              </w:tc>
              <w:tc>
                <w:tcPr>
                  <w:tcW w:w="1100" w:type="dxa"/>
                  <w:shd w:val="clear" w:color="auto" w:fill="auto"/>
                  <w:vAlign w:val="center"/>
                </w:tcPr>
                <w:p w14:paraId="199F7813">
                  <w:pPr>
                    <w:pStyle w:val="48"/>
                    <w:jc w:val="center"/>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eastAsia="宋体" w:cs="Times New Roman"/>
                      <w:color w:val="auto"/>
                      <w:sz w:val="21"/>
                      <w:szCs w:val="21"/>
                      <w:u w:val="none"/>
                      <w:lang w:val="en-US" w:eastAsia="zh-CN"/>
                    </w:rPr>
                    <w:t>/</w:t>
                  </w:r>
                </w:p>
              </w:tc>
              <w:tc>
                <w:tcPr>
                  <w:tcW w:w="962" w:type="dxa"/>
                  <w:shd w:val="clear" w:color="auto" w:fill="auto"/>
                  <w:vAlign w:val="center"/>
                </w:tcPr>
                <w:p w14:paraId="7C2D4018">
                  <w:pPr>
                    <w:pStyle w:val="48"/>
                    <w:jc w:val="center"/>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cs="Times New Roman"/>
                      <w:color w:val="auto"/>
                      <w:sz w:val="21"/>
                      <w:szCs w:val="21"/>
                      <w:u w:val="none"/>
                      <w:lang w:val="en-US" w:eastAsia="zh-CN"/>
                    </w:rPr>
                    <w:t>0.0484</w:t>
                  </w:r>
                </w:p>
              </w:tc>
              <w:tc>
                <w:tcPr>
                  <w:tcW w:w="947" w:type="dxa"/>
                  <w:shd w:val="clear" w:color="auto" w:fill="auto"/>
                  <w:vAlign w:val="center"/>
                </w:tcPr>
                <w:p w14:paraId="1882373C">
                  <w:pPr>
                    <w:pStyle w:val="48"/>
                    <w:jc w:val="center"/>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eastAsia="宋体" w:cs="Times New Roman"/>
                      <w:color w:val="auto"/>
                      <w:sz w:val="21"/>
                      <w:szCs w:val="21"/>
                      <w:u w:val="none"/>
                      <w:lang w:val="en-US" w:eastAsia="zh-CN"/>
                    </w:rPr>
                    <w:t>/</w:t>
                  </w:r>
                </w:p>
              </w:tc>
              <w:tc>
                <w:tcPr>
                  <w:tcW w:w="903" w:type="dxa"/>
                  <w:shd w:val="clear" w:color="auto" w:fill="auto"/>
                  <w:vAlign w:val="center"/>
                </w:tcPr>
                <w:p w14:paraId="04CE23A1">
                  <w:pPr>
                    <w:pStyle w:val="48"/>
                    <w:jc w:val="center"/>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eastAsia="宋体" w:cs="Times New Roman"/>
                      <w:color w:val="auto"/>
                      <w:sz w:val="21"/>
                      <w:szCs w:val="21"/>
                      <w:u w:val="none"/>
                      <w:lang w:val="en-US" w:eastAsia="zh-CN"/>
                    </w:rPr>
                    <w:t>0.0</w:t>
                  </w:r>
                  <w:r>
                    <w:rPr>
                      <w:rFonts w:hint="default" w:ascii="Times New Roman" w:hAnsi="Times New Roman" w:cs="Times New Roman"/>
                      <w:color w:val="auto"/>
                      <w:sz w:val="21"/>
                      <w:szCs w:val="21"/>
                      <w:u w:val="none"/>
                      <w:lang w:val="en-US" w:eastAsia="zh-CN"/>
                    </w:rPr>
                    <w:t>202</w:t>
                  </w:r>
                </w:p>
              </w:tc>
              <w:tc>
                <w:tcPr>
                  <w:tcW w:w="1139" w:type="dxa"/>
                  <w:shd w:val="clear" w:color="auto" w:fill="auto"/>
                  <w:vAlign w:val="center"/>
                </w:tcPr>
                <w:p w14:paraId="5C768C10">
                  <w:pPr>
                    <w:pStyle w:val="48"/>
                    <w:jc w:val="center"/>
                    <w:rPr>
                      <w:rFonts w:hint="default" w:ascii="Times New Roman" w:hAnsi="Times New Roman" w:eastAsia="宋体" w:cs="Times New Roman"/>
                      <w:color w:val="auto"/>
                      <w:kern w:val="2"/>
                      <w:sz w:val="21"/>
                      <w:szCs w:val="21"/>
                      <w:u w:val="none"/>
                      <w:lang w:val="en-US" w:eastAsia="zh-CN" w:bidi="ar-SA"/>
                    </w:rPr>
                  </w:pPr>
                  <w:r>
                    <w:rPr>
                      <w:rFonts w:hint="default" w:ascii="Times New Roman" w:hAnsi="Times New Roman" w:eastAsia="宋体" w:cs="Times New Roman"/>
                      <w:color w:val="auto"/>
                      <w:sz w:val="21"/>
                      <w:szCs w:val="21"/>
                      <w:u w:val="none"/>
                      <w:lang w:val="en-US" w:eastAsia="zh-CN"/>
                    </w:rPr>
                    <w:t>4.0</w:t>
                  </w:r>
                </w:p>
              </w:tc>
            </w:tr>
          </w:tbl>
          <w:p w14:paraId="1FEFC60D">
            <w:pPr>
              <w:pStyle w:val="96"/>
              <w:spacing w:before="1" w:line="364" w:lineRule="auto"/>
              <w:ind w:left="107" w:right="-29" w:firstLine="480"/>
              <w:rPr>
                <w:rStyle w:val="41"/>
                <w:rFonts w:hint="default" w:ascii="Times New Roman" w:hAnsi="Times New Roman" w:eastAsia="宋体" w:cs="Times New Roman"/>
                <w:color w:val="000000"/>
                <w:sz w:val="24"/>
                <w:szCs w:val="24"/>
              </w:rPr>
            </w:pPr>
            <w:r>
              <w:rPr>
                <w:rStyle w:val="41"/>
                <w:rFonts w:hint="default" w:ascii="Times New Roman" w:hAnsi="Times New Roman" w:eastAsia="宋体" w:cs="Times New Roman"/>
                <w:color w:val="000000"/>
                <w:sz w:val="24"/>
                <w:szCs w:val="24"/>
                <w:lang w:val="en-US" w:eastAsia="zh-CN"/>
              </w:rPr>
              <w:t>达标判定：项目有组织非甲烷总烃排放浓度11.64mg/m³，满足</w:t>
            </w:r>
            <w:r>
              <w:rPr>
                <w:rStyle w:val="41"/>
                <w:rFonts w:hint="default" w:ascii="Times New Roman" w:hAnsi="Times New Roman" w:eastAsia="宋体" w:cs="Times New Roman"/>
                <w:color w:val="000000"/>
                <w:sz w:val="24"/>
                <w:szCs w:val="24"/>
              </w:rPr>
              <w:t>《合成树脂工业污染物排放标准》（GB31572-2015</w:t>
            </w:r>
            <w:r>
              <w:rPr>
                <w:rFonts w:hint="default" w:eastAsia="宋体" w:cs="Times New Roman"/>
                <w:color w:val="auto"/>
                <w:sz w:val="24"/>
                <w:u w:val="none"/>
                <w:lang w:val="en-US" w:eastAsia="zh-CN"/>
              </w:rPr>
              <w:t>含2024年修改单</w:t>
            </w:r>
            <w:r>
              <w:rPr>
                <w:rStyle w:val="41"/>
                <w:rFonts w:hint="default" w:ascii="Times New Roman" w:hAnsi="Times New Roman" w:eastAsia="宋体" w:cs="Times New Roman"/>
                <w:color w:val="000000"/>
                <w:sz w:val="24"/>
                <w:szCs w:val="24"/>
              </w:rPr>
              <w:t>）表4大气污染物排放限值</w:t>
            </w:r>
            <w:r>
              <w:rPr>
                <w:rStyle w:val="41"/>
                <w:rFonts w:hint="default" w:ascii="Times New Roman" w:hAnsi="Times New Roman" w:eastAsia="宋体" w:cs="Times New Roman"/>
                <w:color w:val="000000"/>
                <w:sz w:val="24"/>
                <w:szCs w:val="24"/>
                <w:lang w:val="en-US" w:eastAsia="zh-CN"/>
              </w:rPr>
              <w:t>（1</w:t>
            </w:r>
            <w:r>
              <w:rPr>
                <w:rStyle w:val="41"/>
                <w:rFonts w:hint="default" w:eastAsia="宋体" w:cs="Times New Roman"/>
                <w:color w:val="000000"/>
                <w:sz w:val="24"/>
                <w:szCs w:val="24"/>
                <w:lang w:val="en-US" w:eastAsia="zh-CN"/>
              </w:rPr>
              <w:t>0</w:t>
            </w:r>
            <w:r>
              <w:rPr>
                <w:rStyle w:val="41"/>
                <w:rFonts w:hint="default" w:ascii="Times New Roman" w:hAnsi="Times New Roman" w:eastAsia="宋体" w:cs="Times New Roman"/>
                <w:color w:val="000000"/>
                <w:sz w:val="24"/>
                <w:szCs w:val="24"/>
                <w:lang w:val="en-US" w:eastAsia="zh-CN"/>
              </w:rPr>
              <w:t>0mg/m³）；厂界无组织非甲烷总烃、颗粒物分别满足GB31572-2015表9无组织限值（4.0mg/m³、1.0mg/m³），项目废气均可达标排放。</w:t>
            </w:r>
          </w:p>
          <w:p w14:paraId="5DD76E03">
            <w:pPr>
              <w:spacing w:line="360" w:lineRule="auto"/>
              <w:ind w:firstLine="482" w:firstLineChars="200"/>
              <w:textAlignment w:val="baseline"/>
              <w:rPr>
                <w:rFonts w:hint="default" w:ascii="Times New Roman" w:hAnsi="Times New Roman" w:cs="Times New Roman"/>
                <w:b/>
                <w:bCs/>
                <w:color w:val="auto"/>
                <w:sz w:val="24"/>
                <w:u w:val="none"/>
                <w:lang w:val="en-US" w:eastAsia="zh-CN"/>
              </w:rPr>
            </w:pPr>
            <w:r>
              <w:rPr>
                <w:rFonts w:hint="default" w:ascii="Times New Roman" w:hAnsi="Times New Roman" w:cs="Times New Roman"/>
                <w:b/>
                <w:bCs/>
                <w:color w:val="auto"/>
                <w:sz w:val="24"/>
                <w:u w:val="none"/>
                <w:lang w:val="en-US" w:eastAsia="zh-CN"/>
              </w:rPr>
              <w:t>3、废气治理措施可行性分析</w:t>
            </w:r>
          </w:p>
          <w:p w14:paraId="49BB9DAA">
            <w:pPr>
              <w:pStyle w:val="96"/>
              <w:spacing w:before="1" w:line="364" w:lineRule="auto"/>
              <w:ind w:left="107" w:right="-29" w:firstLine="480"/>
              <w:rPr>
                <w:rStyle w:val="41"/>
                <w:rFonts w:hint="default" w:ascii="Times New Roman" w:hAnsi="Times New Roman" w:eastAsia="宋体" w:cs="Times New Roman"/>
                <w:color w:val="000000"/>
                <w:sz w:val="24"/>
                <w:szCs w:val="24"/>
              </w:rPr>
            </w:pPr>
            <w:r>
              <w:rPr>
                <w:rStyle w:val="41"/>
                <w:rFonts w:hint="default" w:ascii="Times New Roman" w:hAnsi="Times New Roman" w:eastAsia="宋体" w:cs="Times New Roman"/>
                <w:color w:val="000000"/>
                <w:sz w:val="24"/>
                <w:szCs w:val="24"/>
              </w:rPr>
              <w:t>1</w:t>
            </w:r>
            <w:r>
              <w:rPr>
                <w:rStyle w:val="41"/>
                <w:rFonts w:hint="default" w:ascii="Times New Roman" w:hAnsi="Times New Roman" w:eastAsia="宋体" w:cs="Times New Roman"/>
                <w:color w:val="000000"/>
                <w:sz w:val="24"/>
                <w:szCs w:val="24"/>
                <w:lang w:eastAsia="zh-CN"/>
              </w:rPr>
              <w:t>）</w:t>
            </w:r>
            <w:r>
              <w:rPr>
                <w:rStyle w:val="41"/>
                <w:rFonts w:hint="default" w:ascii="Times New Roman" w:hAnsi="Times New Roman" w:eastAsia="宋体" w:cs="Times New Roman"/>
                <w:color w:val="000000"/>
                <w:sz w:val="24"/>
                <w:szCs w:val="24"/>
              </w:rPr>
              <w:t>治理参数取值合规依据分析</w:t>
            </w:r>
          </w:p>
          <w:p w14:paraId="6F1DD457">
            <w:pPr>
              <w:pStyle w:val="96"/>
              <w:spacing w:before="1" w:line="364" w:lineRule="auto"/>
              <w:ind w:left="107" w:right="-29" w:firstLine="480"/>
              <w:rPr>
                <w:rStyle w:val="41"/>
                <w:rFonts w:hint="default" w:ascii="Times New Roman" w:hAnsi="Times New Roman" w:eastAsia="宋体" w:cs="Times New Roman"/>
                <w:color w:val="000000"/>
                <w:sz w:val="24"/>
                <w:szCs w:val="24"/>
              </w:rPr>
            </w:pPr>
            <w:r>
              <w:rPr>
                <w:rStyle w:val="41"/>
                <w:rFonts w:hint="default" w:ascii="Times New Roman" w:hAnsi="Times New Roman" w:eastAsia="宋体" w:cs="Times New Roman"/>
                <w:color w:val="000000"/>
                <w:sz w:val="24"/>
                <w:szCs w:val="24"/>
                <w:lang w:val="en-US" w:eastAsia="zh-CN"/>
              </w:rPr>
              <w:t>本项目废气为塑胶熔融低浓度</w:t>
            </w:r>
            <w:r>
              <w:rPr>
                <w:rStyle w:val="41"/>
                <w:rFonts w:hint="default" w:eastAsia="宋体" w:cs="Times New Roman"/>
                <w:color w:val="000000"/>
                <w:sz w:val="24"/>
                <w:szCs w:val="24"/>
                <w:lang w:val="en-US" w:eastAsia="zh-CN"/>
              </w:rPr>
              <w:t>非甲烷总烃</w:t>
            </w:r>
            <w:r>
              <w:rPr>
                <w:rStyle w:val="41"/>
                <w:rFonts w:hint="default" w:ascii="Times New Roman" w:hAnsi="Times New Roman" w:eastAsia="宋体" w:cs="Times New Roman"/>
                <w:color w:val="000000"/>
                <w:sz w:val="24"/>
                <w:szCs w:val="24"/>
                <w:lang w:val="en-US" w:eastAsia="zh-CN"/>
              </w:rPr>
              <w:t>及密闭工序微量无组织粉尘，无高温、高浓度废气，采用工位集气罩收集+二级活性炭吸附治理工艺，适配性极强。（1）集气效率：</w:t>
            </w:r>
            <w:r>
              <w:rPr>
                <w:rFonts w:ascii="Times New Roman" w:hAnsi="Times New Roman" w:eastAsia="宋体" w:cs="Times New Roman"/>
                <w:sz w:val="24"/>
                <w:szCs w:val="24"/>
              </w:rPr>
              <w:t>参照《主要污染物总量减排核算技术指南》（2022 年修订）选取：注塑工位上方设置专用</w:t>
            </w:r>
            <w:r>
              <w:rPr>
                <w:rFonts w:hint="default" w:ascii="Times New Roman" w:hAnsi="Times New Roman" w:eastAsia="宋体" w:cs="Times New Roman"/>
                <w:sz w:val="24"/>
                <w:szCs w:val="24"/>
                <w:lang w:val="en-US" w:eastAsia="zh-CN"/>
              </w:rPr>
              <w:t>密闭</w:t>
            </w:r>
            <w:r>
              <w:rPr>
                <w:rFonts w:ascii="Times New Roman" w:hAnsi="Times New Roman" w:eastAsia="宋体" w:cs="Times New Roman"/>
                <w:sz w:val="24"/>
                <w:szCs w:val="24"/>
              </w:rPr>
              <w:t>集气罩，合理控制罩口控制风速≥0.3m/s，集气效率取值</w:t>
            </w:r>
            <w:r>
              <w:rPr>
                <w:rStyle w:val="41"/>
                <w:rFonts w:ascii="Times New Roman" w:hAnsi="Times New Roman" w:eastAsia="宋体" w:cs="Times New Roman"/>
                <w:color w:val="000000"/>
                <w:sz w:val="24"/>
                <w:szCs w:val="24"/>
              </w:rPr>
              <w:t>80%</w:t>
            </w:r>
            <w:r>
              <w:rPr>
                <w:rStyle w:val="41"/>
                <w:rFonts w:hint="default" w:ascii="Times New Roman" w:hAnsi="Times New Roman" w:eastAsia="宋体" w:cs="Times New Roman"/>
                <w:color w:val="000000"/>
                <w:sz w:val="24"/>
                <w:szCs w:val="24"/>
                <w:lang w:val="en-US" w:eastAsia="zh-CN"/>
              </w:rPr>
              <w:t>；（2）去除效率：依据</w:t>
            </w:r>
            <w:r>
              <w:rPr>
                <w:rStyle w:val="41"/>
                <w:rFonts w:ascii="Times New Roman" w:hAnsi="Times New Roman" w:eastAsia="宋体" w:cs="Times New Roman"/>
                <w:color w:val="000000"/>
                <w:kern w:val="0"/>
                <w:sz w:val="24"/>
                <w:szCs w:val="24"/>
                <w:lang w:val="en-US" w:eastAsia="zh-CN" w:bidi="ar"/>
              </w:rPr>
              <w:t>《主要污染物总量减排核算技术指南》（2022年修订），一次性使用、不再生的单级活性炭VOCs去除效率取15%，两级串联总去除效率</w:t>
            </w:r>
            <w:r>
              <w:rPr>
                <w:rStyle w:val="41"/>
                <w:rFonts w:ascii="Times New Roman" w:hAnsi="Times New Roman" w:eastAsia="宋体" w:cs="Times New Roman"/>
                <w:color w:val="000000"/>
                <w:sz w:val="24"/>
                <w:szCs w:val="24"/>
              </w:rPr>
              <w:t>27.75%</w:t>
            </w:r>
            <w:r>
              <w:rPr>
                <w:rStyle w:val="41"/>
                <w:rFonts w:hint="default" w:ascii="Times New Roman" w:hAnsi="Times New Roman" w:eastAsia="宋体" w:cs="Times New Roman"/>
                <w:color w:val="000000"/>
                <w:sz w:val="24"/>
                <w:szCs w:val="24"/>
                <w:lang w:val="en-US" w:eastAsia="zh-CN"/>
              </w:rPr>
              <w:t>。</w:t>
            </w:r>
          </w:p>
          <w:p w14:paraId="4F6C5387">
            <w:pPr>
              <w:pStyle w:val="96"/>
              <w:spacing w:before="1" w:line="364" w:lineRule="auto"/>
              <w:ind w:left="107" w:right="-29" w:firstLine="480"/>
              <w:rPr>
                <w:rStyle w:val="41"/>
                <w:rFonts w:hint="default" w:ascii="Times New Roman" w:hAnsi="Times New Roman" w:eastAsia="宋体" w:cs="Times New Roman"/>
                <w:color w:val="000000"/>
                <w:sz w:val="24"/>
                <w:szCs w:val="24"/>
              </w:rPr>
            </w:pPr>
            <w:r>
              <w:rPr>
                <w:rStyle w:val="41"/>
                <w:rFonts w:hint="default" w:ascii="Times New Roman" w:hAnsi="Times New Roman" w:eastAsia="宋体" w:cs="Times New Roman"/>
                <w:color w:val="000000"/>
                <w:sz w:val="24"/>
                <w:szCs w:val="24"/>
                <w:lang w:val="en-US" w:eastAsia="zh-CN"/>
              </w:rPr>
              <w:t>项目选用高碘值颗粒活性炭，装填厚度、废气停留时间均满足规范要求，对塑胶熔融产生的低浓度非甲烷总烃吸附效果稳定，运维简单、故障率低，为塑料制品行业注塑废气主流治理工艺，技术成熟可靠。</w:t>
            </w:r>
          </w:p>
          <w:p w14:paraId="31518601">
            <w:pPr>
              <w:pStyle w:val="96"/>
              <w:spacing w:before="1" w:line="364" w:lineRule="auto"/>
              <w:ind w:left="107" w:right="-29" w:firstLine="480"/>
              <w:rPr>
                <w:rStyle w:val="41"/>
                <w:rFonts w:hint="default" w:ascii="Times New Roman" w:hAnsi="Times New Roman" w:eastAsia="宋体" w:cs="Times New Roman"/>
                <w:color w:val="000000"/>
                <w:sz w:val="24"/>
                <w:szCs w:val="24"/>
              </w:rPr>
            </w:pPr>
            <w:r>
              <w:rPr>
                <w:rStyle w:val="41"/>
                <w:rFonts w:hint="default" w:ascii="Times New Roman" w:hAnsi="Times New Roman" w:eastAsia="宋体" w:cs="Times New Roman"/>
                <w:color w:val="000000"/>
                <w:sz w:val="24"/>
                <w:szCs w:val="24"/>
              </w:rPr>
              <w:t>2</w:t>
            </w:r>
            <w:r>
              <w:rPr>
                <w:rStyle w:val="41"/>
                <w:rFonts w:hint="default" w:ascii="Times New Roman" w:hAnsi="Times New Roman" w:eastAsia="宋体" w:cs="Times New Roman"/>
                <w:color w:val="000000"/>
                <w:sz w:val="24"/>
                <w:szCs w:val="24"/>
                <w:lang w:eastAsia="zh-CN"/>
              </w:rPr>
              <w:t>）</w:t>
            </w:r>
            <w:r>
              <w:rPr>
                <w:rStyle w:val="41"/>
                <w:rFonts w:hint="default" w:ascii="Times New Roman" w:hAnsi="Times New Roman" w:eastAsia="宋体" w:cs="Times New Roman"/>
                <w:color w:val="000000"/>
                <w:sz w:val="24"/>
                <w:szCs w:val="24"/>
              </w:rPr>
              <w:t>收集可行性分析</w:t>
            </w:r>
          </w:p>
          <w:p w14:paraId="1C26277B">
            <w:pPr>
              <w:pStyle w:val="96"/>
              <w:spacing w:before="1" w:line="364" w:lineRule="auto"/>
              <w:ind w:left="107" w:right="-29" w:firstLine="480"/>
              <w:rPr>
                <w:rStyle w:val="41"/>
                <w:rFonts w:hint="default" w:ascii="Times New Roman" w:hAnsi="Times New Roman" w:eastAsia="宋体" w:cs="Times New Roman"/>
                <w:color w:val="000000"/>
                <w:sz w:val="24"/>
                <w:szCs w:val="24"/>
              </w:rPr>
            </w:pPr>
            <w:r>
              <w:rPr>
                <w:rStyle w:val="41"/>
                <w:rFonts w:hint="default" w:ascii="Times New Roman" w:hAnsi="Times New Roman" w:eastAsia="宋体" w:cs="Times New Roman"/>
                <w:color w:val="000000"/>
                <w:sz w:val="24"/>
                <w:szCs w:val="24"/>
                <w:lang w:val="en-US" w:eastAsia="zh-CN"/>
              </w:rPr>
              <w:t>生产车间整体封闭，注塑工位上方设置专用集气罩，控制风速≥0.3m/s，车间维持微负压状态，结合规范取值，废气收集效率稳定达到80%，有效减少无组织逸散，符合</w:t>
            </w:r>
            <w:r>
              <w:rPr>
                <w:rStyle w:val="41"/>
                <w:rFonts w:hint="default" w:eastAsia="宋体" w:cs="Times New Roman"/>
                <w:color w:val="000000"/>
                <w:sz w:val="24"/>
                <w:szCs w:val="24"/>
                <w:lang w:val="en-US" w:eastAsia="zh-CN"/>
              </w:rPr>
              <w:t>非甲烷总烃/VOCs</w:t>
            </w:r>
            <w:r>
              <w:rPr>
                <w:rStyle w:val="41"/>
                <w:rFonts w:hint="default" w:ascii="Times New Roman" w:hAnsi="Times New Roman" w:eastAsia="宋体" w:cs="Times New Roman"/>
                <w:color w:val="000000"/>
                <w:sz w:val="24"/>
                <w:szCs w:val="24"/>
                <w:lang w:val="en-US" w:eastAsia="zh-CN"/>
              </w:rPr>
              <w:t>精细化管控要求。</w:t>
            </w:r>
          </w:p>
          <w:p w14:paraId="2D77F730">
            <w:pPr>
              <w:pStyle w:val="96"/>
              <w:spacing w:before="1" w:line="364" w:lineRule="auto"/>
              <w:ind w:left="107" w:right="-29" w:firstLine="480"/>
              <w:rPr>
                <w:rStyle w:val="41"/>
                <w:rFonts w:hint="default" w:ascii="Times New Roman" w:hAnsi="Times New Roman" w:eastAsia="宋体" w:cs="Times New Roman"/>
                <w:color w:val="000000"/>
                <w:sz w:val="24"/>
                <w:szCs w:val="24"/>
              </w:rPr>
            </w:pPr>
            <w:r>
              <w:rPr>
                <w:rStyle w:val="41"/>
                <w:rFonts w:hint="default" w:ascii="Times New Roman" w:hAnsi="Times New Roman" w:eastAsia="宋体" w:cs="Times New Roman"/>
                <w:color w:val="000000"/>
                <w:sz w:val="24"/>
                <w:szCs w:val="24"/>
              </w:rPr>
              <w:t>3</w:t>
            </w:r>
            <w:r>
              <w:rPr>
                <w:rStyle w:val="41"/>
                <w:rFonts w:hint="default" w:ascii="Times New Roman" w:hAnsi="Times New Roman" w:eastAsia="宋体" w:cs="Times New Roman"/>
                <w:color w:val="000000"/>
                <w:sz w:val="24"/>
                <w:szCs w:val="24"/>
                <w:lang w:eastAsia="zh-CN"/>
              </w:rPr>
              <w:t>）</w:t>
            </w:r>
            <w:r>
              <w:rPr>
                <w:rStyle w:val="41"/>
                <w:rFonts w:hint="default" w:ascii="Times New Roman" w:hAnsi="Times New Roman" w:eastAsia="宋体" w:cs="Times New Roman"/>
                <w:color w:val="000000"/>
                <w:sz w:val="24"/>
                <w:szCs w:val="24"/>
              </w:rPr>
              <w:t>排气筒高度合理性分析</w:t>
            </w:r>
          </w:p>
          <w:p w14:paraId="7EC42060">
            <w:pPr>
              <w:pStyle w:val="96"/>
              <w:spacing w:before="1" w:line="364" w:lineRule="auto"/>
              <w:ind w:left="107" w:right="-29" w:firstLine="480"/>
              <w:rPr>
                <w:rStyle w:val="41"/>
                <w:rFonts w:hint="default" w:ascii="Times New Roman" w:hAnsi="Times New Roman" w:eastAsia="宋体" w:cs="Times New Roman"/>
                <w:color w:val="000000"/>
                <w:sz w:val="24"/>
                <w:szCs w:val="24"/>
              </w:rPr>
            </w:pPr>
            <w:r>
              <w:rPr>
                <w:rStyle w:val="41"/>
                <w:rFonts w:hint="default" w:ascii="Times New Roman" w:hAnsi="Times New Roman" w:eastAsia="宋体" w:cs="Times New Roman"/>
                <w:color w:val="000000"/>
                <w:sz w:val="24"/>
                <w:szCs w:val="24"/>
                <w:lang w:val="en-US" w:eastAsia="zh-CN"/>
              </w:rPr>
              <w:t>依据《合成树脂工业污染物排放标准》（GB31572-2015</w:t>
            </w:r>
            <w:r>
              <w:rPr>
                <w:rFonts w:hint="default" w:eastAsia="宋体" w:cs="Times New Roman"/>
                <w:color w:val="auto"/>
                <w:sz w:val="24"/>
                <w:u w:val="none"/>
                <w:lang w:val="en-US" w:eastAsia="zh-CN"/>
              </w:rPr>
              <w:t>含2024年修改单</w:t>
            </w:r>
            <w:r>
              <w:rPr>
                <w:rStyle w:val="41"/>
                <w:rFonts w:hint="default" w:ascii="Times New Roman" w:hAnsi="Times New Roman" w:eastAsia="宋体" w:cs="Times New Roman"/>
                <w:color w:val="000000"/>
                <w:sz w:val="24"/>
                <w:szCs w:val="24"/>
                <w:lang w:val="en-US" w:eastAsia="zh-CN"/>
              </w:rPr>
              <w:t>）要求，工艺废气排气筒高度不得低于15m。本项目排气筒设置15m，满足规范最低限值要求，排气筒高度设置合理，可保证废气扩散稀释，降低局部大气累积影响。</w:t>
            </w:r>
          </w:p>
          <w:p w14:paraId="3FB1F710">
            <w:pPr>
              <w:pStyle w:val="96"/>
              <w:spacing w:before="1" w:line="364" w:lineRule="auto"/>
              <w:ind w:left="107" w:right="-29" w:firstLine="480"/>
              <w:rPr>
                <w:rStyle w:val="41"/>
                <w:rFonts w:hint="default" w:ascii="Times New Roman" w:hAnsi="Times New Roman" w:eastAsia="宋体" w:cs="Times New Roman"/>
                <w:color w:val="000000"/>
                <w:sz w:val="24"/>
                <w:szCs w:val="24"/>
              </w:rPr>
            </w:pPr>
            <w:r>
              <w:rPr>
                <w:rStyle w:val="41"/>
                <w:rFonts w:hint="default" w:ascii="Times New Roman" w:hAnsi="Times New Roman" w:eastAsia="宋体" w:cs="Times New Roman"/>
                <w:color w:val="000000"/>
                <w:sz w:val="24"/>
                <w:szCs w:val="24"/>
              </w:rPr>
              <w:t>4</w:t>
            </w:r>
            <w:r>
              <w:rPr>
                <w:rStyle w:val="41"/>
                <w:rFonts w:hint="default" w:ascii="Times New Roman" w:hAnsi="Times New Roman" w:eastAsia="宋体" w:cs="Times New Roman"/>
                <w:color w:val="000000"/>
                <w:sz w:val="24"/>
                <w:szCs w:val="24"/>
                <w:lang w:eastAsia="zh-CN"/>
              </w:rPr>
              <w:t>）</w:t>
            </w:r>
            <w:r>
              <w:rPr>
                <w:rStyle w:val="41"/>
                <w:rFonts w:hint="default" w:ascii="Times New Roman" w:hAnsi="Times New Roman" w:eastAsia="宋体" w:cs="Times New Roman"/>
                <w:color w:val="000000"/>
                <w:sz w:val="24"/>
                <w:szCs w:val="24"/>
              </w:rPr>
              <w:t>无组织治理可行性分析</w:t>
            </w:r>
          </w:p>
          <w:p w14:paraId="38533F44">
            <w:pPr>
              <w:pStyle w:val="96"/>
              <w:spacing w:before="1" w:line="364" w:lineRule="auto"/>
              <w:ind w:left="107" w:right="-29" w:firstLine="480"/>
              <w:rPr>
                <w:rStyle w:val="41"/>
                <w:rFonts w:hint="default" w:ascii="Times New Roman" w:hAnsi="Times New Roman" w:eastAsia="宋体" w:cs="Times New Roman"/>
                <w:color w:val="000000"/>
                <w:sz w:val="24"/>
                <w:szCs w:val="24"/>
              </w:rPr>
            </w:pPr>
            <w:r>
              <w:rPr>
                <w:rStyle w:val="41"/>
                <w:rFonts w:hint="default" w:ascii="Times New Roman" w:hAnsi="Times New Roman" w:eastAsia="宋体" w:cs="Times New Roman"/>
                <w:color w:val="000000"/>
                <w:sz w:val="24"/>
                <w:szCs w:val="24"/>
                <w:lang w:val="en-US" w:eastAsia="zh-CN"/>
              </w:rPr>
              <w:t>项目</w:t>
            </w:r>
            <w:r>
              <w:rPr>
                <w:rStyle w:val="41"/>
                <w:rFonts w:hint="default" w:eastAsia="宋体" w:cs="Times New Roman"/>
                <w:color w:val="000000"/>
                <w:sz w:val="24"/>
                <w:szCs w:val="24"/>
                <w:lang w:val="en-US" w:eastAsia="zh-CN"/>
              </w:rPr>
              <w:t>混合</w:t>
            </w:r>
            <w:r>
              <w:rPr>
                <w:rStyle w:val="41"/>
                <w:rFonts w:hint="default" w:ascii="Times New Roman" w:hAnsi="Times New Roman" w:eastAsia="宋体" w:cs="Times New Roman"/>
                <w:color w:val="000000"/>
                <w:sz w:val="24"/>
                <w:szCs w:val="24"/>
                <w:lang w:val="en-US" w:eastAsia="zh-CN"/>
              </w:rPr>
              <w:t>、边角料破碎工序全程密闭，仅逸散微量粉尘，通过车间密闭管控、自然通风；少量未收集的有机废气同步自然扩散，无组织排放浓度可稳定满足厂界标准，无组织防控措施可行，可有效规避粉尘及微量</w:t>
            </w:r>
            <w:r>
              <w:rPr>
                <w:rStyle w:val="41"/>
                <w:rFonts w:hint="default" w:eastAsia="宋体" w:cs="Times New Roman"/>
                <w:color w:val="000000"/>
                <w:sz w:val="24"/>
                <w:szCs w:val="24"/>
                <w:lang w:val="en-US" w:eastAsia="zh-CN"/>
              </w:rPr>
              <w:t>非甲烷总烃/VOCs</w:t>
            </w:r>
            <w:r>
              <w:rPr>
                <w:rStyle w:val="41"/>
                <w:rFonts w:hint="default" w:ascii="Times New Roman" w:hAnsi="Times New Roman" w:eastAsia="宋体" w:cs="Times New Roman"/>
                <w:color w:val="000000"/>
                <w:sz w:val="24"/>
                <w:szCs w:val="24"/>
                <w:lang w:val="en-US" w:eastAsia="zh-CN"/>
              </w:rPr>
              <w:t>无组织污染影响。</w:t>
            </w:r>
          </w:p>
          <w:p w14:paraId="49767696">
            <w:pPr>
              <w:spacing w:line="360" w:lineRule="auto"/>
              <w:ind w:firstLine="482" w:firstLineChars="200"/>
              <w:textAlignment w:val="baseline"/>
              <w:rPr>
                <w:rFonts w:hint="default" w:ascii="Times New Roman" w:hAnsi="Times New Roman" w:cs="Times New Roman"/>
                <w:b/>
                <w:bCs/>
                <w:color w:val="auto"/>
                <w:sz w:val="24"/>
                <w:u w:val="none"/>
                <w:lang w:val="en-US" w:eastAsia="zh-CN"/>
              </w:rPr>
            </w:pPr>
            <w:r>
              <w:rPr>
                <w:rFonts w:hint="default" w:ascii="Times New Roman" w:hAnsi="Times New Roman" w:cs="Times New Roman"/>
                <w:b/>
                <w:bCs/>
                <w:color w:val="auto"/>
                <w:sz w:val="24"/>
                <w:u w:val="none"/>
                <w:lang w:val="en-US" w:eastAsia="zh-CN"/>
              </w:rPr>
              <w:t>4、有组织废气排放口规范化信息</w:t>
            </w:r>
          </w:p>
          <w:p w14:paraId="4FFED0BC">
            <w:pPr>
              <w:jc w:val="center"/>
              <w:outlineLvl w:val="0"/>
              <w:rPr>
                <w:rFonts w:hint="default" w:ascii="Times New Roman" w:hAnsi="Times New Roman" w:eastAsia="宋体" w:cs="Times New Roman"/>
                <w:b/>
                <w:color w:val="auto"/>
                <w:szCs w:val="21"/>
                <w:u w:val="none"/>
                <w:lang w:val="en-US" w:eastAsia="zh-CN"/>
              </w:rPr>
            </w:pPr>
            <w:r>
              <w:rPr>
                <w:rFonts w:hint="default" w:ascii="Times New Roman" w:hAnsi="Times New Roman" w:eastAsia="宋体" w:cs="Times New Roman"/>
                <w:b/>
                <w:color w:val="auto"/>
                <w:szCs w:val="21"/>
                <w:u w:val="none"/>
                <w:lang w:val="en-US" w:eastAsia="zh-CN"/>
              </w:rPr>
              <w:t>表4-3 有组织废气排放口信息一览表</w:t>
            </w:r>
          </w:p>
          <w:tbl>
            <w:tblPr>
              <w:tblStyle w:val="38"/>
              <w:tblW w:w="8194" w:type="dxa"/>
              <w:tblInd w:w="-1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910"/>
              <w:gridCol w:w="910"/>
              <w:gridCol w:w="910"/>
              <w:gridCol w:w="910"/>
              <w:gridCol w:w="911"/>
              <w:gridCol w:w="910"/>
              <w:gridCol w:w="911"/>
              <w:gridCol w:w="911"/>
              <w:gridCol w:w="911"/>
            </w:tblGrid>
            <w:tr w14:paraId="0D434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374" w:hRule="atLeast"/>
                <w:tblHeader/>
              </w:trPr>
              <w:tc>
                <w:tcPr>
                  <w:tcW w:w="910" w:type="dxa"/>
                  <w:vMerge w:val="restart"/>
                  <w:tcBorders>
                    <w:tl2br w:val="nil"/>
                    <w:tr2bl w:val="nil"/>
                  </w:tcBorders>
                  <w:shd w:val="clear" w:color="auto" w:fill="auto"/>
                  <w:tcMar>
                    <w:top w:w="120" w:type="dxa"/>
                    <w:left w:w="120" w:type="dxa"/>
                    <w:bottom w:w="120" w:type="dxa"/>
                    <w:right w:w="120" w:type="dxa"/>
                  </w:tcMar>
                  <w:vAlign w:val="center"/>
                </w:tcPr>
                <w:p w14:paraId="08DA419C">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排放口编号</w:t>
                  </w:r>
                </w:p>
              </w:tc>
              <w:tc>
                <w:tcPr>
                  <w:tcW w:w="910" w:type="dxa"/>
                  <w:vMerge w:val="restart"/>
                  <w:tcBorders>
                    <w:tl2br w:val="nil"/>
                    <w:tr2bl w:val="nil"/>
                  </w:tcBorders>
                  <w:shd w:val="clear" w:color="auto" w:fill="auto"/>
                  <w:tcMar>
                    <w:top w:w="120" w:type="dxa"/>
                    <w:left w:w="120" w:type="dxa"/>
                    <w:bottom w:w="120" w:type="dxa"/>
                    <w:right w:w="120" w:type="dxa"/>
                  </w:tcMar>
                  <w:vAlign w:val="center"/>
                </w:tcPr>
                <w:p w14:paraId="4172A448">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排放口名称</w:t>
                  </w:r>
                </w:p>
              </w:tc>
              <w:tc>
                <w:tcPr>
                  <w:tcW w:w="910" w:type="dxa"/>
                  <w:vMerge w:val="restart"/>
                  <w:tcBorders>
                    <w:tl2br w:val="nil"/>
                    <w:tr2bl w:val="nil"/>
                  </w:tcBorders>
                  <w:shd w:val="clear" w:color="auto" w:fill="auto"/>
                  <w:tcMar>
                    <w:top w:w="120" w:type="dxa"/>
                    <w:left w:w="120" w:type="dxa"/>
                    <w:bottom w:w="120" w:type="dxa"/>
                    <w:right w:w="120" w:type="dxa"/>
                  </w:tcMar>
                  <w:vAlign w:val="center"/>
                </w:tcPr>
                <w:p w14:paraId="553F770D">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污染物种类</w:t>
                  </w:r>
                </w:p>
              </w:tc>
              <w:tc>
                <w:tcPr>
                  <w:tcW w:w="1821" w:type="dxa"/>
                  <w:gridSpan w:val="2"/>
                  <w:tcBorders>
                    <w:tl2br w:val="nil"/>
                    <w:tr2bl w:val="nil"/>
                  </w:tcBorders>
                  <w:shd w:val="clear" w:color="auto" w:fill="auto"/>
                  <w:tcMar>
                    <w:top w:w="120" w:type="dxa"/>
                    <w:left w:w="120" w:type="dxa"/>
                    <w:bottom w:w="120" w:type="dxa"/>
                    <w:right w:w="120" w:type="dxa"/>
                  </w:tcMar>
                  <w:vAlign w:val="center"/>
                </w:tcPr>
                <w:p w14:paraId="733A21C6">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地理坐标</w:t>
                  </w:r>
                </w:p>
              </w:tc>
              <w:tc>
                <w:tcPr>
                  <w:tcW w:w="910" w:type="dxa"/>
                  <w:vMerge w:val="restart"/>
                  <w:tcBorders>
                    <w:tl2br w:val="nil"/>
                    <w:tr2bl w:val="nil"/>
                  </w:tcBorders>
                  <w:shd w:val="clear" w:color="auto" w:fill="auto"/>
                  <w:tcMar>
                    <w:top w:w="120" w:type="dxa"/>
                    <w:left w:w="120" w:type="dxa"/>
                    <w:bottom w:w="120" w:type="dxa"/>
                    <w:right w:w="120" w:type="dxa"/>
                  </w:tcMar>
                  <w:vAlign w:val="center"/>
                </w:tcPr>
                <w:p w14:paraId="085E876A">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排气筒高度（m）</w:t>
                  </w:r>
                </w:p>
              </w:tc>
              <w:tc>
                <w:tcPr>
                  <w:tcW w:w="911" w:type="dxa"/>
                  <w:vMerge w:val="restart"/>
                  <w:tcBorders>
                    <w:tl2br w:val="nil"/>
                    <w:tr2bl w:val="nil"/>
                  </w:tcBorders>
                  <w:shd w:val="clear" w:color="auto" w:fill="auto"/>
                  <w:tcMar>
                    <w:top w:w="120" w:type="dxa"/>
                    <w:left w:w="120" w:type="dxa"/>
                    <w:bottom w:w="120" w:type="dxa"/>
                    <w:right w:w="120" w:type="dxa"/>
                  </w:tcMar>
                  <w:vAlign w:val="center"/>
                </w:tcPr>
                <w:p w14:paraId="73C2C0CE">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出口内径（m）</w:t>
                  </w:r>
                </w:p>
              </w:tc>
              <w:tc>
                <w:tcPr>
                  <w:tcW w:w="911" w:type="dxa"/>
                  <w:vMerge w:val="restart"/>
                  <w:tcBorders>
                    <w:tl2br w:val="nil"/>
                    <w:tr2bl w:val="nil"/>
                  </w:tcBorders>
                  <w:shd w:val="clear" w:color="auto" w:fill="auto"/>
                  <w:tcMar>
                    <w:top w:w="120" w:type="dxa"/>
                    <w:left w:w="120" w:type="dxa"/>
                    <w:bottom w:w="120" w:type="dxa"/>
                    <w:right w:w="120" w:type="dxa"/>
                  </w:tcMar>
                  <w:vAlign w:val="center"/>
                </w:tcPr>
                <w:p w14:paraId="4C180A4F">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排气温度（℃）</w:t>
                  </w:r>
                </w:p>
              </w:tc>
              <w:tc>
                <w:tcPr>
                  <w:tcW w:w="911" w:type="dxa"/>
                  <w:vMerge w:val="restart"/>
                  <w:tcBorders>
                    <w:tl2br w:val="nil"/>
                    <w:tr2bl w:val="nil"/>
                  </w:tcBorders>
                  <w:shd w:val="clear" w:color="auto" w:fill="auto"/>
                  <w:tcMar>
                    <w:top w:w="120" w:type="dxa"/>
                    <w:left w:w="120" w:type="dxa"/>
                    <w:bottom w:w="120" w:type="dxa"/>
                    <w:right w:w="120" w:type="dxa"/>
                  </w:tcMar>
                  <w:vAlign w:val="center"/>
                </w:tcPr>
                <w:p w14:paraId="79EF3272">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排放口类型</w:t>
                  </w:r>
                </w:p>
              </w:tc>
            </w:tr>
            <w:tr w14:paraId="794FE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74" w:hRule="atLeast"/>
              </w:trPr>
              <w:tc>
                <w:tcPr>
                  <w:tcW w:w="910" w:type="dxa"/>
                  <w:vMerge w:val="continue"/>
                  <w:tcBorders>
                    <w:tl2br w:val="nil"/>
                    <w:tr2bl w:val="nil"/>
                  </w:tcBorders>
                  <w:shd w:val="clear" w:color="auto" w:fill="auto"/>
                  <w:tcMar>
                    <w:top w:w="120" w:type="dxa"/>
                    <w:left w:w="120" w:type="dxa"/>
                    <w:bottom w:w="120" w:type="dxa"/>
                    <w:right w:w="120" w:type="dxa"/>
                  </w:tcMar>
                  <w:vAlign w:val="center"/>
                </w:tcPr>
                <w:p w14:paraId="08E26A24">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1"/>
                      <w:szCs w:val="21"/>
                    </w:rPr>
                  </w:pPr>
                </w:p>
              </w:tc>
              <w:tc>
                <w:tcPr>
                  <w:tcW w:w="910" w:type="dxa"/>
                  <w:vMerge w:val="continue"/>
                  <w:tcBorders>
                    <w:tl2br w:val="nil"/>
                    <w:tr2bl w:val="nil"/>
                  </w:tcBorders>
                  <w:shd w:val="clear" w:color="auto" w:fill="auto"/>
                  <w:tcMar>
                    <w:top w:w="120" w:type="dxa"/>
                    <w:left w:w="120" w:type="dxa"/>
                    <w:bottom w:w="120" w:type="dxa"/>
                    <w:right w:w="120" w:type="dxa"/>
                  </w:tcMar>
                  <w:vAlign w:val="center"/>
                </w:tcPr>
                <w:p w14:paraId="225D54AF">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1"/>
                      <w:szCs w:val="21"/>
                    </w:rPr>
                  </w:pPr>
                </w:p>
              </w:tc>
              <w:tc>
                <w:tcPr>
                  <w:tcW w:w="910" w:type="dxa"/>
                  <w:vMerge w:val="continue"/>
                  <w:tcBorders>
                    <w:tl2br w:val="nil"/>
                    <w:tr2bl w:val="nil"/>
                  </w:tcBorders>
                  <w:shd w:val="clear" w:color="auto" w:fill="auto"/>
                  <w:tcMar>
                    <w:top w:w="120" w:type="dxa"/>
                    <w:left w:w="120" w:type="dxa"/>
                    <w:bottom w:w="120" w:type="dxa"/>
                    <w:right w:w="120" w:type="dxa"/>
                  </w:tcMar>
                  <w:vAlign w:val="center"/>
                </w:tcPr>
                <w:p w14:paraId="1EB3F29B">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1"/>
                      <w:szCs w:val="21"/>
                    </w:rPr>
                  </w:pPr>
                </w:p>
              </w:tc>
              <w:tc>
                <w:tcPr>
                  <w:tcW w:w="910" w:type="dxa"/>
                  <w:tcBorders>
                    <w:tl2br w:val="nil"/>
                    <w:tr2bl w:val="nil"/>
                  </w:tcBorders>
                  <w:shd w:val="clear" w:color="auto" w:fill="auto"/>
                  <w:tcMar>
                    <w:top w:w="120" w:type="dxa"/>
                    <w:left w:w="120" w:type="dxa"/>
                    <w:bottom w:w="120" w:type="dxa"/>
                    <w:right w:w="120" w:type="dxa"/>
                  </w:tcMar>
                  <w:vAlign w:val="center"/>
                </w:tcPr>
                <w:p w14:paraId="7350F9D3">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经度</w:t>
                  </w:r>
                </w:p>
              </w:tc>
              <w:tc>
                <w:tcPr>
                  <w:tcW w:w="911" w:type="dxa"/>
                  <w:tcBorders>
                    <w:tl2br w:val="nil"/>
                    <w:tr2bl w:val="nil"/>
                  </w:tcBorders>
                  <w:shd w:val="clear" w:color="auto" w:fill="auto"/>
                  <w:tcMar>
                    <w:top w:w="120" w:type="dxa"/>
                    <w:left w:w="120" w:type="dxa"/>
                    <w:bottom w:w="120" w:type="dxa"/>
                    <w:right w:w="120" w:type="dxa"/>
                  </w:tcMar>
                  <w:vAlign w:val="center"/>
                </w:tcPr>
                <w:p w14:paraId="5623FB1D">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纬度</w:t>
                  </w:r>
                </w:p>
              </w:tc>
              <w:tc>
                <w:tcPr>
                  <w:tcW w:w="910" w:type="dxa"/>
                  <w:vMerge w:val="continue"/>
                  <w:tcBorders>
                    <w:tl2br w:val="nil"/>
                    <w:tr2bl w:val="nil"/>
                  </w:tcBorders>
                  <w:shd w:val="clear" w:color="auto" w:fill="auto"/>
                  <w:tcMar>
                    <w:top w:w="120" w:type="dxa"/>
                    <w:left w:w="120" w:type="dxa"/>
                    <w:bottom w:w="120" w:type="dxa"/>
                    <w:right w:w="120" w:type="dxa"/>
                  </w:tcMar>
                  <w:vAlign w:val="center"/>
                </w:tcPr>
                <w:p w14:paraId="13636CE7">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1"/>
                      <w:szCs w:val="21"/>
                    </w:rPr>
                  </w:pPr>
                </w:p>
              </w:tc>
              <w:tc>
                <w:tcPr>
                  <w:tcW w:w="911" w:type="dxa"/>
                  <w:vMerge w:val="continue"/>
                  <w:tcBorders>
                    <w:tl2br w:val="nil"/>
                    <w:tr2bl w:val="nil"/>
                  </w:tcBorders>
                  <w:shd w:val="clear" w:color="auto" w:fill="auto"/>
                  <w:tcMar>
                    <w:top w:w="120" w:type="dxa"/>
                    <w:left w:w="120" w:type="dxa"/>
                    <w:bottom w:w="120" w:type="dxa"/>
                    <w:right w:w="120" w:type="dxa"/>
                  </w:tcMar>
                  <w:vAlign w:val="center"/>
                </w:tcPr>
                <w:p w14:paraId="56BE65B3">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1"/>
                      <w:szCs w:val="21"/>
                    </w:rPr>
                  </w:pPr>
                </w:p>
              </w:tc>
              <w:tc>
                <w:tcPr>
                  <w:tcW w:w="911" w:type="dxa"/>
                  <w:vMerge w:val="continue"/>
                  <w:tcBorders>
                    <w:tl2br w:val="nil"/>
                    <w:tr2bl w:val="nil"/>
                  </w:tcBorders>
                  <w:shd w:val="clear" w:color="auto" w:fill="auto"/>
                  <w:tcMar>
                    <w:top w:w="120" w:type="dxa"/>
                    <w:left w:w="120" w:type="dxa"/>
                    <w:bottom w:w="120" w:type="dxa"/>
                    <w:right w:w="120" w:type="dxa"/>
                  </w:tcMar>
                  <w:vAlign w:val="center"/>
                </w:tcPr>
                <w:p w14:paraId="509AB4C1">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1"/>
                      <w:szCs w:val="21"/>
                    </w:rPr>
                  </w:pPr>
                </w:p>
              </w:tc>
              <w:tc>
                <w:tcPr>
                  <w:tcW w:w="911" w:type="dxa"/>
                  <w:vMerge w:val="continue"/>
                  <w:tcBorders>
                    <w:tl2br w:val="nil"/>
                    <w:tr2bl w:val="nil"/>
                  </w:tcBorders>
                  <w:shd w:val="clear" w:color="auto" w:fill="auto"/>
                  <w:tcMar>
                    <w:top w:w="120" w:type="dxa"/>
                    <w:left w:w="120" w:type="dxa"/>
                    <w:bottom w:w="120" w:type="dxa"/>
                    <w:right w:w="120" w:type="dxa"/>
                  </w:tcMar>
                  <w:vAlign w:val="center"/>
                </w:tcPr>
                <w:p w14:paraId="64198826">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1"/>
                      <w:szCs w:val="21"/>
                    </w:rPr>
                  </w:pPr>
                </w:p>
              </w:tc>
            </w:tr>
            <w:tr w14:paraId="77AFC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74" w:hRule="atLeast"/>
              </w:trPr>
              <w:tc>
                <w:tcPr>
                  <w:tcW w:w="910" w:type="dxa"/>
                  <w:tcBorders>
                    <w:tl2br w:val="nil"/>
                    <w:tr2bl w:val="nil"/>
                  </w:tcBorders>
                  <w:shd w:val="clear" w:color="auto" w:fill="auto"/>
                  <w:tcMar>
                    <w:top w:w="120" w:type="dxa"/>
                    <w:left w:w="120" w:type="dxa"/>
                    <w:bottom w:w="120" w:type="dxa"/>
                    <w:right w:w="120" w:type="dxa"/>
                  </w:tcMar>
                  <w:vAlign w:val="center"/>
                </w:tcPr>
                <w:p w14:paraId="0AC93098">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DA001</w:t>
                  </w:r>
                </w:p>
              </w:tc>
              <w:tc>
                <w:tcPr>
                  <w:tcW w:w="910" w:type="dxa"/>
                  <w:tcBorders>
                    <w:tl2br w:val="nil"/>
                    <w:tr2bl w:val="nil"/>
                  </w:tcBorders>
                  <w:shd w:val="clear" w:color="auto" w:fill="auto"/>
                  <w:tcMar>
                    <w:top w:w="120" w:type="dxa"/>
                    <w:left w:w="120" w:type="dxa"/>
                    <w:bottom w:w="120" w:type="dxa"/>
                    <w:right w:w="120" w:type="dxa"/>
                  </w:tcMar>
                  <w:vAlign w:val="center"/>
                </w:tcPr>
                <w:p w14:paraId="1CFCBBC4">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注塑工艺废气排放口（塑胶熔融</w:t>
                  </w:r>
                  <w:r>
                    <w:rPr>
                      <w:rFonts w:hint="default" w:cs="Times New Roman"/>
                      <w:kern w:val="0"/>
                      <w:sz w:val="21"/>
                      <w:szCs w:val="21"/>
                      <w:lang w:val="en-US" w:eastAsia="zh-CN" w:bidi="ar"/>
                    </w:rPr>
                    <w:t>非甲烷总烃/VOCs</w:t>
                  </w:r>
                  <w:r>
                    <w:rPr>
                      <w:rFonts w:hint="default" w:ascii="Times New Roman" w:hAnsi="Times New Roman" w:eastAsia="宋体" w:cs="Times New Roman"/>
                      <w:kern w:val="0"/>
                      <w:sz w:val="21"/>
                      <w:szCs w:val="21"/>
                      <w:lang w:val="en-US" w:eastAsia="zh-CN" w:bidi="ar"/>
                    </w:rPr>
                    <w:t>）</w:t>
                  </w:r>
                </w:p>
              </w:tc>
              <w:tc>
                <w:tcPr>
                  <w:tcW w:w="910" w:type="dxa"/>
                  <w:tcBorders>
                    <w:tl2br w:val="nil"/>
                    <w:tr2bl w:val="nil"/>
                  </w:tcBorders>
                  <w:shd w:val="clear" w:color="auto" w:fill="auto"/>
                  <w:tcMar>
                    <w:top w:w="120" w:type="dxa"/>
                    <w:left w:w="120" w:type="dxa"/>
                    <w:bottom w:w="120" w:type="dxa"/>
                    <w:right w:w="120" w:type="dxa"/>
                  </w:tcMar>
                  <w:vAlign w:val="center"/>
                </w:tcPr>
                <w:p w14:paraId="4708CA15">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非甲烷总烃</w:t>
                  </w:r>
                </w:p>
              </w:tc>
              <w:tc>
                <w:tcPr>
                  <w:tcW w:w="910" w:type="dxa"/>
                  <w:tcBorders>
                    <w:tl2br w:val="nil"/>
                    <w:tr2bl w:val="nil"/>
                  </w:tcBorders>
                  <w:shd w:val="clear" w:color="auto" w:fill="auto"/>
                  <w:tcMar>
                    <w:top w:w="120" w:type="dxa"/>
                    <w:left w:w="120" w:type="dxa"/>
                    <w:bottom w:w="120" w:type="dxa"/>
                    <w:right w:w="120" w:type="dxa"/>
                  </w:tcMar>
                  <w:vAlign w:val="center"/>
                </w:tcPr>
                <w:p w14:paraId="036E4C1E">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1"/>
                      <w:szCs w:val="21"/>
                    </w:rPr>
                  </w:pPr>
                  <w:r>
                    <w:rPr>
                      <w:rFonts w:hint="default" w:ascii="Times New Roman" w:hAnsi="Times New Roman" w:cs="Times New Roman"/>
                      <w:color w:val="auto"/>
                      <w:sz w:val="21"/>
                      <w:szCs w:val="21"/>
                      <w:u w:val="none"/>
                      <w:lang w:eastAsia="zh-CN"/>
                    </w:rPr>
                    <w:t>111.329699°</w:t>
                  </w:r>
                </w:p>
              </w:tc>
              <w:tc>
                <w:tcPr>
                  <w:tcW w:w="911" w:type="dxa"/>
                  <w:tcBorders>
                    <w:tl2br w:val="nil"/>
                    <w:tr2bl w:val="nil"/>
                  </w:tcBorders>
                  <w:shd w:val="clear" w:color="auto" w:fill="auto"/>
                  <w:tcMar>
                    <w:top w:w="120" w:type="dxa"/>
                    <w:left w:w="120" w:type="dxa"/>
                    <w:bottom w:w="120" w:type="dxa"/>
                    <w:right w:w="120" w:type="dxa"/>
                  </w:tcMar>
                  <w:vAlign w:val="center"/>
                </w:tcPr>
                <w:p w14:paraId="1CD4E671">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1"/>
                      <w:szCs w:val="21"/>
                    </w:rPr>
                  </w:pPr>
                  <w:r>
                    <w:rPr>
                      <w:rFonts w:hint="default" w:ascii="Times New Roman" w:hAnsi="Times New Roman" w:cs="Times New Roman"/>
                      <w:color w:val="auto"/>
                      <w:sz w:val="21"/>
                      <w:szCs w:val="21"/>
                      <w:u w:val="none"/>
                      <w:lang w:eastAsia="zh-CN"/>
                    </w:rPr>
                    <w:t>26.405285°</w:t>
                  </w:r>
                </w:p>
              </w:tc>
              <w:tc>
                <w:tcPr>
                  <w:tcW w:w="910" w:type="dxa"/>
                  <w:tcBorders>
                    <w:tl2br w:val="nil"/>
                    <w:tr2bl w:val="nil"/>
                  </w:tcBorders>
                  <w:shd w:val="clear" w:color="auto" w:fill="auto"/>
                  <w:tcMar>
                    <w:top w:w="120" w:type="dxa"/>
                    <w:left w:w="120" w:type="dxa"/>
                    <w:bottom w:w="120" w:type="dxa"/>
                    <w:right w:w="120" w:type="dxa"/>
                  </w:tcMar>
                  <w:vAlign w:val="center"/>
                </w:tcPr>
                <w:p w14:paraId="2AB32AFE">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15</w:t>
                  </w:r>
                </w:p>
              </w:tc>
              <w:tc>
                <w:tcPr>
                  <w:tcW w:w="911" w:type="dxa"/>
                  <w:tcBorders>
                    <w:tl2br w:val="nil"/>
                    <w:tr2bl w:val="nil"/>
                  </w:tcBorders>
                  <w:shd w:val="clear" w:color="auto" w:fill="auto"/>
                  <w:tcMar>
                    <w:top w:w="120" w:type="dxa"/>
                    <w:left w:w="120" w:type="dxa"/>
                    <w:bottom w:w="120" w:type="dxa"/>
                    <w:right w:w="120" w:type="dxa"/>
                  </w:tcMar>
                  <w:vAlign w:val="center"/>
                </w:tcPr>
                <w:p w14:paraId="2BE8B64B">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0.3</w:t>
                  </w:r>
                </w:p>
              </w:tc>
              <w:tc>
                <w:tcPr>
                  <w:tcW w:w="911" w:type="dxa"/>
                  <w:tcBorders>
                    <w:tl2br w:val="nil"/>
                    <w:tr2bl w:val="nil"/>
                  </w:tcBorders>
                  <w:shd w:val="clear" w:color="auto" w:fill="auto"/>
                  <w:tcMar>
                    <w:top w:w="120" w:type="dxa"/>
                    <w:left w:w="120" w:type="dxa"/>
                    <w:bottom w:w="120" w:type="dxa"/>
                    <w:right w:w="120" w:type="dxa"/>
                  </w:tcMar>
                  <w:vAlign w:val="center"/>
                </w:tcPr>
                <w:p w14:paraId="10166FE5">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30</w:t>
                  </w:r>
                </w:p>
              </w:tc>
              <w:tc>
                <w:tcPr>
                  <w:tcW w:w="911" w:type="dxa"/>
                  <w:tcBorders>
                    <w:tl2br w:val="nil"/>
                    <w:tr2bl w:val="nil"/>
                  </w:tcBorders>
                  <w:shd w:val="clear" w:color="auto" w:fill="auto"/>
                  <w:tcMar>
                    <w:top w:w="120" w:type="dxa"/>
                    <w:left w:w="120" w:type="dxa"/>
                    <w:bottom w:w="120" w:type="dxa"/>
                    <w:right w:w="120" w:type="dxa"/>
                  </w:tcMar>
                  <w:vAlign w:val="center"/>
                </w:tcPr>
                <w:p w14:paraId="0FF0A589">
                  <w:pPr>
                    <w:keepNext w:val="0"/>
                    <w:keepLines w:val="0"/>
                    <w:widowControl/>
                    <w:suppressLineNumbers w:val="0"/>
                    <w:pBdr>
                      <w:top w:val="none" w:color="auto" w:sz="0" w:space="0"/>
                      <w:left w:val="none" w:color="auto" w:sz="0" w:space="0"/>
                      <w:bottom w:val="none" w:color="auto" w:sz="0" w:space="0"/>
                      <w:right w:val="none" w:color="auto" w:sz="0" w:space="0"/>
                    </w:pBdr>
                    <w:jc w:val="center"/>
                    <w:textAlignment w:val="top"/>
                    <w:rPr>
                      <w:rFonts w:hint="default" w:ascii="Times New Roman" w:hAnsi="Times New Roman" w:cs="Times New Roman"/>
                      <w:sz w:val="21"/>
                      <w:szCs w:val="21"/>
                    </w:rPr>
                  </w:pPr>
                  <w:r>
                    <w:rPr>
                      <w:rFonts w:hint="default" w:ascii="Times New Roman" w:hAnsi="Times New Roman" w:eastAsia="宋体" w:cs="Times New Roman"/>
                      <w:kern w:val="0"/>
                      <w:sz w:val="21"/>
                      <w:szCs w:val="21"/>
                      <w:lang w:val="en-US" w:eastAsia="zh-CN" w:bidi="ar"/>
                    </w:rPr>
                    <w:t>一般排放口</w:t>
                  </w:r>
                </w:p>
              </w:tc>
            </w:tr>
          </w:tbl>
          <w:p w14:paraId="57E37093">
            <w:pPr>
              <w:spacing w:line="360" w:lineRule="auto"/>
              <w:ind w:firstLine="482" w:firstLineChars="200"/>
              <w:textAlignment w:val="baseline"/>
              <w:rPr>
                <w:rFonts w:hint="default" w:ascii="Times New Roman" w:hAnsi="Times New Roman" w:cs="Times New Roman"/>
                <w:b/>
                <w:bCs/>
                <w:color w:val="auto"/>
                <w:sz w:val="24"/>
                <w:u w:val="none"/>
                <w:lang w:val="en-US" w:eastAsia="zh-CN"/>
              </w:rPr>
            </w:pPr>
            <w:r>
              <w:rPr>
                <w:rFonts w:hint="default" w:ascii="Times New Roman" w:hAnsi="Times New Roman" w:cs="Times New Roman"/>
                <w:b/>
                <w:bCs/>
                <w:color w:val="auto"/>
                <w:sz w:val="24"/>
                <w:u w:val="none"/>
                <w:lang w:val="en-US" w:eastAsia="zh-CN"/>
              </w:rPr>
              <w:t>5、废气环境监测计划</w:t>
            </w:r>
          </w:p>
          <w:p w14:paraId="3E59131C">
            <w:pPr>
              <w:pStyle w:val="96"/>
              <w:spacing w:before="1" w:line="364" w:lineRule="auto"/>
              <w:ind w:left="107" w:right="-29" w:firstLine="480"/>
              <w:rPr>
                <w:rStyle w:val="41"/>
                <w:rFonts w:hint="default" w:ascii="Times New Roman" w:hAnsi="Times New Roman" w:eastAsia="宋体" w:cs="Times New Roman"/>
                <w:color w:val="000000"/>
                <w:sz w:val="24"/>
                <w:szCs w:val="24"/>
              </w:rPr>
            </w:pPr>
            <w:r>
              <w:rPr>
                <w:rStyle w:val="41"/>
                <w:rFonts w:ascii="Times New Roman" w:hAnsi="Times New Roman" w:eastAsia="宋体" w:cs="Times New Roman"/>
                <w:color w:val="000000"/>
                <w:sz w:val="24"/>
                <w:szCs w:val="24"/>
              </w:rPr>
              <w:t>依据《排污单位自行监测技术指南 总则》（HJ819-2017）、《排污单位自行监测技术指南 橡胶和塑料制品》（HJ1207-2021）、《排污许可证申请与核发技术规范 橡胶和塑料制品工业》（HJ 1122-2020）制定本项目废气自行监测计划，监测方案参照规范中相关管控要求设置</w:t>
            </w:r>
            <w:r>
              <w:rPr>
                <w:rStyle w:val="41"/>
                <w:rFonts w:hint="default" w:ascii="Times New Roman" w:hAnsi="Times New Roman" w:eastAsia="宋体" w:cs="Times New Roman"/>
                <w:color w:val="000000"/>
                <w:sz w:val="24"/>
                <w:szCs w:val="24"/>
                <w:lang w:val="en-US" w:eastAsia="zh-CN"/>
              </w:rPr>
              <w:t>。</w:t>
            </w:r>
          </w:p>
          <w:p w14:paraId="146CBA3D">
            <w:pPr>
              <w:jc w:val="center"/>
              <w:outlineLvl w:val="0"/>
              <w:rPr>
                <w:rFonts w:hint="default" w:ascii="Times New Roman" w:hAnsi="Times New Roman" w:eastAsia="宋体" w:cs="Times New Roman"/>
                <w:b/>
                <w:color w:val="auto"/>
                <w:szCs w:val="21"/>
                <w:u w:val="none"/>
                <w:lang w:val="en-US" w:eastAsia="zh-CN"/>
              </w:rPr>
            </w:pPr>
            <w:r>
              <w:rPr>
                <w:rFonts w:hint="default" w:ascii="Times New Roman" w:hAnsi="Times New Roman" w:eastAsia="宋体" w:cs="Times New Roman"/>
                <w:b/>
                <w:color w:val="auto"/>
                <w:szCs w:val="21"/>
                <w:u w:val="none"/>
                <w:lang w:val="en-US" w:eastAsia="zh-CN"/>
              </w:rPr>
              <w:t>表4-4 项目大气污染源自行监测计划一览表</w:t>
            </w:r>
          </w:p>
          <w:tbl>
            <w:tblPr>
              <w:tblStyle w:val="38"/>
              <w:tblW w:w="7997" w:type="dxa"/>
              <w:tblInd w:w="-1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15" w:type="dxa"/>
                <w:left w:w="15" w:type="dxa"/>
                <w:bottom w:w="15" w:type="dxa"/>
                <w:right w:w="15" w:type="dxa"/>
              </w:tblCellMar>
            </w:tblPr>
            <w:tblGrid>
              <w:gridCol w:w="813"/>
              <w:gridCol w:w="947"/>
              <w:gridCol w:w="996"/>
              <w:gridCol w:w="1269"/>
              <w:gridCol w:w="876"/>
              <w:gridCol w:w="825"/>
              <w:gridCol w:w="2271"/>
            </w:tblGrid>
            <w:tr w14:paraId="4B219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738" w:hRule="atLeast"/>
                <w:tblHeader/>
              </w:trPr>
              <w:tc>
                <w:tcPr>
                  <w:tcW w:w="813" w:type="dxa"/>
                  <w:tcBorders>
                    <w:tl2br w:val="nil"/>
                    <w:tr2bl w:val="nil"/>
                  </w:tcBorders>
                  <w:shd w:val="clear" w:color="auto" w:fill="auto"/>
                  <w:tcMar>
                    <w:top w:w="120" w:type="dxa"/>
                    <w:left w:w="120" w:type="dxa"/>
                    <w:bottom w:w="120" w:type="dxa"/>
                    <w:right w:w="120" w:type="dxa"/>
                  </w:tcMar>
                  <w:vAlign w:val="center"/>
                </w:tcPr>
                <w:p w14:paraId="4A1C98A2">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序号</w:t>
                  </w:r>
                </w:p>
              </w:tc>
              <w:tc>
                <w:tcPr>
                  <w:tcW w:w="947" w:type="dxa"/>
                  <w:tcBorders>
                    <w:tl2br w:val="nil"/>
                    <w:tr2bl w:val="nil"/>
                  </w:tcBorders>
                  <w:shd w:val="clear" w:color="auto" w:fill="auto"/>
                  <w:tcMar>
                    <w:top w:w="120" w:type="dxa"/>
                    <w:left w:w="120" w:type="dxa"/>
                    <w:bottom w:w="120" w:type="dxa"/>
                    <w:right w:w="120" w:type="dxa"/>
                  </w:tcMar>
                  <w:vAlign w:val="center"/>
                </w:tcPr>
                <w:p w14:paraId="38FDEA60">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污染源类别</w:t>
                  </w:r>
                </w:p>
              </w:tc>
              <w:tc>
                <w:tcPr>
                  <w:tcW w:w="996" w:type="dxa"/>
                  <w:tcBorders>
                    <w:tl2br w:val="nil"/>
                    <w:tr2bl w:val="nil"/>
                  </w:tcBorders>
                  <w:shd w:val="clear" w:color="auto" w:fill="auto"/>
                  <w:tcMar>
                    <w:top w:w="120" w:type="dxa"/>
                    <w:left w:w="120" w:type="dxa"/>
                    <w:bottom w:w="120" w:type="dxa"/>
                    <w:right w:w="120" w:type="dxa"/>
                  </w:tcMar>
                  <w:vAlign w:val="center"/>
                </w:tcPr>
                <w:p w14:paraId="617C4602">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排放口/点位</w:t>
                  </w:r>
                </w:p>
              </w:tc>
              <w:tc>
                <w:tcPr>
                  <w:tcW w:w="1269" w:type="dxa"/>
                  <w:tcBorders>
                    <w:tl2br w:val="nil"/>
                    <w:tr2bl w:val="nil"/>
                  </w:tcBorders>
                  <w:shd w:val="clear" w:color="auto" w:fill="auto"/>
                  <w:tcMar>
                    <w:top w:w="120" w:type="dxa"/>
                    <w:left w:w="120" w:type="dxa"/>
                    <w:bottom w:w="120" w:type="dxa"/>
                    <w:right w:w="120" w:type="dxa"/>
                  </w:tcMar>
                  <w:vAlign w:val="center"/>
                </w:tcPr>
                <w:p w14:paraId="2B9138C6">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监测项目</w:t>
                  </w:r>
                </w:p>
              </w:tc>
              <w:tc>
                <w:tcPr>
                  <w:tcW w:w="876" w:type="dxa"/>
                  <w:tcBorders>
                    <w:tl2br w:val="nil"/>
                    <w:tr2bl w:val="nil"/>
                  </w:tcBorders>
                  <w:shd w:val="clear" w:color="auto" w:fill="auto"/>
                  <w:tcMar>
                    <w:top w:w="120" w:type="dxa"/>
                    <w:left w:w="120" w:type="dxa"/>
                    <w:bottom w:w="120" w:type="dxa"/>
                    <w:right w:w="120" w:type="dxa"/>
                  </w:tcMar>
                  <w:vAlign w:val="center"/>
                </w:tcPr>
                <w:p w14:paraId="325763CC">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采样要求</w:t>
                  </w:r>
                </w:p>
              </w:tc>
              <w:tc>
                <w:tcPr>
                  <w:tcW w:w="825" w:type="dxa"/>
                  <w:tcBorders>
                    <w:tl2br w:val="nil"/>
                    <w:tr2bl w:val="nil"/>
                  </w:tcBorders>
                  <w:shd w:val="clear" w:color="auto" w:fill="auto"/>
                  <w:tcMar>
                    <w:top w:w="120" w:type="dxa"/>
                    <w:left w:w="120" w:type="dxa"/>
                    <w:bottom w:w="120" w:type="dxa"/>
                    <w:right w:w="120" w:type="dxa"/>
                  </w:tcMar>
                  <w:vAlign w:val="center"/>
                </w:tcPr>
                <w:p w14:paraId="4B430641">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监测频次</w:t>
                  </w:r>
                </w:p>
              </w:tc>
              <w:tc>
                <w:tcPr>
                  <w:tcW w:w="2271" w:type="dxa"/>
                  <w:tcBorders>
                    <w:tl2br w:val="nil"/>
                    <w:tr2bl w:val="nil"/>
                  </w:tcBorders>
                  <w:shd w:val="clear" w:color="auto" w:fill="auto"/>
                  <w:tcMar>
                    <w:top w:w="120" w:type="dxa"/>
                    <w:left w:w="120" w:type="dxa"/>
                    <w:bottom w:w="120" w:type="dxa"/>
                    <w:right w:w="120" w:type="dxa"/>
                  </w:tcMar>
                  <w:vAlign w:val="center"/>
                </w:tcPr>
                <w:p w14:paraId="5A144B9F">
                  <w:pPr>
                    <w:ind w:firstLine="210" w:firstLineChars="100"/>
                    <w:jc w:val="both"/>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执行标准</w:t>
                  </w:r>
                  <w:r>
                    <w:rPr>
                      <w:rFonts w:hint="default" w:cs="Times New Roman"/>
                      <w:color w:val="auto"/>
                      <w:szCs w:val="21"/>
                      <w:u w:val="none"/>
                      <w:lang w:val="en-US" w:eastAsia="zh-CN"/>
                    </w:rPr>
                    <w:t>及</w:t>
                  </w:r>
                  <w:r>
                    <w:rPr>
                      <w:rFonts w:hint="default" w:ascii="Times New Roman" w:hAnsi="Times New Roman" w:eastAsia="宋体" w:cs="Times New Roman"/>
                      <w:color w:val="auto"/>
                      <w:szCs w:val="21"/>
                      <w:u w:val="none"/>
                      <w:lang w:val="en-US" w:eastAsia="zh-CN"/>
                    </w:rPr>
                    <w:t>限值</w:t>
                  </w:r>
                </w:p>
              </w:tc>
            </w:tr>
            <w:tr w14:paraId="6194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91" w:hRule="atLeast"/>
              </w:trPr>
              <w:tc>
                <w:tcPr>
                  <w:tcW w:w="813" w:type="dxa"/>
                  <w:tcBorders>
                    <w:tl2br w:val="nil"/>
                    <w:tr2bl w:val="nil"/>
                  </w:tcBorders>
                  <w:shd w:val="clear" w:color="auto" w:fill="auto"/>
                  <w:tcMar>
                    <w:top w:w="120" w:type="dxa"/>
                    <w:left w:w="120" w:type="dxa"/>
                    <w:bottom w:w="120" w:type="dxa"/>
                    <w:right w:w="120" w:type="dxa"/>
                  </w:tcMar>
                  <w:vAlign w:val="center"/>
                </w:tcPr>
                <w:p w14:paraId="2BC72663">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1</w:t>
                  </w:r>
                </w:p>
              </w:tc>
              <w:tc>
                <w:tcPr>
                  <w:tcW w:w="947" w:type="dxa"/>
                  <w:tcBorders>
                    <w:tl2br w:val="nil"/>
                    <w:tr2bl w:val="nil"/>
                  </w:tcBorders>
                  <w:shd w:val="clear" w:color="auto" w:fill="auto"/>
                  <w:tcMar>
                    <w:top w:w="120" w:type="dxa"/>
                    <w:left w:w="120" w:type="dxa"/>
                    <w:bottom w:w="120" w:type="dxa"/>
                    <w:right w:w="120" w:type="dxa"/>
                  </w:tcMar>
                  <w:vAlign w:val="center"/>
                </w:tcPr>
                <w:p w14:paraId="58FA8114">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有组织废气</w:t>
                  </w:r>
                </w:p>
              </w:tc>
              <w:tc>
                <w:tcPr>
                  <w:tcW w:w="996" w:type="dxa"/>
                  <w:tcBorders>
                    <w:tl2br w:val="nil"/>
                    <w:tr2bl w:val="nil"/>
                  </w:tcBorders>
                  <w:shd w:val="clear" w:color="auto" w:fill="auto"/>
                  <w:tcMar>
                    <w:top w:w="120" w:type="dxa"/>
                    <w:left w:w="120" w:type="dxa"/>
                    <w:bottom w:w="120" w:type="dxa"/>
                    <w:right w:w="120" w:type="dxa"/>
                  </w:tcMar>
                  <w:vAlign w:val="center"/>
                </w:tcPr>
                <w:p w14:paraId="15EDC441">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DA001排气筒</w:t>
                  </w:r>
                </w:p>
              </w:tc>
              <w:tc>
                <w:tcPr>
                  <w:tcW w:w="1269" w:type="dxa"/>
                  <w:tcBorders>
                    <w:tl2br w:val="nil"/>
                    <w:tr2bl w:val="nil"/>
                  </w:tcBorders>
                  <w:shd w:val="clear" w:color="auto" w:fill="auto"/>
                  <w:tcMar>
                    <w:top w:w="120" w:type="dxa"/>
                    <w:left w:w="120" w:type="dxa"/>
                    <w:bottom w:w="120" w:type="dxa"/>
                    <w:right w:w="120" w:type="dxa"/>
                  </w:tcMar>
                  <w:vAlign w:val="center"/>
                </w:tcPr>
                <w:p w14:paraId="1BDE516B">
                  <w:pPr>
                    <w:jc w:val="both"/>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非甲烷总烃</w:t>
                  </w:r>
                  <w:r>
                    <w:rPr>
                      <w:rFonts w:hint="default" w:ascii="Times New Roman" w:hAnsi="Times New Roman" w:eastAsia="宋体" w:cs="Times New Roman"/>
                      <w:color w:val="auto"/>
                      <w:szCs w:val="21"/>
                      <w:u w:val="none"/>
                      <w:lang w:eastAsia="zh-CN"/>
                    </w:rPr>
                    <w:t>、</w:t>
                  </w:r>
                  <w:r>
                    <w:rPr>
                      <w:rFonts w:hint="default" w:ascii="Times New Roman" w:hAnsi="Times New Roman" w:eastAsia="宋体" w:cs="Times New Roman"/>
                      <w:color w:val="auto"/>
                      <w:szCs w:val="21"/>
                      <w:u w:val="none"/>
                      <w:lang w:val="en-US" w:eastAsia="zh-CN"/>
                    </w:rPr>
                    <w:t>苯乙烯、</w:t>
                  </w:r>
                  <w:r>
                    <w:rPr>
                      <w:rFonts w:hint="eastAsia" w:cs="Times New Roman"/>
                      <w:color w:val="auto"/>
                      <w:szCs w:val="21"/>
                      <w:u w:val="none"/>
                      <w:lang w:val="en-US" w:eastAsia="zh-CN"/>
                    </w:rPr>
                    <w:t>1,3-丁二烯</w:t>
                  </w:r>
                  <w:r>
                    <w:rPr>
                      <w:rFonts w:hint="default" w:ascii="Times New Roman" w:hAnsi="Times New Roman" w:eastAsia="宋体" w:cs="Times New Roman"/>
                      <w:color w:val="auto"/>
                      <w:szCs w:val="21"/>
                      <w:u w:val="none"/>
                      <w:lang w:val="en-US" w:eastAsia="zh-CN"/>
                    </w:rPr>
                    <w:t>、臭气浓度</w:t>
                  </w:r>
                </w:p>
                <w:p w14:paraId="54BB0A27">
                  <w:pPr>
                    <w:jc w:val="both"/>
                    <w:rPr>
                      <w:rFonts w:hint="default" w:ascii="Times New Roman" w:hAnsi="Times New Roman" w:eastAsia="宋体" w:cs="Times New Roman"/>
                      <w:color w:val="auto"/>
                      <w:szCs w:val="21"/>
                      <w:u w:val="none"/>
                      <w:lang w:val="en-US" w:eastAsia="zh-CN"/>
                    </w:rPr>
                  </w:pPr>
                </w:p>
              </w:tc>
              <w:tc>
                <w:tcPr>
                  <w:tcW w:w="876" w:type="dxa"/>
                  <w:tcBorders>
                    <w:tl2br w:val="nil"/>
                    <w:tr2bl w:val="nil"/>
                  </w:tcBorders>
                  <w:shd w:val="clear" w:color="auto" w:fill="auto"/>
                  <w:tcMar>
                    <w:top w:w="120" w:type="dxa"/>
                    <w:left w:w="120" w:type="dxa"/>
                    <w:bottom w:w="120" w:type="dxa"/>
                    <w:right w:w="120" w:type="dxa"/>
                  </w:tcMar>
                  <w:vAlign w:val="center"/>
                </w:tcPr>
                <w:p w14:paraId="137F9925">
                  <w:pPr>
                    <w:jc w:val="both"/>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非连续采样，至少4个样品</w:t>
                  </w:r>
                </w:p>
              </w:tc>
              <w:tc>
                <w:tcPr>
                  <w:tcW w:w="825" w:type="dxa"/>
                  <w:tcBorders>
                    <w:tl2br w:val="nil"/>
                    <w:tr2bl w:val="nil"/>
                  </w:tcBorders>
                  <w:shd w:val="clear" w:color="auto" w:fill="auto"/>
                  <w:tcMar>
                    <w:top w:w="120" w:type="dxa"/>
                    <w:left w:w="120" w:type="dxa"/>
                    <w:bottom w:w="120" w:type="dxa"/>
                    <w:right w:w="120" w:type="dxa"/>
                  </w:tcMar>
                  <w:vAlign w:val="center"/>
                </w:tcPr>
                <w:p w14:paraId="2F20E06C">
                  <w:pPr>
                    <w:jc w:val="both"/>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1次/年</w:t>
                  </w:r>
                </w:p>
              </w:tc>
              <w:tc>
                <w:tcPr>
                  <w:tcW w:w="2271" w:type="dxa"/>
                  <w:tcBorders>
                    <w:tl2br w:val="nil"/>
                    <w:tr2bl w:val="nil"/>
                  </w:tcBorders>
                  <w:shd w:val="clear" w:color="auto" w:fill="auto"/>
                  <w:tcMar>
                    <w:top w:w="120" w:type="dxa"/>
                    <w:left w:w="120" w:type="dxa"/>
                    <w:bottom w:w="120" w:type="dxa"/>
                    <w:right w:w="120" w:type="dxa"/>
                  </w:tcMar>
                  <w:vAlign w:val="center"/>
                </w:tcPr>
                <w:p w14:paraId="575BAE59">
                  <w:pPr>
                    <w:spacing w:before="137"/>
                    <w:rPr>
                      <w:rFonts w:ascii="Times New Roman" w:hAnsi="Times New Roman" w:eastAsia="宋体" w:cs="Times New Roman"/>
                      <w:color w:val="auto"/>
                      <w:sz w:val="21"/>
                      <w:szCs w:val="21"/>
                      <w:u w:val="none"/>
                    </w:rPr>
                  </w:pPr>
                  <w:r>
                    <w:rPr>
                      <w:rFonts w:hint="default" w:ascii="Times New Roman" w:hAnsi="Times New Roman" w:eastAsia="宋体" w:cs="Times New Roman"/>
                      <w:color w:val="auto"/>
                      <w:spacing w:val="0"/>
                      <w:sz w:val="21"/>
                      <w:szCs w:val="21"/>
                      <w:u w:val="none"/>
                    </w:rPr>
                    <w:t>《合成树脂工业污染</w:t>
                  </w:r>
                  <w:r>
                    <w:rPr>
                      <w:rFonts w:hint="default" w:ascii="Times New Roman" w:hAnsi="Times New Roman" w:eastAsia="宋体" w:cs="Times New Roman"/>
                      <w:color w:val="auto"/>
                      <w:sz w:val="21"/>
                      <w:szCs w:val="21"/>
                      <w:u w:val="none"/>
                    </w:rPr>
                    <w:t>物排放标准》（GB31572-2015</w:t>
                  </w:r>
                  <w:r>
                    <w:rPr>
                      <w:rFonts w:hint="default" w:ascii="Times New Roman" w:hAnsi="Times New Roman" w:eastAsia="宋体" w:cs="Times New Roman"/>
                      <w:color w:val="auto"/>
                      <w:sz w:val="21"/>
                      <w:szCs w:val="21"/>
                      <w:u w:val="none"/>
                      <w:lang w:val="en-US" w:eastAsia="zh-CN"/>
                    </w:rPr>
                    <w:t>含2024年修改单</w:t>
                  </w:r>
                  <w:r>
                    <w:rPr>
                      <w:rFonts w:hint="default" w:ascii="Times New Roman" w:hAnsi="Times New Roman" w:eastAsia="宋体" w:cs="Times New Roman"/>
                      <w:color w:val="auto"/>
                      <w:sz w:val="21"/>
                      <w:szCs w:val="21"/>
                      <w:u w:val="none"/>
                    </w:rPr>
                    <w:t>）表4大气污染物排放限值</w:t>
                  </w:r>
                  <w:r>
                    <w:rPr>
                      <w:rFonts w:hint="default" w:ascii="Times New Roman" w:hAnsi="Times New Roman" w:eastAsia="宋体" w:cs="Times New Roman"/>
                      <w:color w:val="auto"/>
                      <w:sz w:val="21"/>
                      <w:szCs w:val="21"/>
                      <w:u w:val="none"/>
                      <w:lang w:eastAsia="zh-CN"/>
                    </w:rPr>
                    <w:t>（</w:t>
                  </w:r>
                  <w:r>
                    <w:rPr>
                      <w:rFonts w:hint="default" w:ascii="Times New Roman" w:hAnsi="Times New Roman" w:eastAsia="宋体" w:cs="Times New Roman"/>
                      <w:color w:val="auto"/>
                      <w:szCs w:val="21"/>
                      <w:u w:val="none"/>
                      <w:lang w:val="en-US" w:eastAsia="zh-CN"/>
                    </w:rPr>
                    <w:t>非甲烷总烃100mg/m³）、苯乙烯</w:t>
                  </w:r>
                  <w:r>
                    <w:rPr>
                      <w:rFonts w:ascii="Times New Roman" w:hAnsi="Times New Roman" w:eastAsia="宋体" w:cs="Times New Roman"/>
                      <w:color w:val="auto"/>
                      <w:sz w:val="21"/>
                      <w:szCs w:val="21"/>
                      <w:u w:val="none"/>
                    </w:rPr>
                    <w:t>50</w:t>
                  </w:r>
                  <w:r>
                    <w:rPr>
                      <w:rFonts w:hint="default" w:ascii="Times New Roman" w:hAnsi="Times New Roman" w:eastAsia="宋体" w:cs="Times New Roman"/>
                      <w:color w:val="auto"/>
                      <w:szCs w:val="21"/>
                      <w:u w:val="none"/>
                      <w:lang w:val="en-US" w:eastAsia="zh-CN"/>
                    </w:rPr>
                    <w:t>mg/m³）、</w:t>
                  </w:r>
                  <w:r>
                    <w:rPr>
                      <w:rFonts w:hint="eastAsia" w:cs="Times New Roman"/>
                      <w:color w:val="auto"/>
                      <w:szCs w:val="21"/>
                      <w:u w:val="none"/>
                      <w:lang w:val="en-US" w:eastAsia="zh-CN"/>
                    </w:rPr>
                    <w:t>1,3-丁二烯</w:t>
                  </w:r>
                  <w:r>
                    <w:rPr>
                      <w:rFonts w:ascii="Times New Roman" w:hAnsi="Times New Roman" w:eastAsia="宋体" w:cs="Times New Roman"/>
                      <w:color w:val="auto"/>
                      <w:w w:val="100"/>
                      <w:sz w:val="21"/>
                      <w:szCs w:val="21"/>
                      <w:u w:val="none"/>
                    </w:rPr>
                    <w:t>1</w:t>
                  </w:r>
                  <w:r>
                    <w:rPr>
                      <w:rFonts w:hint="default" w:ascii="Times New Roman" w:hAnsi="Times New Roman" w:eastAsia="宋体" w:cs="Times New Roman"/>
                      <w:color w:val="auto"/>
                      <w:szCs w:val="21"/>
                      <w:u w:val="none"/>
                      <w:lang w:val="en-US" w:eastAsia="zh-CN"/>
                    </w:rPr>
                    <w:t>mg/m³）；</w:t>
                  </w:r>
                  <w:r>
                    <w:rPr>
                      <w:rFonts w:ascii="Times New Roman" w:hAnsi="Times New Roman" w:eastAsia="宋体" w:cs="Times New Roman"/>
                      <w:color w:val="auto"/>
                      <w:sz w:val="21"/>
                      <w:szCs w:val="21"/>
                      <w:u w:val="none"/>
                    </w:rPr>
                    <w:t>《恶臭污染物排放标准》</w:t>
                  </w:r>
                </w:p>
                <w:p w14:paraId="69DB0968">
                  <w:pPr>
                    <w:jc w:val="both"/>
                    <w:rPr>
                      <w:rFonts w:hint="default" w:ascii="Times New Roman" w:hAnsi="Times New Roman" w:eastAsia="宋体" w:cs="Times New Roman"/>
                      <w:color w:val="auto"/>
                      <w:szCs w:val="21"/>
                      <w:u w:val="none"/>
                      <w:lang w:val="en-US" w:eastAsia="zh-CN"/>
                    </w:rPr>
                  </w:pPr>
                  <w:r>
                    <w:rPr>
                      <w:color w:val="auto"/>
                      <w:sz w:val="21"/>
                      <w:szCs w:val="21"/>
                      <w:u w:val="none"/>
                    </w:rPr>
                    <w:t>）（</w:t>
                  </w:r>
                  <w:r>
                    <w:rPr>
                      <w:rFonts w:ascii="Times New Roman" w:eastAsia="宋体"/>
                      <w:color w:val="auto"/>
                      <w:sz w:val="21"/>
                      <w:szCs w:val="21"/>
                      <w:u w:val="none"/>
                    </w:rPr>
                    <w:t>GB14554-93</w:t>
                  </w:r>
                  <w:r>
                    <w:rPr>
                      <w:color w:val="auto"/>
                      <w:sz w:val="21"/>
                      <w:szCs w:val="21"/>
                      <w:u w:val="none"/>
                    </w:rPr>
                    <w:t>）</w:t>
                  </w:r>
                  <w:r>
                    <w:rPr>
                      <w:rFonts w:hint="default" w:ascii="Times New Roman" w:hAnsi="Times New Roman" w:eastAsia="宋体" w:cs="Times New Roman"/>
                      <w:color w:val="auto"/>
                      <w:sz w:val="21"/>
                      <w:szCs w:val="21"/>
                      <w:u w:val="none"/>
                      <w:lang w:eastAsia="zh-CN"/>
                    </w:rPr>
                    <w:t>：</w:t>
                  </w:r>
                  <w:r>
                    <w:rPr>
                      <w:rFonts w:hint="default" w:ascii="Times New Roman" w:hAnsi="Times New Roman" w:eastAsia="宋体" w:cs="Times New Roman"/>
                      <w:color w:val="auto"/>
                      <w:szCs w:val="21"/>
                      <w:u w:val="none"/>
                      <w:lang w:val="en-US" w:eastAsia="zh-CN"/>
                    </w:rPr>
                    <w:t>臭气浓度2000（无量纲）</w:t>
                  </w:r>
                </w:p>
              </w:tc>
            </w:tr>
            <w:tr w14:paraId="5F1F9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001" w:hRule="atLeast"/>
              </w:trPr>
              <w:tc>
                <w:tcPr>
                  <w:tcW w:w="813" w:type="dxa"/>
                  <w:tcBorders>
                    <w:tl2br w:val="nil"/>
                    <w:tr2bl w:val="nil"/>
                  </w:tcBorders>
                  <w:shd w:val="clear" w:color="auto" w:fill="auto"/>
                  <w:tcMar>
                    <w:top w:w="120" w:type="dxa"/>
                    <w:left w:w="120" w:type="dxa"/>
                    <w:bottom w:w="120" w:type="dxa"/>
                    <w:right w:w="120" w:type="dxa"/>
                  </w:tcMar>
                  <w:vAlign w:val="center"/>
                </w:tcPr>
                <w:p w14:paraId="2FD8C077">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2</w:t>
                  </w:r>
                </w:p>
              </w:tc>
              <w:tc>
                <w:tcPr>
                  <w:tcW w:w="947" w:type="dxa"/>
                  <w:tcBorders>
                    <w:tl2br w:val="nil"/>
                    <w:tr2bl w:val="nil"/>
                  </w:tcBorders>
                  <w:shd w:val="clear" w:color="auto" w:fill="auto"/>
                  <w:tcMar>
                    <w:top w:w="120" w:type="dxa"/>
                    <w:left w:w="120" w:type="dxa"/>
                    <w:bottom w:w="120" w:type="dxa"/>
                    <w:right w:w="120" w:type="dxa"/>
                  </w:tcMar>
                  <w:vAlign w:val="center"/>
                </w:tcPr>
                <w:p w14:paraId="37246FAD">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无组织废气</w:t>
                  </w:r>
                </w:p>
              </w:tc>
              <w:tc>
                <w:tcPr>
                  <w:tcW w:w="996" w:type="dxa"/>
                  <w:tcBorders>
                    <w:tl2br w:val="nil"/>
                    <w:tr2bl w:val="nil"/>
                  </w:tcBorders>
                  <w:shd w:val="clear" w:color="auto" w:fill="auto"/>
                  <w:tcMar>
                    <w:top w:w="120" w:type="dxa"/>
                    <w:left w:w="120" w:type="dxa"/>
                    <w:bottom w:w="120" w:type="dxa"/>
                    <w:right w:w="120" w:type="dxa"/>
                  </w:tcMar>
                  <w:vAlign w:val="center"/>
                </w:tcPr>
                <w:p w14:paraId="59EA70F7">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厂界上、下风向</w:t>
                  </w:r>
                </w:p>
              </w:tc>
              <w:tc>
                <w:tcPr>
                  <w:tcW w:w="1269" w:type="dxa"/>
                  <w:tcBorders>
                    <w:tl2br w:val="nil"/>
                    <w:tr2bl w:val="nil"/>
                  </w:tcBorders>
                  <w:shd w:val="clear" w:color="auto" w:fill="auto"/>
                  <w:tcMar>
                    <w:top w:w="120" w:type="dxa"/>
                    <w:left w:w="120" w:type="dxa"/>
                    <w:bottom w:w="120" w:type="dxa"/>
                    <w:right w:w="120" w:type="dxa"/>
                  </w:tcMar>
                  <w:vAlign w:val="center"/>
                </w:tcPr>
                <w:p w14:paraId="7D9D7001">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非甲烷总烃、颗粒物</w:t>
                  </w:r>
                  <w:r>
                    <w:rPr>
                      <w:rFonts w:hint="default" w:cs="Times New Roman"/>
                      <w:color w:val="auto"/>
                      <w:szCs w:val="21"/>
                      <w:u w:val="none"/>
                      <w:lang w:val="en-US" w:eastAsia="zh-CN"/>
                    </w:rPr>
                    <w:t>、</w:t>
                  </w:r>
                  <w:r>
                    <w:rPr>
                      <w:rFonts w:hint="default"/>
                      <w:lang w:val="en-US" w:eastAsia="zh-CN"/>
                    </w:rPr>
                    <w:t>苯乙烯、</w:t>
                  </w:r>
                  <w:r>
                    <w:rPr>
                      <w:rFonts w:hint="eastAsia"/>
                      <w:lang w:val="en-US" w:eastAsia="zh-CN"/>
                    </w:rPr>
                    <w:t>1,3-丁二烯</w:t>
                  </w:r>
                  <w:r>
                    <w:rPr>
                      <w:rFonts w:hint="default"/>
                      <w:lang w:val="en-US" w:eastAsia="zh-CN"/>
                    </w:rPr>
                    <w:t>、臭气浓度</w:t>
                  </w:r>
                </w:p>
              </w:tc>
              <w:tc>
                <w:tcPr>
                  <w:tcW w:w="876" w:type="dxa"/>
                  <w:tcBorders>
                    <w:tl2br w:val="nil"/>
                    <w:tr2bl w:val="nil"/>
                  </w:tcBorders>
                  <w:shd w:val="clear" w:color="auto" w:fill="auto"/>
                  <w:tcMar>
                    <w:top w:w="120" w:type="dxa"/>
                    <w:left w:w="120" w:type="dxa"/>
                    <w:bottom w:w="120" w:type="dxa"/>
                    <w:right w:w="120" w:type="dxa"/>
                  </w:tcMar>
                  <w:vAlign w:val="center"/>
                </w:tcPr>
                <w:p w14:paraId="0F5FC7D5">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非连续采样，至少</w:t>
                  </w:r>
                  <w:r>
                    <w:rPr>
                      <w:rFonts w:hint="default" w:cs="Times New Roman"/>
                      <w:color w:val="auto"/>
                      <w:szCs w:val="21"/>
                      <w:u w:val="none"/>
                      <w:lang w:val="en-US" w:eastAsia="zh-CN"/>
                    </w:rPr>
                    <w:t>4</w:t>
                  </w:r>
                  <w:r>
                    <w:rPr>
                      <w:rFonts w:hint="default" w:ascii="Times New Roman" w:hAnsi="Times New Roman" w:eastAsia="宋体" w:cs="Times New Roman"/>
                      <w:color w:val="auto"/>
                      <w:szCs w:val="21"/>
                      <w:u w:val="none"/>
                      <w:lang w:val="en-US" w:eastAsia="zh-CN"/>
                    </w:rPr>
                    <w:t>个样品</w:t>
                  </w:r>
                </w:p>
              </w:tc>
              <w:tc>
                <w:tcPr>
                  <w:tcW w:w="825" w:type="dxa"/>
                  <w:tcBorders>
                    <w:tl2br w:val="nil"/>
                    <w:tr2bl w:val="nil"/>
                  </w:tcBorders>
                  <w:shd w:val="clear" w:color="auto" w:fill="auto"/>
                  <w:tcMar>
                    <w:top w:w="120" w:type="dxa"/>
                    <w:left w:w="120" w:type="dxa"/>
                    <w:bottom w:w="120" w:type="dxa"/>
                    <w:right w:w="120" w:type="dxa"/>
                  </w:tcMar>
                  <w:vAlign w:val="center"/>
                </w:tcPr>
                <w:p w14:paraId="5E75B9C7">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1次/年</w:t>
                  </w:r>
                </w:p>
              </w:tc>
              <w:tc>
                <w:tcPr>
                  <w:tcW w:w="2271" w:type="dxa"/>
                  <w:tcBorders>
                    <w:tl2br w:val="nil"/>
                    <w:tr2bl w:val="nil"/>
                  </w:tcBorders>
                  <w:shd w:val="clear" w:color="auto" w:fill="auto"/>
                  <w:tcMar>
                    <w:top w:w="120" w:type="dxa"/>
                    <w:left w:w="120" w:type="dxa"/>
                    <w:bottom w:w="120" w:type="dxa"/>
                    <w:right w:w="120" w:type="dxa"/>
                  </w:tcMar>
                  <w:vAlign w:val="center"/>
                </w:tcPr>
                <w:p w14:paraId="17FC84D1">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 w:val="21"/>
                      <w:szCs w:val="21"/>
                      <w:u w:val="none"/>
                    </w:rPr>
                    <w:t>非甲烷总烃</w:t>
                  </w:r>
                  <w:r>
                    <w:rPr>
                      <w:rFonts w:hint="default" w:eastAsia="宋体" w:cs="Times New Roman"/>
                      <w:color w:val="auto"/>
                      <w:sz w:val="21"/>
                      <w:szCs w:val="21"/>
                      <w:u w:val="none"/>
                      <w:lang w:eastAsia="zh-CN"/>
                    </w:rPr>
                    <w:t>、</w:t>
                  </w:r>
                  <w:r>
                    <w:rPr>
                      <w:rFonts w:hint="default" w:eastAsia="宋体" w:cs="Times New Roman"/>
                      <w:color w:val="auto"/>
                      <w:sz w:val="21"/>
                      <w:szCs w:val="21"/>
                      <w:u w:val="none"/>
                      <w:lang w:val="en-US" w:eastAsia="zh-CN"/>
                    </w:rPr>
                    <w:t>颗粒物</w:t>
                  </w:r>
                  <w:r>
                    <w:rPr>
                      <w:rFonts w:hint="default" w:ascii="Times New Roman" w:hAnsi="Times New Roman" w:eastAsia="宋体" w:cs="Times New Roman"/>
                      <w:color w:val="auto"/>
                      <w:sz w:val="21"/>
                      <w:szCs w:val="21"/>
                      <w:u w:val="none"/>
                    </w:rPr>
                    <w:t>执行《合成树脂工业污染物排放标准》（GB31572-2015</w:t>
                  </w:r>
                  <w:r>
                    <w:rPr>
                      <w:rFonts w:hint="default" w:eastAsia="宋体" w:cs="Times New Roman"/>
                      <w:color w:val="auto"/>
                      <w:sz w:val="21"/>
                      <w:szCs w:val="21"/>
                      <w:u w:val="none"/>
                      <w:lang w:val="en-US" w:eastAsia="zh-CN"/>
                    </w:rPr>
                    <w:t>含2024年修改单</w:t>
                  </w:r>
                  <w:r>
                    <w:rPr>
                      <w:rFonts w:hint="default" w:ascii="Times New Roman" w:hAnsi="Times New Roman" w:eastAsia="宋体" w:cs="Times New Roman"/>
                      <w:color w:val="auto"/>
                      <w:sz w:val="21"/>
                      <w:szCs w:val="21"/>
                      <w:u w:val="none"/>
                    </w:rPr>
                    <w:t>）表9企业边界大气污染物浓度限值；</w:t>
                  </w:r>
                  <w:r>
                    <w:rPr>
                      <w:color w:val="auto"/>
                      <w:spacing w:val="0"/>
                      <w:sz w:val="21"/>
                      <w:szCs w:val="21"/>
                      <w:u w:val="none"/>
                    </w:rPr>
                    <w:t>苯乙烯</w:t>
                  </w:r>
                  <w:r>
                    <w:rPr>
                      <w:rFonts w:hint="default" w:eastAsia="宋体"/>
                      <w:color w:val="auto"/>
                      <w:spacing w:val="0"/>
                      <w:sz w:val="21"/>
                      <w:szCs w:val="21"/>
                      <w:u w:val="none"/>
                      <w:lang w:eastAsia="zh-CN"/>
                    </w:rPr>
                    <w:t>、</w:t>
                  </w:r>
                  <w:r>
                    <w:rPr>
                      <w:rFonts w:hint="default" w:ascii="Times New Roman" w:hAnsi="Times New Roman" w:eastAsia="宋体" w:cs="Times New Roman"/>
                      <w:color w:val="auto"/>
                      <w:sz w:val="21"/>
                      <w:szCs w:val="21"/>
                      <w:u w:val="none"/>
                      <w:lang w:val="en-US" w:eastAsia="zh-CN"/>
                    </w:rPr>
                    <w:t>臭气浓度</w:t>
                  </w:r>
                  <w:r>
                    <w:rPr>
                      <w:color w:val="auto"/>
                      <w:spacing w:val="0"/>
                      <w:sz w:val="21"/>
                      <w:szCs w:val="21"/>
                      <w:u w:val="none"/>
                    </w:rPr>
                    <w:t>执行《恶臭污染物排放标准》（GB14554-93）表</w:t>
                  </w:r>
                  <w:r>
                    <w:rPr>
                      <w:color w:val="auto"/>
                      <w:sz w:val="21"/>
                      <w:szCs w:val="21"/>
                      <w:u w:val="none"/>
                    </w:rPr>
                    <w:t>1</w:t>
                  </w:r>
                  <w:r>
                    <w:rPr>
                      <w:color w:val="auto"/>
                      <w:spacing w:val="0"/>
                      <w:sz w:val="21"/>
                      <w:szCs w:val="21"/>
                      <w:u w:val="none"/>
                    </w:rPr>
                    <w:t>规定的限值</w:t>
                  </w:r>
                  <w:r>
                    <w:rPr>
                      <w:rFonts w:hint="default" w:ascii="Times New Roman" w:hAnsi="Times New Roman" w:eastAsia="宋体" w:cs="Times New Roman"/>
                      <w:color w:val="auto"/>
                      <w:szCs w:val="21"/>
                      <w:u w:val="none"/>
                      <w:lang w:val="en-US" w:eastAsia="zh-CN"/>
                    </w:rPr>
                    <w:t>NMHC≤4.0mg/m³</w:t>
                  </w:r>
                </w:p>
                <w:p w14:paraId="114C3774">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颗粒物≤1.0mg/m³</w:t>
                  </w:r>
                </w:p>
                <w:p w14:paraId="52E51D99">
                  <w:pPr>
                    <w:jc w:val="center"/>
                    <w:rPr>
                      <w:rFonts w:hint="default"/>
                      <w:color w:val="auto"/>
                      <w:szCs w:val="21"/>
                      <w:u w:val="none"/>
                      <w:lang w:val="en-US" w:eastAsia="zh-CN"/>
                    </w:rPr>
                  </w:pPr>
                  <w:r>
                    <w:rPr>
                      <w:rFonts w:hint="default"/>
                      <w:color w:val="auto"/>
                      <w:szCs w:val="21"/>
                      <w:u w:val="none"/>
                      <w:lang w:val="en-US" w:eastAsia="zh-CN"/>
                    </w:rPr>
                    <w:t>苯乙烯</w:t>
                  </w:r>
                  <w:r>
                    <w:rPr>
                      <w:rFonts w:hint="default" w:ascii="Times New Roman" w:hAnsi="Times New Roman" w:eastAsia="宋体" w:cs="Times New Roman"/>
                      <w:color w:val="auto"/>
                      <w:szCs w:val="21"/>
                      <w:u w:val="none"/>
                      <w:lang w:val="en-US" w:eastAsia="zh-CN"/>
                    </w:rPr>
                    <w:t>≤5.0mg/m³</w:t>
                  </w:r>
                </w:p>
                <w:p w14:paraId="545E6C8E">
                  <w:pPr>
                    <w:jc w:val="center"/>
                    <w:rPr>
                      <w:rFonts w:hint="default" w:ascii="Times New Roman" w:hAnsi="Times New Roman" w:eastAsia="宋体" w:cs="Times New Roman"/>
                      <w:color w:val="auto"/>
                      <w:szCs w:val="21"/>
                      <w:u w:val="none"/>
                      <w:lang w:val="en-US" w:eastAsia="zh-CN"/>
                    </w:rPr>
                  </w:pPr>
                  <w:r>
                    <w:rPr>
                      <w:rFonts w:hint="default"/>
                      <w:color w:val="auto"/>
                      <w:szCs w:val="21"/>
                      <w:u w:val="none"/>
                      <w:lang w:val="en-US" w:eastAsia="zh-CN"/>
                    </w:rPr>
                    <w:t>臭气浓度</w:t>
                  </w:r>
                  <w:r>
                    <w:rPr>
                      <w:rFonts w:hint="default" w:ascii="Times New Roman" w:hAnsi="Times New Roman" w:eastAsia="宋体" w:cs="Times New Roman"/>
                      <w:color w:val="auto"/>
                      <w:szCs w:val="21"/>
                      <w:u w:val="none"/>
                      <w:lang w:val="en-US" w:eastAsia="zh-CN"/>
                    </w:rPr>
                    <w:t>≤20（无量纲）</w:t>
                  </w:r>
                </w:p>
              </w:tc>
            </w:tr>
            <w:tr w14:paraId="12328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1001" w:hRule="atLeast"/>
              </w:trPr>
              <w:tc>
                <w:tcPr>
                  <w:tcW w:w="813" w:type="dxa"/>
                  <w:tcBorders>
                    <w:tl2br w:val="nil"/>
                    <w:tr2bl w:val="nil"/>
                  </w:tcBorders>
                  <w:shd w:val="clear" w:color="auto" w:fill="auto"/>
                  <w:tcMar>
                    <w:top w:w="120" w:type="dxa"/>
                    <w:left w:w="120" w:type="dxa"/>
                    <w:bottom w:w="120" w:type="dxa"/>
                    <w:right w:w="120" w:type="dxa"/>
                  </w:tcMar>
                  <w:vAlign w:val="center"/>
                </w:tcPr>
                <w:p w14:paraId="2C155EE2">
                  <w:pPr>
                    <w:jc w:val="center"/>
                    <w:rPr>
                      <w:rFonts w:hint="default" w:ascii="Times New Roman" w:hAnsi="Times New Roman" w:eastAsia="宋体" w:cs="Times New Roman"/>
                      <w:color w:val="auto"/>
                      <w:szCs w:val="21"/>
                      <w:u w:val="none"/>
                      <w:lang w:val="en-US" w:eastAsia="zh-CN"/>
                    </w:rPr>
                  </w:pPr>
                  <w:r>
                    <w:rPr>
                      <w:rFonts w:hint="default" w:cs="Times New Roman"/>
                      <w:color w:val="auto"/>
                      <w:szCs w:val="21"/>
                      <w:u w:val="none"/>
                      <w:lang w:val="en-US" w:eastAsia="zh-CN"/>
                    </w:rPr>
                    <w:t>3</w:t>
                  </w:r>
                </w:p>
              </w:tc>
              <w:tc>
                <w:tcPr>
                  <w:tcW w:w="947" w:type="dxa"/>
                  <w:tcBorders>
                    <w:tl2br w:val="nil"/>
                    <w:tr2bl w:val="nil"/>
                  </w:tcBorders>
                  <w:shd w:val="clear" w:color="auto" w:fill="auto"/>
                  <w:tcMar>
                    <w:top w:w="120" w:type="dxa"/>
                    <w:left w:w="120" w:type="dxa"/>
                    <w:bottom w:w="120" w:type="dxa"/>
                    <w:right w:w="120" w:type="dxa"/>
                  </w:tcMar>
                  <w:vAlign w:val="center"/>
                </w:tcPr>
                <w:p w14:paraId="6C7F130F">
                  <w:pPr>
                    <w:jc w:val="center"/>
                    <w:rPr>
                      <w:rFonts w:hint="default" w:ascii="Times New Roman" w:hAnsi="Times New Roman" w:eastAsia="宋体" w:cs="Times New Roman"/>
                      <w:color w:val="auto"/>
                      <w:szCs w:val="21"/>
                      <w:u w:val="none"/>
                      <w:lang w:val="en-US" w:eastAsia="zh-CN"/>
                    </w:rPr>
                  </w:pPr>
                  <w:r>
                    <w:rPr>
                      <w:rFonts w:hint="default" w:cs="Times New Roman"/>
                      <w:color w:val="auto"/>
                      <w:szCs w:val="21"/>
                      <w:u w:val="none"/>
                      <w:lang w:val="en-US" w:eastAsia="zh-CN"/>
                    </w:rPr>
                    <w:t>厂区内</w:t>
                  </w:r>
                </w:p>
              </w:tc>
              <w:tc>
                <w:tcPr>
                  <w:tcW w:w="996" w:type="dxa"/>
                  <w:tcBorders>
                    <w:tl2br w:val="nil"/>
                    <w:tr2bl w:val="nil"/>
                  </w:tcBorders>
                  <w:shd w:val="clear" w:color="auto" w:fill="auto"/>
                  <w:tcMar>
                    <w:top w:w="120" w:type="dxa"/>
                    <w:left w:w="120" w:type="dxa"/>
                    <w:bottom w:w="120" w:type="dxa"/>
                    <w:right w:w="120" w:type="dxa"/>
                  </w:tcMar>
                  <w:vAlign w:val="center"/>
                </w:tcPr>
                <w:p w14:paraId="2667147D">
                  <w:pPr>
                    <w:jc w:val="center"/>
                    <w:rPr>
                      <w:rFonts w:hint="default" w:ascii="Times New Roman" w:hAnsi="Times New Roman" w:eastAsia="宋体" w:cs="Times New Roman"/>
                      <w:color w:val="auto"/>
                      <w:szCs w:val="21"/>
                      <w:u w:val="none"/>
                      <w:lang w:val="en-US" w:eastAsia="zh-CN"/>
                    </w:rPr>
                  </w:pPr>
                  <w:r>
                    <w:rPr>
                      <w:rStyle w:val="40"/>
                      <w:rFonts w:hint="default" w:ascii="Times New Roman" w:hAnsi="Times New Roman" w:eastAsia="宋体" w:cs="Times New Roman"/>
                      <w:color w:val="auto"/>
                      <w:sz w:val="21"/>
                      <w:szCs w:val="21"/>
                      <w:u w:val="none"/>
                    </w:rPr>
                    <w:t>厂区内无组织VOCs</w:t>
                  </w:r>
                </w:p>
              </w:tc>
              <w:tc>
                <w:tcPr>
                  <w:tcW w:w="1269" w:type="dxa"/>
                  <w:tcBorders>
                    <w:tl2br w:val="nil"/>
                    <w:tr2bl w:val="nil"/>
                  </w:tcBorders>
                  <w:shd w:val="clear" w:color="auto" w:fill="auto"/>
                  <w:tcMar>
                    <w:top w:w="120" w:type="dxa"/>
                    <w:left w:w="120" w:type="dxa"/>
                    <w:bottom w:w="120" w:type="dxa"/>
                    <w:right w:w="120" w:type="dxa"/>
                  </w:tcMar>
                  <w:vAlign w:val="center"/>
                </w:tcPr>
                <w:p w14:paraId="1C57AF40">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rPr>
                    <w:t>非甲烷总烃（NMHC）</w:t>
                  </w:r>
                </w:p>
              </w:tc>
              <w:tc>
                <w:tcPr>
                  <w:tcW w:w="876" w:type="dxa"/>
                  <w:tcBorders>
                    <w:tl2br w:val="nil"/>
                    <w:tr2bl w:val="nil"/>
                  </w:tcBorders>
                  <w:shd w:val="clear" w:color="auto" w:fill="auto"/>
                  <w:tcMar>
                    <w:top w:w="120" w:type="dxa"/>
                    <w:left w:w="120" w:type="dxa"/>
                    <w:bottom w:w="120" w:type="dxa"/>
                    <w:right w:w="120" w:type="dxa"/>
                  </w:tcMar>
                  <w:vAlign w:val="center"/>
                </w:tcPr>
                <w:p w14:paraId="4AE06E79">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非连续采样，至少</w:t>
                  </w:r>
                  <w:r>
                    <w:rPr>
                      <w:rFonts w:hint="default" w:cs="Times New Roman"/>
                      <w:color w:val="auto"/>
                      <w:szCs w:val="21"/>
                      <w:u w:val="none"/>
                      <w:lang w:val="en-US" w:eastAsia="zh-CN"/>
                    </w:rPr>
                    <w:t>4</w:t>
                  </w:r>
                  <w:r>
                    <w:rPr>
                      <w:rFonts w:hint="default" w:ascii="Times New Roman" w:hAnsi="Times New Roman" w:eastAsia="宋体" w:cs="Times New Roman"/>
                      <w:color w:val="auto"/>
                      <w:szCs w:val="21"/>
                      <w:u w:val="none"/>
                      <w:lang w:val="en-US" w:eastAsia="zh-CN"/>
                    </w:rPr>
                    <w:t>个样品</w:t>
                  </w:r>
                </w:p>
              </w:tc>
              <w:tc>
                <w:tcPr>
                  <w:tcW w:w="825" w:type="dxa"/>
                  <w:tcBorders>
                    <w:tl2br w:val="nil"/>
                    <w:tr2bl w:val="nil"/>
                  </w:tcBorders>
                  <w:shd w:val="clear" w:color="auto" w:fill="auto"/>
                  <w:tcMar>
                    <w:top w:w="120" w:type="dxa"/>
                    <w:left w:w="120" w:type="dxa"/>
                    <w:bottom w:w="120" w:type="dxa"/>
                    <w:right w:w="120" w:type="dxa"/>
                  </w:tcMar>
                  <w:vAlign w:val="center"/>
                </w:tcPr>
                <w:p w14:paraId="5B3C8A04">
                  <w:pPr>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lang w:val="en-US" w:eastAsia="zh-CN"/>
                    </w:rPr>
                    <w:t>1次/年</w:t>
                  </w:r>
                </w:p>
              </w:tc>
              <w:tc>
                <w:tcPr>
                  <w:tcW w:w="2271" w:type="dxa"/>
                  <w:tcBorders>
                    <w:tl2br w:val="nil"/>
                    <w:tr2bl w:val="nil"/>
                  </w:tcBorders>
                  <w:shd w:val="clear" w:color="auto" w:fill="auto"/>
                  <w:tcMar>
                    <w:top w:w="120" w:type="dxa"/>
                    <w:left w:w="120" w:type="dxa"/>
                    <w:bottom w:w="120" w:type="dxa"/>
                    <w:right w:w="120" w:type="dxa"/>
                  </w:tcMar>
                  <w:vAlign w:val="center"/>
                </w:tcPr>
                <w:p w14:paraId="554FC006">
                  <w:pPr>
                    <w:jc w:val="center"/>
                    <w:rPr>
                      <w:rFonts w:hint="default" w:ascii="Times New Roman" w:hAnsi="Times New Roman" w:eastAsia="宋体" w:cs="Times New Roman"/>
                      <w:color w:val="auto"/>
                      <w:szCs w:val="21"/>
                      <w:u w:val="none"/>
                      <w:lang w:val="en-US" w:eastAsia="zh-CN"/>
                    </w:rPr>
                  </w:pPr>
                  <w:r>
                    <w:rPr>
                      <w:rFonts w:ascii="Times New Roman" w:hAnsi="Times New Roman" w:eastAsia="宋体" w:cs="Times New Roman"/>
                      <w:color w:val="auto"/>
                      <w:sz w:val="21"/>
                      <w:szCs w:val="21"/>
                      <w:u w:val="none"/>
                    </w:rPr>
                    <w:t>《工业企业挥发性有机物排放标准》（DB43/3550-2026</w:t>
                  </w:r>
                  <w:r>
                    <w:rPr>
                      <w:rFonts w:hint="default" w:ascii="Times New Roman" w:hAnsi="Times New Roman" w:eastAsia="宋体" w:cs="Times New Roman"/>
                      <w:color w:val="auto"/>
                      <w:sz w:val="21"/>
                      <w:szCs w:val="21"/>
                      <w:u w:val="none"/>
                      <w:lang w:eastAsia="zh-CN"/>
                    </w:rPr>
                    <w:t>）</w:t>
                  </w:r>
                  <w:r>
                    <w:rPr>
                      <w:rFonts w:hint="default" w:ascii="Times New Roman" w:hAnsi="Times New Roman" w:eastAsia="宋体" w:cs="Times New Roman"/>
                      <w:color w:val="auto"/>
                      <w:sz w:val="21"/>
                      <w:szCs w:val="21"/>
                      <w:u w:val="none"/>
                      <w:lang w:val="en-US" w:eastAsia="zh-CN"/>
                    </w:rPr>
                    <w:t>表2：</w:t>
                  </w:r>
                  <w:r>
                    <w:rPr>
                      <w:rFonts w:hint="default" w:ascii="Times New Roman" w:hAnsi="Times New Roman" w:eastAsia="宋体" w:cs="Times New Roman"/>
                      <w:color w:val="auto"/>
                      <w:szCs w:val="21"/>
                      <w:u w:val="none"/>
                    </w:rPr>
                    <w:t>监控点处1h平均浓度值</w:t>
                  </w:r>
                  <w:r>
                    <w:rPr>
                      <w:rFonts w:hint="default" w:ascii="Times New Roman" w:hAnsi="Times New Roman" w:eastAsia="宋体" w:cs="Times New Roman"/>
                      <w:color w:val="auto"/>
                      <w:szCs w:val="21"/>
                      <w:u w:val="none"/>
                      <w:lang w:val="en-US" w:eastAsia="zh-CN"/>
                    </w:rPr>
                    <w:t>6；</w:t>
                  </w:r>
                  <w:r>
                    <w:rPr>
                      <w:rFonts w:hint="default" w:ascii="Times New Roman" w:hAnsi="Times New Roman" w:eastAsia="宋体" w:cs="Times New Roman"/>
                      <w:color w:val="auto"/>
                      <w:szCs w:val="21"/>
                      <w:u w:val="none"/>
                    </w:rPr>
                    <w:t>监控点处任意一次浓度值</w:t>
                  </w:r>
                  <w:r>
                    <w:rPr>
                      <w:rFonts w:hint="default" w:ascii="Times New Roman" w:hAnsi="Times New Roman" w:eastAsia="宋体" w:cs="Times New Roman"/>
                      <w:color w:val="auto"/>
                      <w:szCs w:val="21"/>
                      <w:u w:val="none"/>
                      <w:lang w:val="en-US" w:eastAsia="zh-CN"/>
                    </w:rPr>
                    <w:t>20mg/m³</w:t>
                  </w:r>
                </w:p>
              </w:tc>
            </w:tr>
          </w:tbl>
          <w:p w14:paraId="4A14EC8C">
            <w:pPr>
              <w:spacing w:line="360" w:lineRule="auto"/>
              <w:ind w:firstLine="482" w:firstLineChars="200"/>
              <w:textAlignment w:val="baseline"/>
              <w:rPr>
                <w:rFonts w:hint="default" w:ascii="Times New Roman" w:hAnsi="Times New Roman" w:cs="Times New Roman"/>
                <w:b/>
                <w:bCs/>
                <w:color w:val="auto"/>
                <w:sz w:val="24"/>
                <w:u w:val="none"/>
                <w:lang w:val="en-US" w:eastAsia="zh-CN"/>
              </w:rPr>
            </w:pPr>
            <w:r>
              <w:rPr>
                <w:rFonts w:hint="default" w:ascii="Times New Roman" w:hAnsi="Times New Roman" w:cs="Times New Roman"/>
                <w:b/>
                <w:bCs/>
                <w:color w:val="auto"/>
                <w:sz w:val="24"/>
                <w:u w:val="none"/>
                <w:lang w:val="en-US" w:eastAsia="zh-CN"/>
              </w:rPr>
              <w:t>6、废气影响结论</w:t>
            </w:r>
          </w:p>
          <w:p w14:paraId="2136A639">
            <w:pPr>
              <w:pStyle w:val="96"/>
              <w:spacing w:before="1" w:line="364" w:lineRule="auto"/>
              <w:ind w:left="107" w:right="-29" w:firstLine="480"/>
              <w:rPr>
                <w:rStyle w:val="41"/>
                <w:rFonts w:hint="default" w:ascii="Times New Roman" w:hAnsi="Times New Roman" w:eastAsia="宋体" w:cs="Times New Roman"/>
                <w:color w:val="000000"/>
                <w:sz w:val="24"/>
                <w:szCs w:val="24"/>
                <w:lang w:val="en-US" w:eastAsia="zh-CN"/>
              </w:rPr>
            </w:pPr>
            <w:r>
              <w:rPr>
                <w:rStyle w:val="41"/>
                <w:rFonts w:hint="default" w:ascii="Times New Roman" w:hAnsi="Times New Roman" w:eastAsia="宋体" w:cs="Times New Roman"/>
                <w:color w:val="000000"/>
                <w:sz w:val="24"/>
                <w:szCs w:val="24"/>
                <w:lang w:val="en-US" w:eastAsia="zh-CN"/>
              </w:rPr>
              <w:t>本项目废气主要为密闭</w:t>
            </w:r>
            <w:r>
              <w:rPr>
                <w:rStyle w:val="41"/>
                <w:rFonts w:hint="default" w:eastAsia="宋体" w:cs="Times New Roman"/>
                <w:color w:val="000000"/>
                <w:sz w:val="24"/>
                <w:szCs w:val="24"/>
                <w:lang w:val="en-US" w:eastAsia="zh-CN"/>
              </w:rPr>
              <w:t>混合</w:t>
            </w:r>
            <w:r>
              <w:rPr>
                <w:rStyle w:val="41"/>
                <w:rFonts w:hint="default" w:ascii="Times New Roman" w:hAnsi="Times New Roman" w:eastAsia="宋体" w:cs="Times New Roman"/>
                <w:color w:val="000000"/>
                <w:sz w:val="24"/>
                <w:szCs w:val="24"/>
                <w:lang w:val="en-US" w:eastAsia="zh-CN"/>
              </w:rPr>
              <w:t>、边角料破碎工序微量无组织粉尘，以及塑胶粒子注塑熔融产生的微量有机废气；根据物料MSDS，项目橡胶石蜡油挥发性极差，无有机废气产生。项目</w:t>
            </w:r>
            <w:r>
              <w:rPr>
                <w:rStyle w:val="41"/>
                <w:rFonts w:ascii="Times New Roman" w:hAnsi="Times New Roman" w:eastAsia="宋体" w:cs="Times New Roman"/>
                <w:color w:val="000000"/>
                <w:sz w:val="24"/>
                <w:szCs w:val="24"/>
              </w:rPr>
              <w:t>生产温度低于塑胶裂解温度，SBS、SEBS原料仅存在极微量残留苯乙烯、1,3</w:t>
            </w:r>
            <w:r>
              <w:rPr>
                <w:rStyle w:val="41"/>
                <w:rFonts w:ascii="Times New Roman" w:hAnsi="Times New Roman" w:eastAsia="宋体" w:cs="Times New Roman"/>
                <w:color w:val="000000"/>
                <w:sz w:val="24"/>
                <w:szCs w:val="24"/>
              </w:rPr>
              <w:noBreakHyphen/>
            </w:r>
            <w:r>
              <w:rPr>
                <w:rStyle w:val="41"/>
                <w:rFonts w:ascii="Times New Roman" w:hAnsi="Times New Roman" w:eastAsia="宋体" w:cs="Times New Roman"/>
                <w:color w:val="000000"/>
                <w:sz w:val="24"/>
                <w:szCs w:val="24"/>
              </w:rPr>
              <w:t>丁二烯单体释放，本次仅定性识别，不做定量核算；项目原辅材料不含甲苯、乙苯、丙烯腈相关原料，无上述污染物产生</w:t>
            </w:r>
            <w:r>
              <w:rPr>
                <w:rStyle w:val="41"/>
                <w:rFonts w:hint="default" w:ascii="Times New Roman" w:hAnsi="Times New Roman" w:eastAsia="宋体" w:cs="Times New Roman"/>
                <w:color w:val="000000"/>
                <w:sz w:val="24"/>
                <w:szCs w:val="24"/>
                <w:lang w:val="en-US" w:eastAsia="zh-CN"/>
              </w:rPr>
              <w:t>。</w:t>
            </w:r>
          </w:p>
          <w:p w14:paraId="0B6CA932">
            <w:pPr>
              <w:pStyle w:val="96"/>
              <w:spacing w:before="1" w:line="364" w:lineRule="auto"/>
              <w:ind w:left="107" w:right="-29" w:firstLine="480"/>
              <w:rPr>
                <w:rStyle w:val="41"/>
                <w:rFonts w:hint="default" w:ascii="Times New Roman" w:hAnsi="Times New Roman" w:eastAsia="宋体" w:cs="Times New Roman"/>
                <w:color w:val="000000"/>
                <w:sz w:val="24"/>
                <w:szCs w:val="24"/>
              </w:rPr>
            </w:pPr>
            <w:r>
              <w:rPr>
                <w:rStyle w:val="41"/>
                <w:rFonts w:hint="default" w:ascii="Times New Roman" w:hAnsi="Times New Roman" w:eastAsia="宋体" w:cs="Times New Roman"/>
                <w:color w:val="000000"/>
                <w:sz w:val="24"/>
                <w:szCs w:val="24"/>
                <w:lang w:val="en-US" w:eastAsia="zh-CN"/>
              </w:rPr>
              <w:t>项目废气产生量小，无组织粉尘经车间密闭、自然沉降通风管控，有机废气经集气收集+二级活性炭吸附治理后，均可稳定满足</w:t>
            </w:r>
            <w:r>
              <w:rPr>
                <w:rStyle w:val="41"/>
                <w:rFonts w:hint="default" w:ascii="Times New Roman" w:hAnsi="Times New Roman" w:eastAsia="宋体" w:cs="Times New Roman"/>
                <w:color w:val="000000"/>
                <w:sz w:val="24"/>
                <w:szCs w:val="24"/>
              </w:rPr>
              <w:t>《合成树脂工业污染物排放标准》（GB31572-2015</w:t>
            </w:r>
            <w:r>
              <w:rPr>
                <w:rFonts w:hint="default" w:eastAsia="宋体" w:cs="Times New Roman"/>
                <w:color w:val="auto"/>
                <w:sz w:val="24"/>
                <w:u w:val="none"/>
                <w:lang w:val="en-US" w:eastAsia="zh-CN"/>
              </w:rPr>
              <w:t>含2024年修改单</w:t>
            </w:r>
            <w:r>
              <w:rPr>
                <w:rStyle w:val="41"/>
                <w:rFonts w:hint="default" w:ascii="Times New Roman" w:hAnsi="Times New Roman" w:eastAsia="宋体" w:cs="Times New Roman"/>
                <w:color w:val="000000"/>
                <w:sz w:val="24"/>
                <w:szCs w:val="24"/>
              </w:rPr>
              <w:t>）表4大气污染物排放限值</w:t>
            </w:r>
            <w:r>
              <w:rPr>
                <w:rStyle w:val="41"/>
                <w:rFonts w:hint="default" w:ascii="Times New Roman" w:hAnsi="Times New Roman" w:eastAsia="宋体" w:cs="Times New Roman"/>
                <w:color w:val="000000"/>
                <w:sz w:val="24"/>
                <w:szCs w:val="24"/>
                <w:lang w:val="en-US" w:eastAsia="zh-CN"/>
              </w:rPr>
              <w:t>，废气环境影响可接受。</w:t>
            </w:r>
          </w:p>
          <w:p w14:paraId="09C8872F">
            <w:pPr>
              <w:adjustRightInd w:val="0"/>
              <w:snapToGrid w:val="0"/>
              <w:spacing w:before="120" w:beforeLines="50" w:line="360" w:lineRule="auto"/>
              <w:ind w:firstLine="482" w:firstLineChars="200"/>
              <w:rPr>
                <w:rFonts w:hint="default" w:ascii="Times New Roman" w:hAnsi="Times New Roman" w:cs="Times New Roman"/>
                <w:b/>
                <w:bCs/>
                <w:color w:val="auto"/>
                <w:sz w:val="24"/>
                <w:u w:val="none"/>
              </w:rPr>
            </w:pPr>
            <w:r>
              <w:rPr>
                <w:rFonts w:hint="default" w:ascii="Times New Roman" w:hAnsi="Times New Roman" w:cs="Times New Roman"/>
                <w:b/>
                <w:bCs/>
                <w:color w:val="auto"/>
                <w:sz w:val="24"/>
                <w:u w:val="none"/>
              </w:rPr>
              <w:t>（二）废水</w:t>
            </w:r>
          </w:p>
          <w:p w14:paraId="085A17FE">
            <w:pPr>
              <w:spacing w:line="360" w:lineRule="auto"/>
              <w:ind w:firstLine="482" w:firstLineChars="200"/>
              <w:textAlignment w:val="baseline"/>
              <w:rPr>
                <w:rFonts w:hint="default" w:ascii="Times New Roman" w:hAnsi="Times New Roman" w:cs="Times New Roman"/>
                <w:b/>
                <w:bCs/>
                <w:color w:val="auto"/>
                <w:sz w:val="24"/>
                <w:u w:val="none"/>
              </w:rPr>
            </w:pPr>
            <w:r>
              <w:rPr>
                <w:rFonts w:hint="default" w:ascii="Times New Roman" w:hAnsi="Times New Roman" w:cs="Times New Roman"/>
                <w:b/>
                <w:bCs/>
                <w:color w:val="auto"/>
                <w:sz w:val="24"/>
                <w:u w:val="none"/>
              </w:rPr>
              <w:t>1、废水污染源</w:t>
            </w:r>
          </w:p>
          <w:p w14:paraId="2F9DABEE">
            <w:pPr>
              <w:pStyle w:val="102"/>
              <w:spacing w:before="0" w:beforeAutospacing="0" w:after="0" w:afterAutospacing="0" w:line="360" w:lineRule="auto"/>
              <w:ind w:firstLine="482" w:firstLineChars="200"/>
              <w:jc w:val="both"/>
              <w:rPr>
                <w:rFonts w:hint="default" w:ascii="Times New Roman" w:hAnsi="Times New Roman" w:cs="Times New Roman"/>
                <w:b/>
                <w:bCs/>
                <w:color w:val="auto"/>
                <w:u w:val="none"/>
              </w:rPr>
            </w:pPr>
            <w:r>
              <w:rPr>
                <w:rFonts w:hint="default" w:ascii="Times New Roman" w:hAnsi="Times New Roman" w:cs="Times New Roman"/>
                <w:b/>
                <w:bCs/>
                <w:color w:val="auto"/>
                <w:u w:val="none"/>
              </w:rPr>
              <w:t>（1）生产废水</w:t>
            </w:r>
          </w:p>
          <w:p w14:paraId="22BBCF9E">
            <w:pPr>
              <w:pStyle w:val="102"/>
              <w:spacing w:before="0" w:beforeAutospacing="0" w:after="0" w:afterAutospacing="0" w:line="360" w:lineRule="auto"/>
              <w:ind w:firstLine="480" w:firstLineChars="200"/>
              <w:jc w:val="both"/>
              <w:rPr>
                <w:rFonts w:hint="default" w:ascii="Times New Roman" w:hAnsi="Times New Roman" w:eastAsia="宋体" w:cs="Times New Roman"/>
                <w:color w:val="auto"/>
                <w:u w:val="single"/>
                <w:lang w:val="en-US" w:eastAsia="zh-CN"/>
              </w:rPr>
            </w:pPr>
            <w:r>
              <w:rPr>
                <w:rFonts w:hint="default" w:ascii="Times New Roman" w:hAnsi="Times New Roman" w:eastAsia="宋体" w:cs="Times New Roman"/>
                <w:sz w:val="24"/>
                <w:szCs w:val="24"/>
              </w:rPr>
              <w:t>本项目注塑机配套密闭循环冷却系统，冷却水仅用于模具降温，系统为全封闭循环，仅补充蒸发损耗新鲜自来水，无生产冷却废水外排，不存在上浆、喷淋、离心等工艺废水，无配套水循环处理设施。全年冷却补水60t/a，全部以蒸发形式损耗</w:t>
            </w:r>
            <w:r>
              <w:rPr>
                <w:rFonts w:hint="default" w:ascii="Times New Roman" w:hAnsi="Times New Roman" w:cs="Times New Roman"/>
                <w:color w:val="auto"/>
                <w:u w:val="none"/>
                <w:lang w:val="en-US" w:eastAsia="zh-CN"/>
              </w:rPr>
              <w:t>。</w:t>
            </w:r>
          </w:p>
          <w:p w14:paraId="7B552CF8">
            <w:pPr>
              <w:pStyle w:val="102"/>
              <w:spacing w:before="0" w:beforeAutospacing="0" w:after="0" w:afterAutospacing="0" w:line="360" w:lineRule="auto"/>
              <w:ind w:firstLine="482" w:firstLineChars="200"/>
              <w:jc w:val="both"/>
              <w:rPr>
                <w:rFonts w:hint="default" w:ascii="Times New Roman" w:hAnsi="Times New Roman" w:cs="Times New Roman"/>
                <w:b/>
                <w:bCs/>
                <w:color w:val="auto"/>
                <w:u w:val="none"/>
              </w:rPr>
            </w:pPr>
            <w:r>
              <w:rPr>
                <w:rFonts w:hint="default" w:ascii="Times New Roman" w:hAnsi="Times New Roman" w:cs="Times New Roman"/>
                <w:b/>
                <w:bCs/>
                <w:color w:val="auto"/>
                <w:u w:val="none"/>
              </w:rPr>
              <w:t>（2）生活污水</w:t>
            </w:r>
          </w:p>
          <w:p w14:paraId="3D97F2B8">
            <w:pPr>
              <w:spacing w:line="360" w:lineRule="auto"/>
              <w:ind w:firstLine="480" w:firstLineChars="200"/>
              <w:rPr>
                <w:rFonts w:hint="default" w:ascii="Times New Roman" w:hAnsi="Times New Roman" w:cs="Times New Roman"/>
                <w:color w:val="auto"/>
                <w:spacing w:val="-3"/>
                <w:sz w:val="24"/>
                <w:u w:val="none"/>
              </w:rPr>
            </w:pPr>
            <w:r>
              <w:rPr>
                <w:rFonts w:hint="default" w:ascii="Times New Roman" w:hAnsi="Times New Roman" w:eastAsia="宋体" w:cs="Times New Roman"/>
                <w:sz w:val="24"/>
                <w:szCs w:val="24"/>
              </w:rPr>
              <w:t>项目劳动定员10人，全部不在厂区食宿。依据</w:t>
            </w:r>
            <w:r>
              <w:rPr>
                <w:rFonts w:hint="default" w:cs="Times New Roman"/>
                <w:sz w:val="24"/>
                <w:szCs w:val="24"/>
                <w:lang w:val="en-US" w:eastAsia="zh-CN"/>
              </w:rPr>
              <w:t>湖南省地方标准</w:t>
            </w:r>
            <w:r>
              <w:rPr>
                <w:rStyle w:val="41"/>
                <w:rFonts w:hint="default" w:ascii="Times New Roman" w:hAnsi="Times New Roman" w:eastAsia="宋体" w:cs="Times New Roman"/>
                <w:color w:val="000000"/>
                <w:sz w:val="24"/>
                <w:szCs w:val="24"/>
              </w:rPr>
              <w:t>《用水定额第3部分：生活、服务业及建筑业》</w:t>
            </w:r>
            <w:r>
              <w:rPr>
                <w:rStyle w:val="41"/>
                <w:rFonts w:hint="default" w:cs="Times New Roman"/>
                <w:color w:val="000000"/>
                <w:sz w:val="24"/>
                <w:szCs w:val="24"/>
                <w:lang w:eastAsia="zh-CN"/>
              </w:rPr>
              <w:t>（</w:t>
            </w:r>
            <w:r>
              <w:rPr>
                <w:rStyle w:val="41"/>
                <w:rFonts w:hint="default" w:ascii="Times New Roman" w:hAnsi="Times New Roman" w:eastAsia="宋体" w:cs="Times New Roman"/>
                <w:color w:val="000000"/>
                <w:sz w:val="24"/>
                <w:szCs w:val="24"/>
              </w:rPr>
              <w:t>DB43/T388.3—2025</w:t>
            </w:r>
            <w:r>
              <w:rPr>
                <w:rStyle w:val="41"/>
                <w:rFonts w:hint="default" w:cs="Times New Roman"/>
                <w:color w:val="000000"/>
                <w:sz w:val="24"/>
                <w:szCs w:val="24"/>
                <w:lang w:eastAsia="zh-CN"/>
              </w:rPr>
              <w:t>）</w:t>
            </w:r>
            <w:r>
              <w:rPr>
                <w:rFonts w:hint="default" w:ascii="Times New Roman" w:hAnsi="Times New Roman" w:eastAsia="宋体" w:cs="Times New Roman"/>
                <w:sz w:val="24"/>
                <w:szCs w:val="24"/>
              </w:rPr>
              <w:t>工业企业非食宿职工用水定额30L/人・d核算：日生活用水量0.3t/</w:t>
            </w:r>
            <w:r>
              <w:rPr>
                <w:rFonts w:hint="default" w:cs="Times New Roman"/>
                <w:sz w:val="24"/>
                <w:szCs w:val="24"/>
                <w:lang w:val="en-US" w:eastAsia="zh-CN"/>
              </w:rPr>
              <w:t>d</w:t>
            </w:r>
            <w:r>
              <w:rPr>
                <w:rFonts w:hint="default" w:ascii="Times New Roman" w:hAnsi="Times New Roman" w:eastAsia="宋体" w:cs="Times New Roman"/>
                <w:sz w:val="24"/>
                <w:szCs w:val="24"/>
              </w:rPr>
              <w:t>，全年生活用水量90t/a；污水产生系数取0.85，年生活污水产生量76.5t/a。生活污水原生污染物浓度：COD300mg/L、BOD₅150mg/L、SS200mg/L、氨氮21mg/L。生活污水经厂区化粪池预处理，达到《污水综合排放标准》（GB8978-1996）表4三级</w:t>
            </w:r>
            <w:r>
              <w:rPr>
                <w:rFonts w:hint="default" w:ascii="Times New Roman" w:hAnsi="Times New Roman" w:eastAsia="宋体" w:cs="Times New Roman"/>
                <w:color w:val="auto"/>
                <w:sz w:val="24"/>
                <w:u w:val="none"/>
                <w:lang w:val="en-GB"/>
              </w:rPr>
              <w:t>及园区污水处理厂纳管标准较严值</w:t>
            </w:r>
            <w:r>
              <w:rPr>
                <w:rFonts w:hint="default" w:ascii="Times New Roman" w:hAnsi="Times New Roman" w:eastAsia="宋体" w:cs="Times New Roman"/>
                <w:sz w:val="24"/>
                <w:szCs w:val="24"/>
              </w:rPr>
              <w:t>后，沿金源路市政污水管网接入东安经济开发区工业污水处理厂；污水厂采用改良AAO+絮凝沉淀过滤+紫外消毒工艺，出水执行《城镇污水处理厂污染物排放标准》（GB18918-2002）一级A标准，尾水最终排入宥江河</w:t>
            </w:r>
            <w:r>
              <w:rPr>
                <w:rFonts w:hint="default" w:ascii="Times New Roman" w:hAnsi="Times New Roman" w:cs="Times New Roman"/>
                <w:color w:val="auto"/>
                <w:spacing w:val="-3"/>
                <w:sz w:val="24"/>
                <w:u w:val="none"/>
              </w:rPr>
              <w:t>。</w:t>
            </w:r>
          </w:p>
          <w:p w14:paraId="4F96407C">
            <w:pPr>
              <w:jc w:val="center"/>
              <w:rPr>
                <w:rFonts w:hint="default" w:ascii="Times New Roman" w:hAnsi="Times New Roman" w:cs="Times New Roman"/>
                <w:b/>
                <w:bCs/>
                <w:color w:val="auto"/>
                <w:u w:val="none"/>
              </w:rPr>
            </w:pPr>
            <w:r>
              <w:rPr>
                <w:rFonts w:hint="default" w:ascii="Times New Roman" w:hAnsi="Times New Roman" w:cs="Times New Roman"/>
                <w:b/>
                <w:bCs/>
                <w:color w:val="auto"/>
                <w:u w:val="none"/>
              </w:rPr>
              <w:t>表4-</w:t>
            </w:r>
            <w:r>
              <w:rPr>
                <w:rFonts w:hint="default" w:ascii="Times New Roman" w:hAnsi="Times New Roman" w:cs="Times New Roman"/>
                <w:b/>
                <w:bCs/>
                <w:color w:val="auto"/>
                <w:u w:val="none"/>
                <w:lang w:val="en-US" w:eastAsia="zh-CN"/>
              </w:rPr>
              <w:t xml:space="preserve">5  </w:t>
            </w:r>
            <w:r>
              <w:rPr>
                <w:rFonts w:hint="default" w:ascii="Times New Roman" w:hAnsi="Times New Roman" w:cs="Times New Roman"/>
                <w:b/>
                <w:bCs/>
                <w:color w:val="auto"/>
                <w:u w:val="none"/>
              </w:rPr>
              <w:t>项目废水产排情况一览表</w:t>
            </w:r>
          </w:p>
          <w:tbl>
            <w:tblPr>
              <w:tblStyle w:val="38"/>
              <w:tblW w:w="8040" w:type="dxa"/>
              <w:tblInd w:w="-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608"/>
              <w:gridCol w:w="1608"/>
              <w:gridCol w:w="1608"/>
              <w:gridCol w:w="1608"/>
              <w:gridCol w:w="1608"/>
            </w:tblGrid>
            <w:tr w14:paraId="7B5F7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08" w:type="dxa"/>
                  <w:tcBorders>
                    <w:tl2br w:val="nil"/>
                    <w:tr2bl w:val="nil"/>
                  </w:tcBorders>
                  <w:shd w:val="clear" w:color="auto" w:fill="auto"/>
                  <w:noWrap/>
                  <w:vAlign w:val="center"/>
                </w:tcPr>
                <w:p w14:paraId="230D8224">
                  <w:pPr>
                    <w:pStyle w:val="4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污染源</w:t>
                  </w:r>
                </w:p>
              </w:tc>
              <w:tc>
                <w:tcPr>
                  <w:tcW w:w="1608" w:type="dxa"/>
                  <w:tcBorders>
                    <w:tl2br w:val="nil"/>
                    <w:tr2bl w:val="nil"/>
                  </w:tcBorders>
                  <w:shd w:val="clear" w:color="auto" w:fill="auto"/>
                  <w:noWrap/>
                  <w:vAlign w:val="center"/>
                </w:tcPr>
                <w:p w14:paraId="57420816">
                  <w:pPr>
                    <w:pStyle w:val="4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污染物</w:t>
                  </w:r>
                </w:p>
              </w:tc>
              <w:tc>
                <w:tcPr>
                  <w:tcW w:w="1608" w:type="dxa"/>
                  <w:tcBorders>
                    <w:tl2br w:val="nil"/>
                    <w:tr2bl w:val="nil"/>
                  </w:tcBorders>
                  <w:shd w:val="clear" w:color="auto" w:fill="auto"/>
                  <w:noWrap/>
                  <w:vAlign w:val="center"/>
                </w:tcPr>
                <w:p w14:paraId="312945C4">
                  <w:pPr>
                    <w:pStyle w:val="4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原生污水（化粪池进口）</w:t>
                  </w:r>
                </w:p>
              </w:tc>
              <w:tc>
                <w:tcPr>
                  <w:tcW w:w="1608" w:type="dxa"/>
                  <w:tcBorders>
                    <w:tl2br w:val="nil"/>
                    <w:tr2bl w:val="nil"/>
                  </w:tcBorders>
                  <w:shd w:val="clear" w:color="auto" w:fill="auto"/>
                  <w:noWrap/>
                  <w:vAlign w:val="center"/>
                </w:tcPr>
                <w:p w14:paraId="19EFFF52">
                  <w:pPr>
                    <w:pStyle w:val="4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化粪池预处理后排入管网</w:t>
                  </w:r>
                </w:p>
              </w:tc>
              <w:tc>
                <w:tcPr>
                  <w:tcW w:w="1608" w:type="dxa"/>
                  <w:tcBorders>
                    <w:tl2br w:val="nil"/>
                    <w:tr2bl w:val="nil"/>
                  </w:tcBorders>
                  <w:shd w:val="clear" w:color="auto" w:fill="auto"/>
                  <w:noWrap/>
                  <w:vAlign w:val="center"/>
                </w:tcPr>
                <w:p w14:paraId="475A8A03">
                  <w:pPr>
                    <w:pStyle w:val="4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污水处理厂最终外排宥江河</w:t>
                  </w:r>
                </w:p>
              </w:tc>
            </w:tr>
            <w:tr w14:paraId="507A6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608" w:type="dxa"/>
                  <w:vMerge w:val="restart"/>
                  <w:tcBorders>
                    <w:tl2br w:val="nil"/>
                    <w:tr2bl w:val="nil"/>
                  </w:tcBorders>
                  <w:shd w:val="clear" w:color="auto" w:fill="auto"/>
                  <w:noWrap/>
                  <w:vAlign w:val="center"/>
                </w:tcPr>
                <w:p w14:paraId="43CF414D">
                  <w:pPr>
                    <w:pStyle w:val="4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生活污水排水量76.5t/a</w:t>
                  </w:r>
                </w:p>
              </w:tc>
              <w:tc>
                <w:tcPr>
                  <w:tcW w:w="1608" w:type="dxa"/>
                  <w:tcBorders>
                    <w:tl2br w:val="nil"/>
                    <w:tr2bl w:val="nil"/>
                  </w:tcBorders>
                  <w:shd w:val="clear" w:color="auto" w:fill="auto"/>
                  <w:noWrap/>
                  <w:vAlign w:val="center"/>
                </w:tcPr>
                <w:p w14:paraId="425D3859">
                  <w:pPr>
                    <w:pStyle w:val="4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COD</w:t>
                  </w:r>
                </w:p>
              </w:tc>
              <w:tc>
                <w:tcPr>
                  <w:tcW w:w="1608" w:type="dxa"/>
                  <w:tcBorders>
                    <w:tl2br w:val="nil"/>
                    <w:tr2bl w:val="nil"/>
                  </w:tcBorders>
                  <w:shd w:val="clear" w:color="auto" w:fill="auto"/>
                  <w:noWrap/>
                  <w:vAlign w:val="center"/>
                </w:tcPr>
                <w:p w14:paraId="69C0C8C1">
                  <w:pPr>
                    <w:pStyle w:val="4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300mg/L，0.023t/a</w:t>
                  </w:r>
                </w:p>
              </w:tc>
              <w:tc>
                <w:tcPr>
                  <w:tcW w:w="1608" w:type="dxa"/>
                  <w:tcBorders>
                    <w:tl2br w:val="nil"/>
                    <w:tr2bl w:val="nil"/>
                  </w:tcBorders>
                  <w:shd w:val="clear" w:color="auto" w:fill="auto"/>
                  <w:noWrap/>
                  <w:vAlign w:val="center"/>
                </w:tcPr>
                <w:p w14:paraId="5EE1DEED">
                  <w:pPr>
                    <w:pStyle w:val="4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200mg/L，0.0153t/a</w:t>
                  </w:r>
                </w:p>
              </w:tc>
              <w:tc>
                <w:tcPr>
                  <w:tcW w:w="1608" w:type="dxa"/>
                  <w:tcBorders>
                    <w:tl2br w:val="nil"/>
                    <w:tr2bl w:val="nil"/>
                  </w:tcBorders>
                  <w:shd w:val="clear" w:color="auto" w:fill="auto"/>
                  <w:noWrap/>
                  <w:vAlign w:val="center"/>
                </w:tcPr>
                <w:p w14:paraId="4D2141C4">
                  <w:pPr>
                    <w:pStyle w:val="4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50mg/L，0.0038t/a</w:t>
                  </w:r>
                </w:p>
              </w:tc>
            </w:tr>
            <w:tr w14:paraId="40315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08" w:type="dxa"/>
                  <w:vMerge w:val="continue"/>
                  <w:tcBorders>
                    <w:tl2br w:val="nil"/>
                    <w:tr2bl w:val="nil"/>
                  </w:tcBorders>
                  <w:shd w:val="clear" w:color="auto" w:fill="auto"/>
                  <w:noWrap/>
                  <w:vAlign w:val="center"/>
                </w:tcPr>
                <w:p w14:paraId="49D8F006">
                  <w:pPr>
                    <w:pStyle w:val="48"/>
                    <w:jc w:val="center"/>
                    <w:rPr>
                      <w:rFonts w:hint="default" w:ascii="Times New Roman" w:hAnsi="Times New Roman" w:eastAsia="宋体" w:cs="Times New Roman"/>
                      <w:color w:val="auto"/>
                      <w:sz w:val="21"/>
                      <w:szCs w:val="21"/>
                      <w:u w:val="none"/>
                    </w:rPr>
                  </w:pPr>
                </w:p>
              </w:tc>
              <w:tc>
                <w:tcPr>
                  <w:tcW w:w="1608" w:type="dxa"/>
                  <w:tcBorders>
                    <w:tl2br w:val="nil"/>
                    <w:tr2bl w:val="nil"/>
                  </w:tcBorders>
                  <w:shd w:val="clear" w:color="auto" w:fill="auto"/>
                  <w:noWrap/>
                  <w:vAlign w:val="center"/>
                </w:tcPr>
                <w:p w14:paraId="364679B6">
                  <w:pPr>
                    <w:pStyle w:val="4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BOD₅</w:t>
                  </w:r>
                </w:p>
              </w:tc>
              <w:tc>
                <w:tcPr>
                  <w:tcW w:w="1608" w:type="dxa"/>
                  <w:tcBorders>
                    <w:tl2br w:val="nil"/>
                    <w:tr2bl w:val="nil"/>
                  </w:tcBorders>
                  <w:shd w:val="clear" w:color="auto" w:fill="auto"/>
                  <w:noWrap/>
                  <w:vAlign w:val="center"/>
                </w:tcPr>
                <w:p w14:paraId="668B0E6C">
                  <w:pPr>
                    <w:pStyle w:val="4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150mg/L，0.0115t/a</w:t>
                  </w:r>
                </w:p>
              </w:tc>
              <w:tc>
                <w:tcPr>
                  <w:tcW w:w="1608" w:type="dxa"/>
                  <w:tcBorders>
                    <w:tl2br w:val="nil"/>
                    <w:tr2bl w:val="nil"/>
                  </w:tcBorders>
                  <w:shd w:val="clear" w:color="auto" w:fill="auto"/>
                  <w:noWrap/>
                  <w:vAlign w:val="center"/>
                </w:tcPr>
                <w:p w14:paraId="3F487475">
                  <w:pPr>
                    <w:pStyle w:val="4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100mg/L，0.0077t/a</w:t>
                  </w:r>
                </w:p>
              </w:tc>
              <w:tc>
                <w:tcPr>
                  <w:tcW w:w="1608" w:type="dxa"/>
                  <w:tcBorders>
                    <w:tl2br w:val="nil"/>
                    <w:tr2bl w:val="nil"/>
                  </w:tcBorders>
                  <w:shd w:val="clear" w:color="auto" w:fill="auto"/>
                  <w:noWrap/>
                  <w:vAlign w:val="center"/>
                </w:tcPr>
                <w:p w14:paraId="3127F869">
                  <w:pPr>
                    <w:pStyle w:val="4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10mg/L，0.00077t/a</w:t>
                  </w:r>
                </w:p>
              </w:tc>
            </w:tr>
            <w:tr w14:paraId="08850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08" w:type="dxa"/>
                  <w:vMerge w:val="continue"/>
                  <w:tcBorders>
                    <w:tl2br w:val="nil"/>
                    <w:tr2bl w:val="nil"/>
                  </w:tcBorders>
                  <w:shd w:val="clear" w:color="auto" w:fill="auto"/>
                  <w:noWrap/>
                  <w:vAlign w:val="center"/>
                </w:tcPr>
                <w:p w14:paraId="1A5C90A7">
                  <w:pPr>
                    <w:pStyle w:val="48"/>
                    <w:jc w:val="center"/>
                    <w:rPr>
                      <w:rFonts w:hint="default" w:ascii="Times New Roman" w:hAnsi="Times New Roman" w:eastAsia="宋体" w:cs="Times New Roman"/>
                      <w:color w:val="auto"/>
                      <w:sz w:val="21"/>
                      <w:szCs w:val="21"/>
                      <w:u w:val="none"/>
                    </w:rPr>
                  </w:pPr>
                </w:p>
              </w:tc>
              <w:tc>
                <w:tcPr>
                  <w:tcW w:w="1608" w:type="dxa"/>
                  <w:tcBorders>
                    <w:tl2br w:val="nil"/>
                    <w:tr2bl w:val="nil"/>
                  </w:tcBorders>
                  <w:shd w:val="clear" w:color="auto" w:fill="auto"/>
                  <w:noWrap/>
                  <w:vAlign w:val="center"/>
                </w:tcPr>
                <w:p w14:paraId="3D474C26">
                  <w:pPr>
                    <w:pStyle w:val="4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SS</w:t>
                  </w:r>
                </w:p>
              </w:tc>
              <w:tc>
                <w:tcPr>
                  <w:tcW w:w="1608" w:type="dxa"/>
                  <w:tcBorders>
                    <w:tl2br w:val="nil"/>
                    <w:tr2bl w:val="nil"/>
                  </w:tcBorders>
                  <w:shd w:val="clear" w:color="auto" w:fill="auto"/>
                  <w:noWrap/>
                  <w:vAlign w:val="center"/>
                </w:tcPr>
                <w:p w14:paraId="43B1B993">
                  <w:pPr>
                    <w:pStyle w:val="4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200mg/L，0.0153t/a</w:t>
                  </w:r>
                </w:p>
              </w:tc>
              <w:tc>
                <w:tcPr>
                  <w:tcW w:w="1608" w:type="dxa"/>
                  <w:tcBorders>
                    <w:tl2br w:val="nil"/>
                    <w:tr2bl w:val="nil"/>
                  </w:tcBorders>
                  <w:shd w:val="clear" w:color="auto" w:fill="auto"/>
                  <w:noWrap/>
                  <w:vAlign w:val="center"/>
                </w:tcPr>
                <w:p w14:paraId="302ADBB9">
                  <w:pPr>
                    <w:pStyle w:val="4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100mg/L，0.0077t/a</w:t>
                  </w:r>
                </w:p>
              </w:tc>
              <w:tc>
                <w:tcPr>
                  <w:tcW w:w="1608" w:type="dxa"/>
                  <w:tcBorders>
                    <w:tl2br w:val="nil"/>
                    <w:tr2bl w:val="nil"/>
                  </w:tcBorders>
                  <w:shd w:val="clear" w:color="auto" w:fill="auto"/>
                  <w:noWrap/>
                  <w:vAlign w:val="center"/>
                </w:tcPr>
                <w:p w14:paraId="1EACCBCE">
                  <w:pPr>
                    <w:pStyle w:val="4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10mg/L，0.00077t/a</w:t>
                  </w:r>
                </w:p>
              </w:tc>
            </w:tr>
            <w:tr w14:paraId="7D819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08" w:type="dxa"/>
                  <w:vMerge w:val="continue"/>
                  <w:tcBorders>
                    <w:tl2br w:val="nil"/>
                    <w:tr2bl w:val="nil"/>
                  </w:tcBorders>
                  <w:shd w:val="clear" w:color="auto" w:fill="auto"/>
                  <w:noWrap/>
                  <w:vAlign w:val="center"/>
                </w:tcPr>
                <w:p w14:paraId="68E0B79A">
                  <w:pPr>
                    <w:pStyle w:val="48"/>
                    <w:jc w:val="center"/>
                    <w:rPr>
                      <w:rFonts w:hint="default" w:ascii="Times New Roman" w:hAnsi="Times New Roman" w:eastAsia="宋体" w:cs="Times New Roman"/>
                      <w:color w:val="auto"/>
                      <w:sz w:val="21"/>
                      <w:szCs w:val="21"/>
                      <w:u w:val="none"/>
                    </w:rPr>
                  </w:pPr>
                </w:p>
              </w:tc>
              <w:tc>
                <w:tcPr>
                  <w:tcW w:w="1608" w:type="dxa"/>
                  <w:tcBorders>
                    <w:tl2br w:val="nil"/>
                    <w:tr2bl w:val="nil"/>
                  </w:tcBorders>
                  <w:shd w:val="clear" w:color="auto" w:fill="auto"/>
                  <w:noWrap/>
                  <w:vAlign w:val="center"/>
                </w:tcPr>
                <w:p w14:paraId="13D77100">
                  <w:pPr>
                    <w:pStyle w:val="4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NH₃-N</w:t>
                  </w:r>
                </w:p>
              </w:tc>
              <w:tc>
                <w:tcPr>
                  <w:tcW w:w="1608" w:type="dxa"/>
                  <w:tcBorders>
                    <w:tl2br w:val="nil"/>
                    <w:tr2bl w:val="nil"/>
                  </w:tcBorders>
                  <w:shd w:val="clear" w:color="auto" w:fill="auto"/>
                  <w:noWrap/>
                  <w:vAlign w:val="center"/>
                </w:tcPr>
                <w:p w14:paraId="5A83BEA5">
                  <w:pPr>
                    <w:pStyle w:val="4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21mg/L，0.0016t/a</w:t>
                  </w:r>
                </w:p>
              </w:tc>
              <w:tc>
                <w:tcPr>
                  <w:tcW w:w="1608" w:type="dxa"/>
                  <w:tcBorders>
                    <w:tl2br w:val="nil"/>
                    <w:tr2bl w:val="nil"/>
                  </w:tcBorders>
                  <w:shd w:val="clear" w:color="auto" w:fill="auto"/>
                  <w:noWrap/>
                  <w:vAlign w:val="center"/>
                </w:tcPr>
                <w:p w14:paraId="15CA01B0">
                  <w:pPr>
                    <w:pStyle w:val="4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20mg/L，0.0015t/a</w:t>
                  </w:r>
                </w:p>
              </w:tc>
              <w:tc>
                <w:tcPr>
                  <w:tcW w:w="1608" w:type="dxa"/>
                  <w:tcBorders>
                    <w:tl2br w:val="nil"/>
                    <w:tr2bl w:val="nil"/>
                  </w:tcBorders>
                  <w:shd w:val="clear" w:color="auto" w:fill="auto"/>
                  <w:noWrap/>
                  <w:vAlign w:val="center"/>
                </w:tcPr>
                <w:p w14:paraId="77404540">
                  <w:pPr>
                    <w:pStyle w:val="4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5mg/L，0.00038t/a</w:t>
                  </w:r>
                </w:p>
              </w:tc>
            </w:tr>
            <w:tr w14:paraId="636D9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40" w:hRule="atLeast"/>
              </w:trPr>
              <w:tc>
                <w:tcPr>
                  <w:tcW w:w="1608" w:type="dxa"/>
                  <w:tcBorders>
                    <w:tl2br w:val="nil"/>
                    <w:tr2bl w:val="nil"/>
                  </w:tcBorders>
                  <w:shd w:val="clear" w:color="auto" w:fill="auto"/>
                  <w:noWrap/>
                  <w:vAlign w:val="center"/>
                </w:tcPr>
                <w:p w14:paraId="10634BB5">
                  <w:pPr>
                    <w:pStyle w:val="4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排放方式</w:t>
                  </w:r>
                </w:p>
              </w:tc>
              <w:tc>
                <w:tcPr>
                  <w:tcW w:w="6432" w:type="dxa"/>
                  <w:gridSpan w:val="4"/>
                  <w:tcBorders>
                    <w:tl2br w:val="nil"/>
                    <w:tr2bl w:val="nil"/>
                  </w:tcBorders>
                  <w:shd w:val="clear" w:color="auto" w:fill="auto"/>
                  <w:noWrap/>
                  <w:vAlign w:val="center"/>
                </w:tcPr>
                <w:p w14:paraId="5917398E">
                  <w:pPr>
                    <w:pStyle w:val="4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间断间接排放</w:t>
                  </w:r>
                </w:p>
              </w:tc>
            </w:tr>
            <w:tr w14:paraId="7E3BF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08" w:type="dxa"/>
                  <w:tcBorders>
                    <w:tl2br w:val="nil"/>
                    <w:tr2bl w:val="nil"/>
                  </w:tcBorders>
                  <w:shd w:val="clear" w:color="auto" w:fill="auto"/>
                  <w:noWrap/>
                  <w:vAlign w:val="center"/>
                </w:tcPr>
                <w:p w14:paraId="60B0AE58">
                  <w:pPr>
                    <w:pStyle w:val="4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排放去向</w:t>
                  </w:r>
                </w:p>
              </w:tc>
              <w:tc>
                <w:tcPr>
                  <w:tcW w:w="6432" w:type="dxa"/>
                  <w:gridSpan w:val="4"/>
                  <w:tcBorders>
                    <w:tl2br w:val="nil"/>
                    <w:tr2bl w:val="nil"/>
                  </w:tcBorders>
                  <w:shd w:val="clear" w:color="auto" w:fill="auto"/>
                  <w:noWrap/>
                  <w:vAlign w:val="center"/>
                </w:tcPr>
                <w:p w14:paraId="389F6675">
                  <w:pPr>
                    <w:pStyle w:val="4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东安经济开发区工业污水处理厂→宥江河</w:t>
                  </w:r>
                </w:p>
              </w:tc>
            </w:tr>
            <w:tr w14:paraId="31A38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08" w:type="dxa"/>
                  <w:tcBorders>
                    <w:tl2br w:val="nil"/>
                    <w:tr2bl w:val="nil"/>
                  </w:tcBorders>
                  <w:shd w:val="clear" w:color="auto" w:fill="auto"/>
                  <w:noWrap/>
                  <w:vAlign w:val="center"/>
                </w:tcPr>
                <w:p w14:paraId="485F1877">
                  <w:pPr>
                    <w:pStyle w:val="4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排放规律</w:t>
                  </w:r>
                </w:p>
              </w:tc>
              <w:tc>
                <w:tcPr>
                  <w:tcW w:w="6432" w:type="dxa"/>
                  <w:gridSpan w:val="4"/>
                  <w:tcBorders>
                    <w:tl2br w:val="nil"/>
                    <w:tr2bl w:val="nil"/>
                  </w:tcBorders>
                  <w:shd w:val="clear" w:color="auto" w:fill="auto"/>
                  <w:noWrap/>
                  <w:vAlign w:val="center"/>
                </w:tcPr>
                <w:p w14:paraId="187FBEF2">
                  <w:pPr>
                    <w:pStyle w:val="4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间歇排放，日均0.255t，流量稳定波动小</w:t>
                  </w:r>
                </w:p>
              </w:tc>
            </w:tr>
            <w:tr w14:paraId="72F8E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08" w:type="dxa"/>
                  <w:tcBorders>
                    <w:tl2br w:val="nil"/>
                    <w:tr2bl w:val="nil"/>
                  </w:tcBorders>
                  <w:shd w:val="clear" w:color="auto" w:fill="auto"/>
                  <w:noWrap/>
                  <w:vAlign w:val="center"/>
                </w:tcPr>
                <w:p w14:paraId="6F62863F">
                  <w:pPr>
                    <w:pStyle w:val="4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排放口DW001</w:t>
                  </w:r>
                </w:p>
              </w:tc>
              <w:tc>
                <w:tcPr>
                  <w:tcW w:w="6432" w:type="dxa"/>
                  <w:gridSpan w:val="4"/>
                  <w:tcBorders>
                    <w:tl2br w:val="nil"/>
                    <w:tr2bl w:val="nil"/>
                  </w:tcBorders>
                  <w:shd w:val="clear" w:color="auto" w:fill="auto"/>
                  <w:noWrap/>
                  <w:vAlign w:val="center"/>
                </w:tcPr>
                <w:p w14:paraId="1555B00A">
                  <w:pPr>
                    <w:pStyle w:val="4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一般生活污水排放口，坐标东经111.329699°，北纬26.405285°</w:t>
                  </w:r>
                </w:p>
              </w:tc>
            </w:tr>
            <w:tr w14:paraId="49274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608" w:type="dxa"/>
                  <w:tcBorders>
                    <w:tl2br w:val="nil"/>
                    <w:tr2bl w:val="nil"/>
                  </w:tcBorders>
                  <w:shd w:val="clear" w:color="auto" w:fill="auto"/>
                  <w:noWrap/>
                  <w:vAlign w:val="center"/>
                </w:tcPr>
                <w:p w14:paraId="3C3F2829">
                  <w:pPr>
                    <w:pStyle w:val="4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纳管执行标准</w:t>
                  </w:r>
                </w:p>
              </w:tc>
              <w:tc>
                <w:tcPr>
                  <w:tcW w:w="6432" w:type="dxa"/>
                  <w:gridSpan w:val="4"/>
                  <w:tcBorders>
                    <w:tl2br w:val="nil"/>
                    <w:tr2bl w:val="nil"/>
                  </w:tcBorders>
                  <w:shd w:val="clear" w:color="auto" w:fill="auto"/>
                  <w:noWrap/>
                  <w:vAlign w:val="center"/>
                </w:tcPr>
                <w:p w14:paraId="6D6E72AD">
                  <w:pPr>
                    <w:pStyle w:val="48"/>
                    <w:jc w:val="center"/>
                    <w:rPr>
                      <w:rFonts w:hint="default" w:ascii="Times New Roman" w:hAnsi="Times New Roman" w:eastAsia="宋体" w:cs="Times New Roman"/>
                      <w:color w:val="auto"/>
                      <w:sz w:val="21"/>
                      <w:szCs w:val="21"/>
                      <w:u w:val="none"/>
                    </w:rPr>
                  </w:pPr>
                  <w:r>
                    <w:rPr>
                      <w:rFonts w:hint="default" w:ascii="Times New Roman" w:hAnsi="Times New Roman" w:eastAsia="宋体" w:cs="Times New Roman"/>
                      <w:color w:val="auto"/>
                      <w:sz w:val="21"/>
                      <w:szCs w:val="21"/>
                      <w:u w:val="none"/>
                      <w:lang w:val="en-US" w:eastAsia="zh-CN"/>
                    </w:rPr>
                    <w:t>《污水综合排放标准》（GB8978-1996）表4三级</w:t>
                  </w:r>
                  <w:r>
                    <w:rPr>
                      <w:rFonts w:hint="default" w:ascii="Times New Roman" w:hAnsi="Times New Roman" w:eastAsia="宋体" w:cs="Times New Roman"/>
                      <w:color w:val="auto"/>
                      <w:sz w:val="21"/>
                      <w:szCs w:val="21"/>
                      <w:u w:val="none"/>
                      <w:lang w:val="en-US"/>
                    </w:rPr>
                    <w:t>及园区污水处理厂纳管标准较严值</w:t>
                  </w:r>
                </w:p>
              </w:tc>
            </w:tr>
          </w:tbl>
          <w:p w14:paraId="625FC950">
            <w:pPr>
              <w:jc w:val="center"/>
              <w:rPr>
                <w:rFonts w:hint="default" w:ascii="Times New Roman" w:hAnsi="Times New Roman" w:cs="Times New Roman"/>
                <w:b/>
                <w:bCs/>
                <w:color w:val="auto"/>
                <w:u w:val="none"/>
              </w:rPr>
            </w:pPr>
          </w:p>
          <w:p w14:paraId="00400D6F">
            <w:pPr>
              <w:spacing w:line="360" w:lineRule="auto"/>
              <w:ind w:firstLine="482" w:firstLineChars="200"/>
              <w:textAlignment w:val="baseline"/>
              <w:rPr>
                <w:rFonts w:hint="default" w:ascii="Times New Roman" w:hAnsi="Times New Roman" w:cs="Times New Roman"/>
                <w:b/>
                <w:bCs/>
                <w:color w:val="auto"/>
                <w:sz w:val="24"/>
                <w:u w:val="none"/>
              </w:rPr>
            </w:pPr>
            <w:r>
              <w:rPr>
                <w:rFonts w:hint="default" w:ascii="Times New Roman" w:hAnsi="Times New Roman" w:cs="Times New Roman"/>
                <w:b/>
                <w:bCs/>
                <w:color w:val="auto"/>
                <w:sz w:val="24"/>
                <w:u w:val="none"/>
              </w:rPr>
              <w:t>2、废水污染防治措施可行性分析</w:t>
            </w:r>
          </w:p>
          <w:p w14:paraId="0D7F78D9">
            <w:pPr>
              <w:tabs>
                <w:tab w:val="center" w:pos="4234"/>
              </w:tabs>
              <w:adjustRightInd w:val="0"/>
              <w:snapToGrid w:val="0"/>
              <w:spacing w:line="360" w:lineRule="auto"/>
              <w:ind w:firstLine="480" w:firstLineChars="200"/>
              <w:rPr>
                <w:rFonts w:hint="default" w:ascii="Times New Roman" w:hAnsi="Times New Roman" w:cs="Times New Roman"/>
                <w:color w:val="auto"/>
                <w:kern w:val="0"/>
                <w:sz w:val="24"/>
                <w:u w:val="none"/>
                <w:lang w:eastAsia="zh-CN"/>
              </w:rPr>
            </w:pPr>
            <w:r>
              <w:rPr>
                <w:rFonts w:hint="default" w:ascii="Times New Roman" w:hAnsi="Times New Roman" w:cs="Times New Roman"/>
                <w:color w:val="auto"/>
                <w:kern w:val="0"/>
                <w:sz w:val="24"/>
                <w:u w:val="none"/>
                <w:lang w:eastAsia="zh-CN"/>
              </w:rPr>
              <w:t>（</w:t>
            </w:r>
            <w:r>
              <w:rPr>
                <w:rFonts w:hint="default" w:ascii="Times New Roman" w:hAnsi="Times New Roman" w:cs="Times New Roman"/>
                <w:color w:val="auto"/>
                <w:kern w:val="0"/>
                <w:sz w:val="24"/>
                <w:u w:val="none"/>
                <w:lang w:val="en-US" w:eastAsia="zh-CN"/>
              </w:rPr>
              <w:t>1）</w:t>
            </w:r>
            <w:r>
              <w:rPr>
                <w:rFonts w:hint="default" w:ascii="Times New Roman" w:hAnsi="Times New Roman" w:cs="Times New Roman"/>
                <w:color w:val="auto"/>
                <w:kern w:val="0"/>
                <w:sz w:val="24"/>
                <w:u w:val="none"/>
                <w:lang w:eastAsia="zh-CN"/>
              </w:rPr>
              <w:t>生产废水防治措施可行性</w:t>
            </w:r>
          </w:p>
          <w:p w14:paraId="3785A865">
            <w:pPr>
              <w:pStyle w:val="102"/>
              <w:spacing w:before="0" w:beforeAutospacing="0" w:after="0" w:afterAutospacing="0" w:line="360" w:lineRule="auto"/>
              <w:ind w:firstLine="480" w:firstLineChars="200"/>
              <w:jc w:val="both"/>
              <w:rPr>
                <w:rFonts w:hint="default" w:ascii="Times New Roman" w:hAnsi="Times New Roman" w:eastAsia="宋体" w:cs="Times New Roman"/>
                <w:color w:val="auto"/>
                <w:u w:val="none"/>
                <w:lang w:eastAsia="zh-CN"/>
              </w:rPr>
            </w:pPr>
            <w:r>
              <w:rPr>
                <w:rFonts w:hint="default" w:ascii="Times New Roman" w:hAnsi="Times New Roman" w:eastAsia="宋体" w:cs="Times New Roman"/>
                <w:sz w:val="24"/>
                <w:szCs w:val="24"/>
              </w:rPr>
              <w:t>项目注塑冷却系统密闭循环，仅定期补充蒸发损耗用水，全程无废水产生、无外排，不新增水污染物，无需配套水处理设施，措施简单可行，无水环境风险</w:t>
            </w:r>
            <w:r>
              <w:rPr>
                <w:rFonts w:hint="default" w:ascii="Times New Roman" w:hAnsi="Times New Roman" w:cs="Times New Roman"/>
                <w:color w:val="auto"/>
                <w:u w:val="none"/>
                <w:lang w:eastAsia="zh-CN"/>
              </w:rPr>
              <w:t>。</w:t>
            </w:r>
          </w:p>
          <w:p w14:paraId="39FCE6D2">
            <w:pPr>
              <w:tabs>
                <w:tab w:val="center" w:pos="4234"/>
              </w:tabs>
              <w:adjustRightInd w:val="0"/>
              <w:snapToGrid w:val="0"/>
              <w:spacing w:line="360" w:lineRule="auto"/>
              <w:ind w:firstLine="480" w:firstLineChars="200"/>
              <w:rPr>
                <w:rFonts w:hint="default" w:ascii="Times New Roman" w:hAnsi="Times New Roman" w:cs="Times New Roman"/>
                <w:color w:val="auto"/>
                <w:kern w:val="0"/>
                <w:sz w:val="24"/>
                <w:u w:val="none"/>
                <w:lang w:eastAsia="zh-CN"/>
              </w:rPr>
            </w:pPr>
            <w:r>
              <w:rPr>
                <w:rFonts w:hint="default" w:ascii="Times New Roman" w:hAnsi="Times New Roman" w:cs="Times New Roman"/>
                <w:color w:val="auto"/>
                <w:kern w:val="0"/>
                <w:sz w:val="24"/>
                <w:u w:val="none"/>
                <w:lang w:eastAsia="zh-CN"/>
              </w:rPr>
              <w:t>（</w:t>
            </w:r>
            <w:r>
              <w:rPr>
                <w:rFonts w:hint="default" w:ascii="Times New Roman" w:hAnsi="Times New Roman" w:cs="Times New Roman"/>
                <w:color w:val="auto"/>
                <w:kern w:val="0"/>
                <w:sz w:val="24"/>
                <w:u w:val="none"/>
                <w:lang w:val="en-US" w:eastAsia="zh-CN"/>
              </w:rPr>
              <w:t>2）</w:t>
            </w:r>
            <w:r>
              <w:rPr>
                <w:rFonts w:hint="default" w:ascii="Times New Roman" w:hAnsi="Times New Roman" w:cs="Times New Roman"/>
                <w:color w:val="auto"/>
                <w:kern w:val="0"/>
                <w:sz w:val="24"/>
                <w:u w:val="none"/>
                <w:lang w:eastAsia="zh-CN"/>
              </w:rPr>
              <w:t>生活污水防治措施可行性</w:t>
            </w:r>
          </w:p>
          <w:p w14:paraId="72C5F7CA">
            <w:pPr>
              <w:tabs>
                <w:tab w:val="center" w:pos="4234"/>
              </w:tabs>
              <w:adjustRightInd w:val="0"/>
              <w:snapToGrid w:val="0"/>
              <w:spacing w:line="360" w:lineRule="auto"/>
              <w:ind w:firstLine="480" w:firstLineChars="200"/>
              <w:rPr>
                <w:rFonts w:hint="default" w:ascii="Times New Roman" w:hAnsi="Times New Roman" w:cs="Times New Roman"/>
                <w:color w:val="auto"/>
                <w:kern w:val="0"/>
                <w:sz w:val="24"/>
                <w:u w:val="none"/>
              </w:rPr>
            </w:pPr>
            <w:r>
              <w:rPr>
                <w:rFonts w:hint="default" w:ascii="Times New Roman" w:hAnsi="Times New Roman" w:cs="Times New Roman"/>
                <w:color w:val="auto"/>
                <w:kern w:val="0"/>
                <w:sz w:val="24"/>
                <w:u w:val="none"/>
              </w:rPr>
              <w:t>①预处理设施可行性分析</w:t>
            </w:r>
          </w:p>
          <w:p w14:paraId="4A082CC0">
            <w:pPr>
              <w:tabs>
                <w:tab w:val="center" w:pos="4234"/>
              </w:tabs>
              <w:adjustRightInd w:val="0"/>
              <w:snapToGrid w:val="0"/>
              <w:spacing w:line="360" w:lineRule="auto"/>
              <w:ind w:firstLine="480" w:firstLineChars="200"/>
              <w:rPr>
                <w:rFonts w:hint="default" w:ascii="Times New Roman" w:hAnsi="Times New Roman" w:cs="Times New Roman"/>
                <w:color w:val="auto"/>
                <w:kern w:val="0"/>
                <w:sz w:val="24"/>
                <w:u w:val="none"/>
              </w:rPr>
            </w:pPr>
            <w:r>
              <w:rPr>
                <w:rFonts w:hint="default" w:ascii="Times New Roman" w:hAnsi="Times New Roman" w:cs="Times New Roman"/>
                <w:color w:val="auto"/>
                <w:kern w:val="0"/>
                <w:sz w:val="24"/>
                <w:u w:val="none"/>
              </w:rPr>
              <w:t>项目生活污水经化粪池预处理，生活污水污染物主要为</w:t>
            </w:r>
            <w:r>
              <w:rPr>
                <w:rFonts w:hint="default" w:ascii="Times New Roman" w:hAnsi="Times New Roman" w:cs="Times New Roman"/>
                <w:color w:val="auto"/>
                <w:sz w:val="24"/>
                <w:u w:val="none"/>
              </w:rPr>
              <w:t>COD、BOD</w:t>
            </w:r>
            <w:r>
              <w:rPr>
                <w:rFonts w:hint="default" w:ascii="Times New Roman" w:hAnsi="Times New Roman" w:cs="Times New Roman"/>
                <w:color w:val="auto"/>
                <w:sz w:val="24"/>
                <w:u w:val="none"/>
                <w:vertAlign w:val="subscript"/>
              </w:rPr>
              <w:t>5</w:t>
            </w:r>
            <w:r>
              <w:rPr>
                <w:rFonts w:hint="default" w:ascii="Times New Roman" w:hAnsi="Times New Roman" w:cs="Times New Roman"/>
                <w:color w:val="auto"/>
                <w:sz w:val="24"/>
                <w:u w:val="none"/>
              </w:rPr>
              <w:t>、SS、氨氮等，污染物成分简单，浓度较低，经化粪池处理后</w:t>
            </w:r>
            <w:r>
              <w:rPr>
                <w:rFonts w:hint="default" w:ascii="Times New Roman" w:hAnsi="Times New Roman" w:cs="Times New Roman"/>
                <w:color w:val="auto"/>
                <w:spacing w:val="-5"/>
                <w:sz w:val="24"/>
                <w:u w:val="none"/>
              </w:rPr>
              <w:t>达《污水综合排放标准》</w:t>
            </w:r>
            <w:r>
              <w:rPr>
                <w:rFonts w:hint="default" w:ascii="Times New Roman" w:hAnsi="Times New Roman" w:cs="Times New Roman"/>
                <w:color w:val="auto"/>
                <w:spacing w:val="-3"/>
                <w:sz w:val="24"/>
                <w:u w:val="none"/>
              </w:rPr>
              <w:t>（GB8978-1996）</w:t>
            </w:r>
            <w:r>
              <w:rPr>
                <w:rFonts w:hint="default" w:ascii="Times New Roman" w:hAnsi="Times New Roman" w:cs="Times New Roman"/>
                <w:color w:val="auto"/>
                <w:spacing w:val="-4"/>
                <w:sz w:val="24"/>
                <w:u w:val="none"/>
              </w:rPr>
              <w:t>三级</w:t>
            </w:r>
            <w:r>
              <w:rPr>
                <w:rFonts w:hint="default" w:ascii="Times New Roman" w:hAnsi="Times New Roman" w:eastAsia="宋体" w:cs="Times New Roman"/>
                <w:color w:val="auto"/>
                <w:sz w:val="24"/>
                <w:u w:val="none"/>
                <w:lang w:val="en-GB"/>
              </w:rPr>
              <w:t>及园区污水处理厂纳管标准较严值</w:t>
            </w:r>
            <w:r>
              <w:rPr>
                <w:rFonts w:hint="default" w:ascii="Times New Roman" w:hAnsi="Times New Roman" w:cs="Times New Roman"/>
                <w:color w:val="auto"/>
                <w:kern w:val="0"/>
                <w:sz w:val="24"/>
                <w:u w:val="none"/>
              </w:rPr>
              <w:t>，满足排入市政污水管网的要求，本项目采用化粪池作为预处理技术是可行性技术。</w:t>
            </w:r>
          </w:p>
          <w:p w14:paraId="329C08F2">
            <w:pPr>
              <w:tabs>
                <w:tab w:val="center" w:pos="4234"/>
              </w:tabs>
              <w:adjustRightInd w:val="0"/>
              <w:snapToGrid w:val="0"/>
              <w:spacing w:line="360" w:lineRule="auto"/>
              <w:ind w:firstLine="480" w:firstLineChars="200"/>
              <w:rPr>
                <w:rFonts w:hint="default" w:ascii="Times New Roman" w:hAnsi="Times New Roman" w:cs="Times New Roman"/>
                <w:color w:val="auto"/>
                <w:kern w:val="0"/>
                <w:sz w:val="24"/>
                <w:u w:val="none"/>
              </w:rPr>
            </w:pPr>
            <w:r>
              <w:rPr>
                <w:rFonts w:hint="default" w:ascii="Times New Roman" w:hAnsi="Times New Roman" w:cs="Times New Roman"/>
                <w:color w:val="auto"/>
                <w:kern w:val="0"/>
                <w:sz w:val="24"/>
                <w:u w:val="none"/>
              </w:rPr>
              <w:t>②污水处理厂受纳可行性分析</w:t>
            </w:r>
          </w:p>
          <w:p w14:paraId="6A838A8A">
            <w:pPr>
              <w:pStyle w:val="126"/>
              <w:spacing w:line="360" w:lineRule="auto"/>
              <w:ind w:firstLine="480"/>
              <w:rPr>
                <w:rFonts w:hint="default" w:ascii="Times New Roman" w:hAnsi="Times New Roman" w:cs="Times New Roman"/>
                <w:color w:val="auto"/>
                <w:u w:val="none"/>
              </w:rPr>
            </w:pPr>
            <w:r>
              <w:rPr>
                <w:rFonts w:hint="default" w:ascii="Times New Roman" w:hAnsi="Times New Roman" w:cs="Times New Roman"/>
                <w:color w:val="auto"/>
                <w:u w:val="none"/>
              </w:rPr>
              <w:t>东安经济开发区工业园污水集中处理设施建设项目一期工程位于东安县东环路以西、广源路以南、湘桂铁路以北，建设单位为东安经济开发区工业园污水集中处理设施建设项目指挥部。项目总投资5594.29万元（环保投资252万元，占总投资的4.5%），拟分两期建设，一期建设规模为5000m</w:t>
            </w:r>
            <w:r>
              <w:rPr>
                <w:rFonts w:hint="default" w:ascii="Times New Roman" w:hAnsi="Times New Roman" w:cs="Times New Roman"/>
                <w:color w:val="auto"/>
                <w:u w:val="none"/>
                <w:vertAlign w:val="superscript"/>
              </w:rPr>
              <w:t>3</w:t>
            </w:r>
            <w:r>
              <w:rPr>
                <w:rFonts w:hint="default" w:ascii="Times New Roman" w:hAnsi="Times New Roman" w:cs="Times New Roman"/>
                <w:color w:val="auto"/>
                <w:u w:val="none"/>
              </w:rPr>
              <w:t>/d，配套污水提升泵站一座及总长度5210m污水管网，污水处理采用“改良型</w:t>
            </w:r>
            <w:r>
              <w:rPr>
                <w:rFonts w:hint="default" w:ascii="Times New Roman" w:hAnsi="Times New Roman" w:cs="Times New Roman"/>
                <w:color w:val="auto"/>
                <w:u w:val="none"/>
                <w:lang w:eastAsia="zh-CN"/>
              </w:rPr>
              <w:t>AAO</w:t>
            </w:r>
            <w:r>
              <w:rPr>
                <w:rFonts w:hint="default" w:ascii="Times New Roman" w:hAnsi="Times New Roman" w:cs="Times New Roman"/>
                <w:color w:val="auto"/>
                <w:u w:val="none"/>
              </w:rPr>
              <w:t>工艺”，深度处理采用“絮凝沉淀+过滤”，消毒采用“紫外光消毒工艺”，污泥采用“污泥干化工艺”，设计出水水质标准为《城镇污水处理厂污染物排放标准》（GB18918-2002）中一级A标准，纳污范围为东安县经济开发区白牙片区，纳污对象为纳污范围内生活污水及工业废水。</w:t>
            </w:r>
          </w:p>
          <w:p w14:paraId="6C1F42B8">
            <w:pPr>
              <w:pStyle w:val="91"/>
              <w:ind w:firstLine="480"/>
              <w:rPr>
                <w:rFonts w:hint="default" w:ascii="Times New Roman" w:hAnsi="Times New Roman" w:cs="Times New Roman"/>
                <w:color w:val="auto"/>
                <w:u w:val="none"/>
              </w:rPr>
            </w:pPr>
            <w:r>
              <w:rPr>
                <w:rFonts w:hint="default" w:ascii="Times New Roman" w:hAnsi="Times New Roman" w:cs="Times New Roman"/>
                <w:color w:val="auto"/>
                <w:u w:val="none"/>
              </w:rPr>
              <w:t>本项目位于湖南省永州市东安县经济开发区白牙市片区内，在东安经济开发区污水处理厂的纳污范围内。根据现场调查，本项目西面金源路和南面广源路已接通污水管网。项目生活污水可沿金源路-广源路进入污水处理厂。</w:t>
            </w:r>
          </w:p>
          <w:p w14:paraId="57776620">
            <w:pPr>
              <w:pStyle w:val="91"/>
              <w:ind w:firstLine="480"/>
              <w:rPr>
                <w:rFonts w:hint="default" w:ascii="Times New Roman" w:hAnsi="Times New Roman" w:cs="Times New Roman"/>
                <w:color w:val="auto"/>
                <w:kern w:val="0"/>
                <w:u w:val="none"/>
              </w:rPr>
            </w:pPr>
            <w:r>
              <w:rPr>
                <w:rFonts w:hint="default" w:ascii="Times New Roman" w:hAnsi="Times New Roman" w:cs="Times New Roman"/>
                <w:color w:val="auto"/>
                <w:u w:val="none"/>
              </w:rPr>
              <w:t>根据工程分析可知，本项目营运期污水排放量为</w:t>
            </w:r>
            <w:r>
              <w:rPr>
                <w:rFonts w:hint="default" w:ascii="Times New Roman" w:hAnsi="Times New Roman" w:cs="Times New Roman"/>
                <w:color w:val="auto"/>
                <w:u w:val="none"/>
                <w:lang w:val="en-US" w:eastAsia="zh-CN"/>
              </w:rPr>
              <w:t>0.255</w:t>
            </w:r>
            <w:r>
              <w:rPr>
                <w:rFonts w:hint="default" w:ascii="Times New Roman" w:hAnsi="Times New Roman" w:cs="Times New Roman"/>
                <w:color w:val="auto"/>
                <w:u w:val="none"/>
              </w:rPr>
              <w:t>m</w:t>
            </w:r>
            <w:r>
              <w:rPr>
                <w:rFonts w:hint="default" w:ascii="Times New Roman" w:hAnsi="Times New Roman" w:cs="Times New Roman"/>
                <w:color w:val="auto"/>
                <w:u w:val="none"/>
                <w:vertAlign w:val="superscript"/>
              </w:rPr>
              <w:t>3</w:t>
            </w:r>
            <w:r>
              <w:rPr>
                <w:rFonts w:hint="default" w:ascii="Times New Roman" w:hAnsi="Times New Roman" w:cs="Times New Roman"/>
                <w:color w:val="auto"/>
                <w:u w:val="none"/>
              </w:rPr>
              <w:t>/d，</w:t>
            </w:r>
            <w:r>
              <w:rPr>
                <w:rFonts w:hint="default" w:ascii="Times New Roman" w:hAnsi="Times New Roman" w:eastAsia="宋体" w:cs="Times New Roman"/>
                <w:sz w:val="24"/>
                <w:szCs w:val="24"/>
              </w:rPr>
              <w:t>占污水厂日处理规模比例极低</w:t>
            </w:r>
            <w:r>
              <w:rPr>
                <w:rFonts w:hint="default" w:ascii="Times New Roman" w:hAnsi="Times New Roman" w:cs="Times New Roman"/>
                <w:color w:val="auto"/>
                <w:u w:val="none"/>
              </w:rPr>
              <w:t>，且本项目废水经预处理后达到《污水综合排放标准》（GB8978－1996）三级</w:t>
            </w:r>
            <w:r>
              <w:rPr>
                <w:rFonts w:hint="default" w:ascii="Times New Roman" w:hAnsi="Times New Roman" w:eastAsia="宋体" w:cs="Times New Roman"/>
                <w:color w:val="auto"/>
                <w:sz w:val="24"/>
                <w:u w:val="none"/>
                <w:lang w:val="en-GB"/>
              </w:rPr>
              <w:t>及园区污水处理厂纳管标准较严值</w:t>
            </w:r>
            <w:r>
              <w:rPr>
                <w:rFonts w:hint="default" w:cs="Times New Roman"/>
                <w:color w:val="auto"/>
                <w:u w:val="none"/>
                <w:lang w:val="en-US" w:eastAsia="zh-CN"/>
              </w:rPr>
              <w:t>后</w:t>
            </w:r>
            <w:r>
              <w:rPr>
                <w:rFonts w:hint="default" w:ascii="Times New Roman" w:hAnsi="Times New Roman" w:cs="Times New Roman"/>
                <w:color w:val="auto"/>
                <w:u w:val="none"/>
              </w:rPr>
              <w:t>再进入</w:t>
            </w:r>
            <w:r>
              <w:rPr>
                <w:rFonts w:hint="default" w:cs="Times New Roman"/>
                <w:color w:val="auto"/>
                <w:u w:val="none"/>
                <w:lang w:val="en-US" w:eastAsia="zh-CN"/>
              </w:rPr>
              <w:t>园区污水</w:t>
            </w:r>
            <w:r>
              <w:rPr>
                <w:rFonts w:hint="default" w:ascii="Times New Roman" w:hAnsi="Times New Roman" w:cs="Times New Roman"/>
                <w:color w:val="auto"/>
                <w:u w:val="none"/>
              </w:rPr>
              <w:t>管网，不会对污水处理厂造成冲击负荷，从接受能力角度分析是可行的</w:t>
            </w:r>
            <w:r>
              <w:rPr>
                <w:rFonts w:hint="default" w:ascii="Times New Roman" w:hAnsi="Times New Roman" w:cs="Times New Roman"/>
                <w:color w:val="auto"/>
                <w:kern w:val="0"/>
                <w:u w:val="none"/>
              </w:rPr>
              <w:t>。</w:t>
            </w:r>
          </w:p>
          <w:p w14:paraId="32503A6B">
            <w:pPr>
              <w:pStyle w:val="91"/>
              <w:ind w:firstLine="482"/>
              <w:rPr>
                <w:rFonts w:hint="default" w:ascii="Times New Roman" w:hAnsi="Times New Roman" w:cs="Times New Roman"/>
                <w:b/>
                <w:bCs/>
                <w:color w:val="auto"/>
                <w:u w:val="none"/>
              </w:rPr>
            </w:pPr>
            <w:r>
              <w:rPr>
                <w:rFonts w:hint="default" w:ascii="Times New Roman" w:hAnsi="Times New Roman" w:cs="Times New Roman"/>
                <w:b/>
                <w:bCs/>
                <w:color w:val="auto"/>
                <w:u w:val="none"/>
              </w:rPr>
              <w:t>3、废水自行监测</w:t>
            </w:r>
          </w:p>
          <w:p w14:paraId="223AE700">
            <w:pPr>
              <w:spacing w:line="360" w:lineRule="auto"/>
              <w:ind w:firstLine="480" w:firstLineChars="200"/>
              <w:rPr>
                <w:rFonts w:hint="default" w:ascii="Times New Roman" w:hAnsi="Times New Roman" w:cs="Times New Roman"/>
                <w:b/>
                <w:bCs/>
                <w:color w:val="auto"/>
                <w:sz w:val="24"/>
                <w:u w:val="none"/>
              </w:rPr>
            </w:pPr>
            <w:r>
              <w:rPr>
                <w:rFonts w:hint="default" w:ascii="Times New Roman" w:hAnsi="Times New Roman" w:cs="Times New Roman"/>
                <w:color w:val="auto"/>
                <w:sz w:val="24"/>
                <w:u w:val="none"/>
              </w:rPr>
              <w:t>根据《排污单位自行监测技术指南—总则》（HJ819-2017）发布稿及项目生产污染物排放特征：单独排入公共污水处理系统的生活污水无需开展自行监测，但需要说明排放去向；本项目营运期无生产废水</w:t>
            </w:r>
            <w:r>
              <w:rPr>
                <w:rFonts w:hint="default" w:ascii="Times New Roman" w:hAnsi="Times New Roman" w:cs="Times New Roman"/>
                <w:color w:val="auto"/>
                <w:sz w:val="24"/>
                <w:u w:val="none"/>
                <w:lang w:eastAsia="zh-CN"/>
              </w:rPr>
              <w:t>排放</w:t>
            </w:r>
            <w:r>
              <w:rPr>
                <w:rFonts w:hint="default" w:ascii="Times New Roman" w:hAnsi="Times New Roman" w:cs="Times New Roman"/>
                <w:color w:val="auto"/>
                <w:sz w:val="24"/>
                <w:u w:val="none"/>
              </w:rPr>
              <w:t>，生活污水依托厂区化粪池处理达标后，再排入东安经济开发区污水处理厂处理，尾水外排宥江河。项目生活污水单独排入公共污水处理系统，为间接排放方式，故本项目生活污水无需开展自行监测。</w:t>
            </w:r>
          </w:p>
          <w:p w14:paraId="63AA0469">
            <w:pPr>
              <w:autoSpaceDE w:val="0"/>
              <w:autoSpaceDN w:val="0"/>
              <w:adjustRightInd w:val="0"/>
              <w:snapToGrid w:val="0"/>
              <w:spacing w:line="360" w:lineRule="auto"/>
              <w:ind w:firstLine="482" w:firstLineChars="200"/>
              <w:jc w:val="left"/>
              <w:rPr>
                <w:rFonts w:hint="default" w:ascii="Times New Roman" w:hAnsi="Times New Roman" w:cs="Times New Roman"/>
                <w:b/>
                <w:bCs/>
                <w:color w:val="auto"/>
                <w:kern w:val="0"/>
                <w:sz w:val="24"/>
                <w:u w:val="none"/>
              </w:rPr>
            </w:pPr>
            <w:r>
              <w:rPr>
                <w:rFonts w:hint="default" w:ascii="Times New Roman" w:hAnsi="Times New Roman" w:cs="Times New Roman"/>
                <w:b/>
                <w:bCs/>
                <w:color w:val="auto"/>
                <w:kern w:val="0"/>
                <w:sz w:val="24"/>
                <w:u w:val="none"/>
              </w:rPr>
              <w:t>（三）声环境质量影响分析</w:t>
            </w:r>
          </w:p>
          <w:p w14:paraId="652D61D0">
            <w:pPr>
              <w:pStyle w:val="139"/>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（1）噪声源强核算及预测模式</w:t>
            </w:r>
          </w:p>
          <w:p w14:paraId="0DA103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项目主要噪声源为</w:t>
            </w:r>
            <w:r>
              <w:rPr>
                <w:rFonts w:hint="default" w:cs="Times New Roman"/>
                <w:color w:val="auto"/>
                <w:kern w:val="0"/>
                <w:sz w:val="24"/>
                <w:szCs w:val="24"/>
                <w:lang w:val="en-US" w:eastAsia="zh-CN" w:bidi="ar"/>
              </w:rPr>
              <w:t>生产设备破碎机、注塑机、混合机等生产设备噪声</w:t>
            </w:r>
            <w:r>
              <w:rPr>
                <w:rFonts w:hint="default" w:ascii="Times New Roman" w:hAnsi="Times New Roman" w:eastAsia="宋体" w:cs="Times New Roman"/>
                <w:color w:val="auto"/>
                <w:kern w:val="0"/>
                <w:sz w:val="24"/>
                <w:szCs w:val="24"/>
                <w:lang w:val="en-US" w:eastAsia="zh-CN" w:bidi="ar"/>
              </w:rPr>
              <w:t>，单台设备1m处噪声源强8</w:t>
            </w:r>
            <w:r>
              <w:rPr>
                <w:rFonts w:hint="default" w:cs="Times New Roman"/>
                <w:color w:val="auto"/>
                <w:kern w:val="0"/>
                <w:sz w:val="24"/>
                <w:szCs w:val="24"/>
                <w:lang w:val="en-US" w:eastAsia="zh-CN" w:bidi="ar"/>
              </w:rPr>
              <w:t>2</w:t>
            </w:r>
            <w:r>
              <w:rPr>
                <w:rFonts w:hint="default" w:ascii="Times New Roman" w:hAnsi="Times New Roman" w:eastAsia="宋体" w:cs="Times New Roman"/>
                <w:color w:val="auto"/>
                <w:kern w:val="0"/>
                <w:sz w:val="24"/>
                <w:szCs w:val="24"/>
                <w:lang w:val="en-US" w:eastAsia="zh-CN" w:bidi="ar"/>
              </w:rPr>
              <w:t>～</w:t>
            </w:r>
            <w:r>
              <w:rPr>
                <w:rFonts w:hint="default" w:cs="Times New Roman"/>
                <w:color w:val="auto"/>
                <w:kern w:val="0"/>
                <w:sz w:val="24"/>
                <w:szCs w:val="24"/>
                <w:lang w:val="en-US" w:eastAsia="zh-CN" w:bidi="ar"/>
              </w:rPr>
              <w:t>88</w:t>
            </w:r>
            <w:r>
              <w:rPr>
                <w:rFonts w:hint="default" w:ascii="Times New Roman" w:hAnsi="Times New Roman" w:eastAsia="宋体" w:cs="Times New Roman"/>
                <w:color w:val="auto"/>
                <w:kern w:val="0"/>
                <w:sz w:val="24"/>
                <w:szCs w:val="24"/>
                <w:lang w:val="en-US" w:eastAsia="zh-CN" w:bidi="ar"/>
              </w:rPr>
              <w:t>dB(A)。本次噪声预测采用《环境影响评价技术导则 声环境》（HJ/T2.4-2021）推荐户外A声级衰减计算模型。</w:t>
            </w:r>
          </w:p>
          <w:p w14:paraId="795DE4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①单声源户外A声级总计算公式</w:t>
            </w:r>
          </w:p>
          <w:p w14:paraId="4001B77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LA(r)=LA(r0)−Adiv−Aatm−Agr−Abar−Amisc​</w:t>
            </w:r>
          </w:p>
          <w:p w14:paraId="21F37B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式中：LA(r)——距声源r处A声级，dB(A)；</w:t>
            </w:r>
          </w:p>
          <w:p w14:paraId="611209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1200" w:firstLineChars="5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LA(r0)——参考距离r0（取1m）处设备A声级，dB(A)；</w:t>
            </w:r>
          </w:p>
          <w:p w14:paraId="77FAE0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1200" w:firstLineChars="5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Adiv——几何发散衰减量，dB；</w:t>
            </w:r>
          </w:p>
          <w:p w14:paraId="0526C8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1200" w:firstLineChars="5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Aatm——空气吸收衰减量，本次预测忽略；</w:t>
            </w:r>
          </w:p>
          <w:p w14:paraId="0974002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1200" w:firstLineChars="5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Agr——地面效应衰减量，本次预测忽略；</w:t>
            </w:r>
          </w:p>
          <w:p w14:paraId="62BFB8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1200" w:firstLineChars="5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Abar——遮挡物（厂房墙体）隔声衰减量，dB；</w:t>
            </w:r>
          </w:p>
          <w:p w14:paraId="7A281DC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1200" w:firstLineChars="5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Amisc——其他附加衰减量，本次预测忽略。</w:t>
            </w:r>
          </w:p>
          <w:p w14:paraId="797385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②墙体（厂房隔声）衰减计算公式（Abar）</w:t>
            </w:r>
          </w:p>
          <w:p w14:paraId="4DAEC4E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墙体隔声衰减采用墙体传声损失简化计算：</w:t>
            </w:r>
          </w:p>
          <w:p w14:paraId="19FDD7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Abar=TL</w:t>
            </w:r>
          </w:p>
          <w:p w14:paraId="120CC7F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式中：TL为墙体计权隔声量，本项目钢结构复合厂房墙体取TL=13dB(A)，噪声由车间内部穿透墙体向外传播时直接扣除该衰减值。</w:t>
            </w:r>
          </w:p>
          <w:p w14:paraId="7FD1B86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③球面波几何发散衰减（室内声源穿出墙体后户外传播）</w:t>
            </w:r>
          </w:p>
          <w:p w14:paraId="34F7309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点源球面发散公式：</w:t>
            </w:r>
          </w:p>
          <w:p w14:paraId="4704B10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Adiv=20lg(r/r0)r0=1m，r为墙体外侧预测点至声源直线距离。</w:t>
            </w:r>
          </w:p>
          <w:p w14:paraId="01DE88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④多声源叠加计算公式</w:t>
            </w:r>
          </w:p>
          <w:p w14:paraId="56864A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多个声源在同一预测点的总等效A声级：</w:t>
            </w:r>
          </w:p>
          <w:p w14:paraId="2375B5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default" w:ascii="Times New Roman" w:hAnsi="Times New Roman" w:cs="Times New Roman"/>
                <w:color w:val="auto"/>
              </w:rPr>
            </w:pPr>
            <w:r>
              <w:rPr>
                <w:rFonts w:hint="default" w:ascii="Times New Roman" w:hAnsi="Times New Roman" w:cs="Times New Roman"/>
                <w:color w:val="auto"/>
              </w:rPr>
              <w:drawing>
                <wp:inline distT="0" distB="0" distL="114300" distR="114300">
                  <wp:extent cx="2219325" cy="857250"/>
                  <wp:effectExtent l="0" t="0" r="9525" b="0"/>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12"/>
                          <a:stretch>
                            <a:fillRect/>
                          </a:stretch>
                        </pic:blipFill>
                        <pic:spPr>
                          <a:xfrm>
                            <a:off x="0" y="0"/>
                            <a:ext cx="2219325" cy="857250"/>
                          </a:xfrm>
                          <a:prstGeom prst="rect">
                            <a:avLst/>
                          </a:prstGeom>
                          <a:noFill/>
                          <a:ln>
                            <a:noFill/>
                          </a:ln>
                        </pic:spPr>
                      </pic:pic>
                    </a:graphicData>
                  </a:graphic>
                </wp:inline>
              </w:drawing>
            </w:r>
          </w:p>
          <w:p w14:paraId="675771A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总式中：L总——预测点总噪声级，dB(A)；</w:t>
            </w:r>
          </w:p>
          <w:p w14:paraId="79B678A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Li——第i个声源在预测点贡献噪声级，dB(A)；</w:t>
            </w:r>
          </w:p>
          <w:p w14:paraId="4AC046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n——声源数量。</w:t>
            </w:r>
          </w:p>
          <w:p w14:paraId="77CDBC5B">
            <w:pPr>
              <w:pStyle w:val="140"/>
              <w:spacing w:before="147"/>
              <w:rPr>
                <w:rFonts w:hint="default" w:ascii="Times New Roman" w:hAnsi="Times New Roman" w:cs="Times New Roman"/>
                <w:color w:val="auto"/>
              </w:rPr>
            </w:pPr>
            <w:r>
              <w:rPr>
                <w:rFonts w:hint="default" w:ascii="Times New Roman" w:hAnsi="Times New Roman" w:cs="Times New Roman"/>
                <w:color w:val="auto"/>
              </w:rPr>
              <w:t>表4-6主要噪声源强及治理措施一览表dB（A）</w:t>
            </w:r>
          </w:p>
          <w:tbl>
            <w:tblPr>
              <w:tblStyle w:val="38"/>
              <w:tblW w:w="8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36"/>
              <w:gridCol w:w="462"/>
              <w:gridCol w:w="385"/>
              <w:gridCol w:w="326"/>
              <w:gridCol w:w="391"/>
              <w:gridCol w:w="405"/>
              <w:gridCol w:w="347"/>
              <w:gridCol w:w="348"/>
              <w:gridCol w:w="376"/>
              <w:gridCol w:w="289"/>
              <w:gridCol w:w="346"/>
              <w:gridCol w:w="378"/>
              <w:gridCol w:w="376"/>
              <w:gridCol w:w="362"/>
              <w:gridCol w:w="362"/>
              <w:gridCol w:w="333"/>
              <w:gridCol w:w="492"/>
              <w:gridCol w:w="609"/>
              <w:gridCol w:w="346"/>
              <w:gridCol w:w="289"/>
              <w:gridCol w:w="304"/>
              <w:gridCol w:w="318"/>
              <w:gridCol w:w="479"/>
            </w:tblGrid>
            <w:tr w14:paraId="454CF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55" w:hRule="atLeast"/>
                <w:tblHeader/>
                <w:jc w:val="center"/>
              </w:trPr>
              <w:tc>
                <w:tcPr>
                  <w:tcW w:w="236" w:type="dxa"/>
                  <w:vMerge w:val="restart"/>
                  <w:tcBorders>
                    <w:tl2br w:val="nil"/>
                    <w:tr2bl w:val="nil"/>
                  </w:tcBorders>
                  <w:shd w:val="clear" w:color="auto" w:fill="auto"/>
                  <w:noWrap/>
                  <w:vAlign w:val="center"/>
                </w:tcPr>
                <w:p w14:paraId="3B73FAD9">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序号</w:t>
                  </w:r>
                </w:p>
              </w:tc>
              <w:tc>
                <w:tcPr>
                  <w:tcW w:w="462" w:type="dxa"/>
                  <w:vMerge w:val="restart"/>
                  <w:tcBorders>
                    <w:tl2br w:val="nil"/>
                    <w:tr2bl w:val="nil"/>
                  </w:tcBorders>
                  <w:shd w:val="clear" w:color="auto" w:fill="auto"/>
                  <w:noWrap/>
                  <w:vAlign w:val="center"/>
                </w:tcPr>
                <w:p w14:paraId="35A3E18A">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建筑物名称</w:t>
                  </w:r>
                </w:p>
              </w:tc>
              <w:tc>
                <w:tcPr>
                  <w:tcW w:w="385" w:type="dxa"/>
                  <w:vMerge w:val="restart"/>
                  <w:tcBorders>
                    <w:tl2br w:val="nil"/>
                    <w:tr2bl w:val="nil"/>
                  </w:tcBorders>
                  <w:shd w:val="clear" w:color="auto" w:fill="auto"/>
                  <w:noWrap/>
                  <w:vAlign w:val="center"/>
                </w:tcPr>
                <w:p w14:paraId="16917C8E">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声源名称</w:t>
                  </w:r>
                </w:p>
              </w:tc>
              <w:tc>
                <w:tcPr>
                  <w:tcW w:w="326" w:type="dxa"/>
                  <w:vMerge w:val="restart"/>
                  <w:tcBorders>
                    <w:tl2br w:val="nil"/>
                    <w:tr2bl w:val="nil"/>
                  </w:tcBorders>
                  <w:shd w:val="clear" w:color="auto" w:fill="auto"/>
                  <w:noWrap/>
                  <w:vAlign w:val="center"/>
                </w:tcPr>
                <w:p w14:paraId="045F3E4B">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声源源强/dB</w:t>
                  </w:r>
                </w:p>
                <w:p w14:paraId="576AB22A">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(A)</w:t>
                  </w:r>
                </w:p>
              </w:tc>
              <w:tc>
                <w:tcPr>
                  <w:tcW w:w="391" w:type="dxa"/>
                  <w:vMerge w:val="restart"/>
                  <w:tcBorders>
                    <w:tl2br w:val="nil"/>
                    <w:tr2bl w:val="nil"/>
                  </w:tcBorders>
                  <w:shd w:val="clear" w:color="auto" w:fill="auto"/>
                  <w:noWrap/>
                  <w:vAlign w:val="center"/>
                </w:tcPr>
                <w:p w14:paraId="41FF27AB">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声源控制措施</w:t>
                  </w:r>
                </w:p>
              </w:tc>
              <w:tc>
                <w:tcPr>
                  <w:tcW w:w="1100" w:type="dxa"/>
                  <w:gridSpan w:val="3"/>
                  <w:tcBorders>
                    <w:tl2br w:val="nil"/>
                    <w:tr2bl w:val="nil"/>
                  </w:tcBorders>
                  <w:shd w:val="clear" w:color="auto" w:fill="auto"/>
                  <w:noWrap/>
                  <w:vAlign w:val="center"/>
                </w:tcPr>
                <w:p w14:paraId="582A2CD7">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空间相对位置/m</w:t>
                  </w:r>
                </w:p>
                <w:p w14:paraId="40786B28">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（厂房中心点为原点）</w:t>
                  </w:r>
                </w:p>
              </w:tc>
              <w:tc>
                <w:tcPr>
                  <w:tcW w:w="1389" w:type="dxa"/>
                  <w:gridSpan w:val="4"/>
                  <w:tcBorders>
                    <w:tl2br w:val="nil"/>
                    <w:tr2bl w:val="nil"/>
                  </w:tcBorders>
                  <w:shd w:val="clear" w:color="auto" w:fill="auto"/>
                  <w:noWrap/>
                  <w:vAlign w:val="center"/>
                </w:tcPr>
                <w:p w14:paraId="30823708">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cs="Times New Roman"/>
                      <w:b/>
                      <w:bCs/>
                      <w:color w:val="auto"/>
                      <w:sz w:val="19"/>
                      <w:szCs w:val="19"/>
                    </w:rPr>
                    <w:t>距室内边界距离/m</w:t>
                  </w:r>
                </w:p>
              </w:tc>
              <w:tc>
                <w:tcPr>
                  <w:tcW w:w="1433" w:type="dxa"/>
                  <w:gridSpan w:val="4"/>
                  <w:tcBorders>
                    <w:tl2br w:val="nil"/>
                    <w:tr2bl w:val="nil"/>
                  </w:tcBorders>
                  <w:shd w:val="clear" w:color="auto" w:fill="auto"/>
                  <w:noWrap/>
                  <w:vAlign w:val="center"/>
                </w:tcPr>
                <w:p w14:paraId="78FFFE5E">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b/>
                      <w:bCs/>
                      <w:color w:val="auto"/>
                      <w:sz w:val="19"/>
                      <w:szCs w:val="19"/>
                      <w:lang w:val="en-US" w:eastAsia="zh-CN"/>
                    </w:rPr>
                    <w:t>室内边界声级/dB(A)</w:t>
                  </w:r>
                </w:p>
              </w:tc>
              <w:tc>
                <w:tcPr>
                  <w:tcW w:w="492" w:type="dxa"/>
                  <w:vMerge w:val="restart"/>
                  <w:tcBorders>
                    <w:tl2br w:val="nil"/>
                    <w:tr2bl w:val="nil"/>
                  </w:tcBorders>
                  <w:shd w:val="clear" w:color="auto" w:fill="auto"/>
                  <w:noWrap/>
                  <w:vAlign w:val="center"/>
                </w:tcPr>
                <w:p w14:paraId="16C5F4D3">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b/>
                      <w:bCs/>
                      <w:color w:val="auto"/>
                      <w:sz w:val="19"/>
                      <w:szCs w:val="19"/>
                      <w:lang w:val="en-US" w:eastAsia="zh-CN"/>
                    </w:rPr>
                    <w:t>运行时段</w:t>
                  </w:r>
                </w:p>
              </w:tc>
              <w:tc>
                <w:tcPr>
                  <w:tcW w:w="609" w:type="dxa"/>
                  <w:vMerge w:val="restart"/>
                  <w:tcBorders>
                    <w:tl2br w:val="nil"/>
                    <w:tr2bl w:val="nil"/>
                  </w:tcBorders>
                  <w:shd w:val="clear" w:color="auto" w:fill="auto"/>
                  <w:noWrap/>
                  <w:vAlign w:val="center"/>
                </w:tcPr>
                <w:p w14:paraId="4D7A6DEC">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建筑物插入损失/dB(A)</w:t>
                  </w:r>
                </w:p>
              </w:tc>
              <w:tc>
                <w:tcPr>
                  <w:tcW w:w="1736" w:type="dxa"/>
                  <w:gridSpan w:val="5"/>
                  <w:tcBorders>
                    <w:tl2br w:val="nil"/>
                    <w:tr2bl w:val="nil"/>
                  </w:tcBorders>
                  <w:shd w:val="clear" w:color="auto" w:fill="auto"/>
                  <w:noWrap/>
                  <w:vAlign w:val="center"/>
                </w:tcPr>
                <w:p w14:paraId="6B56B4FC">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建筑物外噪声声压级/dB(A)</w:t>
                  </w:r>
                </w:p>
              </w:tc>
            </w:tr>
            <w:tr w14:paraId="36E34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4" w:hRule="atLeast"/>
                <w:tblHeader/>
                <w:jc w:val="center"/>
              </w:trPr>
              <w:tc>
                <w:tcPr>
                  <w:tcW w:w="236" w:type="dxa"/>
                  <w:vMerge w:val="continue"/>
                  <w:tcBorders>
                    <w:tl2br w:val="nil"/>
                    <w:tr2bl w:val="nil"/>
                  </w:tcBorders>
                  <w:shd w:val="clear" w:color="auto" w:fill="auto"/>
                  <w:noWrap/>
                  <w:vAlign w:val="center"/>
                </w:tcPr>
                <w:p w14:paraId="164B3000">
                  <w:pPr>
                    <w:pStyle w:val="141"/>
                    <w:ind w:firstLine="0" w:firstLineChars="0"/>
                    <w:jc w:val="center"/>
                    <w:rPr>
                      <w:rFonts w:hint="default" w:ascii="Times New Roman" w:hAnsi="Times New Roman" w:eastAsia="宋体" w:cs="Times New Roman"/>
                      <w:color w:val="auto"/>
                      <w:sz w:val="19"/>
                      <w:szCs w:val="19"/>
                      <w:lang w:val="en-US" w:eastAsia="zh-CN"/>
                    </w:rPr>
                  </w:pPr>
                </w:p>
              </w:tc>
              <w:tc>
                <w:tcPr>
                  <w:tcW w:w="462" w:type="dxa"/>
                  <w:vMerge w:val="continue"/>
                  <w:tcBorders>
                    <w:tl2br w:val="nil"/>
                    <w:tr2bl w:val="nil"/>
                  </w:tcBorders>
                  <w:shd w:val="clear" w:color="auto" w:fill="auto"/>
                  <w:noWrap/>
                  <w:vAlign w:val="center"/>
                </w:tcPr>
                <w:p w14:paraId="5A254048">
                  <w:pPr>
                    <w:pStyle w:val="141"/>
                    <w:ind w:firstLine="0" w:firstLineChars="0"/>
                    <w:jc w:val="center"/>
                    <w:rPr>
                      <w:rFonts w:hint="default" w:ascii="Times New Roman" w:hAnsi="Times New Roman" w:eastAsia="宋体" w:cs="Times New Roman"/>
                      <w:color w:val="auto"/>
                      <w:sz w:val="19"/>
                      <w:szCs w:val="19"/>
                      <w:lang w:val="en-US" w:eastAsia="zh-CN"/>
                    </w:rPr>
                  </w:pPr>
                </w:p>
              </w:tc>
              <w:tc>
                <w:tcPr>
                  <w:tcW w:w="385" w:type="dxa"/>
                  <w:vMerge w:val="continue"/>
                  <w:tcBorders>
                    <w:tl2br w:val="nil"/>
                    <w:tr2bl w:val="nil"/>
                  </w:tcBorders>
                  <w:shd w:val="clear" w:color="auto" w:fill="auto"/>
                  <w:noWrap/>
                  <w:vAlign w:val="center"/>
                </w:tcPr>
                <w:p w14:paraId="5D75CD32">
                  <w:pPr>
                    <w:pStyle w:val="141"/>
                    <w:ind w:firstLine="0" w:firstLineChars="0"/>
                    <w:jc w:val="center"/>
                    <w:rPr>
                      <w:rFonts w:hint="default" w:ascii="Times New Roman" w:hAnsi="Times New Roman" w:eastAsia="宋体" w:cs="Times New Roman"/>
                      <w:color w:val="auto"/>
                      <w:sz w:val="19"/>
                      <w:szCs w:val="19"/>
                      <w:lang w:val="en-US" w:eastAsia="zh-CN"/>
                    </w:rPr>
                  </w:pPr>
                </w:p>
              </w:tc>
              <w:tc>
                <w:tcPr>
                  <w:tcW w:w="326" w:type="dxa"/>
                  <w:vMerge w:val="continue"/>
                  <w:tcBorders>
                    <w:tl2br w:val="nil"/>
                    <w:tr2bl w:val="nil"/>
                  </w:tcBorders>
                  <w:shd w:val="clear" w:color="auto" w:fill="auto"/>
                  <w:noWrap/>
                  <w:vAlign w:val="center"/>
                </w:tcPr>
                <w:p w14:paraId="3A3C1942">
                  <w:pPr>
                    <w:pStyle w:val="141"/>
                    <w:ind w:firstLine="0" w:firstLineChars="0"/>
                    <w:jc w:val="center"/>
                    <w:rPr>
                      <w:rFonts w:hint="default" w:ascii="Times New Roman" w:hAnsi="Times New Roman" w:eastAsia="宋体" w:cs="Times New Roman"/>
                      <w:color w:val="auto"/>
                      <w:sz w:val="19"/>
                      <w:szCs w:val="19"/>
                      <w:lang w:val="en-US" w:eastAsia="zh-CN"/>
                    </w:rPr>
                  </w:pPr>
                </w:p>
              </w:tc>
              <w:tc>
                <w:tcPr>
                  <w:tcW w:w="391" w:type="dxa"/>
                  <w:vMerge w:val="continue"/>
                  <w:tcBorders>
                    <w:tl2br w:val="nil"/>
                    <w:tr2bl w:val="nil"/>
                  </w:tcBorders>
                  <w:shd w:val="clear" w:color="auto" w:fill="auto"/>
                  <w:noWrap/>
                  <w:vAlign w:val="center"/>
                </w:tcPr>
                <w:p w14:paraId="5174182F">
                  <w:pPr>
                    <w:pStyle w:val="141"/>
                    <w:ind w:firstLine="0" w:firstLineChars="0"/>
                    <w:jc w:val="center"/>
                    <w:rPr>
                      <w:rFonts w:hint="default" w:ascii="Times New Roman" w:hAnsi="Times New Roman" w:eastAsia="宋体" w:cs="Times New Roman"/>
                      <w:color w:val="auto"/>
                      <w:sz w:val="19"/>
                      <w:szCs w:val="19"/>
                      <w:lang w:val="en-US" w:eastAsia="zh-CN"/>
                    </w:rPr>
                  </w:pPr>
                </w:p>
              </w:tc>
              <w:tc>
                <w:tcPr>
                  <w:tcW w:w="405" w:type="dxa"/>
                  <w:tcBorders>
                    <w:tl2br w:val="nil"/>
                    <w:tr2bl w:val="nil"/>
                  </w:tcBorders>
                  <w:shd w:val="clear" w:color="auto" w:fill="auto"/>
                  <w:noWrap/>
                  <w:vAlign w:val="center"/>
                </w:tcPr>
                <w:p w14:paraId="09734AB1">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X</w:t>
                  </w:r>
                </w:p>
              </w:tc>
              <w:tc>
                <w:tcPr>
                  <w:tcW w:w="347" w:type="dxa"/>
                  <w:tcBorders>
                    <w:tl2br w:val="nil"/>
                    <w:tr2bl w:val="nil"/>
                  </w:tcBorders>
                  <w:shd w:val="clear" w:color="auto" w:fill="auto"/>
                  <w:noWrap/>
                  <w:vAlign w:val="center"/>
                </w:tcPr>
                <w:p w14:paraId="5BDB6FF2">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Y</w:t>
                  </w:r>
                </w:p>
                <w:p w14:paraId="18A835A5">
                  <w:pPr>
                    <w:pStyle w:val="141"/>
                    <w:ind w:firstLine="0" w:firstLineChars="0"/>
                    <w:jc w:val="center"/>
                    <w:rPr>
                      <w:rFonts w:hint="default" w:ascii="Times New Roman" w:hAnsi="Times New Roman" w:eastAsia="宋体" w:cs="Times New Roman"/>
                      <w:color w:val="auto"/>
                      <w:sz w:val="19"/>
                      <w:szCs w:val="19"/>
                      <w:lang w:val="en-US" w:eastAsia="zh-CN"/>
                    </w:rPr>
                  </w:pPr>
                </w:p>
              </w:tc>
              <w:tc>
                <w:tcPr>
                  <w:tcW w:w="348" w:type="dxa"/>
                  <w:tcBorders>
                    <w:tl2br w:val="nil"/>
                    <w:tr2bl w:val="nil"/>
                  </w:tcBorders>
                  <w:shd w:val="clear" w:color="auto" w:fill="auto"/>
                  <w:noWrap/>
                  <w:vAlign w:val="center"/>
                </w:tcPr>
                <w:p w14:paraId="49E34FD4">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Z</w:t>
                  </w:r>
                </w:p>
              </w:tc>
              <w:tc>
                <w:tcPr>
                  <w:tcW w:w="376" w:type="dxa"/>
                  <w:tcBorders>
                    <w:tl2br w:val="nil"/>
                    <w:tr2bl w:val="nil"/>
                  </w:tcBorders>
                  <w:shd w:val="clear" w:color="auto" w:fill="auto"/>
                  <w:noWrap/>
                  <w:vAlign w:val="center"/>
                </w:tcPr>
                <w:p w14:paraId="19CBDA90">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东</w:t>
                  </w:r>
                </w:p>
              </w:tc>
              <w:tc>
                <w:tcPr>
                  <w:tcW w:w="289" w:type="dxa"/>
                  <w:tcBorders>
                    <w:tl2br w:val="nil"/>
                    <w:tr2bl w:val="nil"/>
                  </w:tcBorders>
                  <w:shd w:val="clear" w:color="auto" w:fill="auto"/>
                  <w:noWrap/>
                  <w:vAlign w:val="center"/>
                </w:tcPr>
                <w:p w14:paraId="61B15A5B">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南</w:t>
                  </w:r>
                </w:p>
              </w:tc>
              <w:tc>
                <w:tcPr>
                  <w:tcW w:w="346" w:type="dxa"/>
                  <w:tcBorders>
                    <w:tl2br w:val="nil"/>
                    <w:tr2bl w:val="nil"/>
                  </w:tcBorders>
                  <w:shd w:val="clear" w:color="auto" w:fill="auto"/>
                  <w:noWrap/>
                  <w:vAlign w:val="center"/>
                </w:tcPr>
                <w:p w14:paraId="74822D51">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西</w:t>
                  </w:r>
                </w:p>
              </w:tc>
              <w:tc>
                <w:tcPr>
                  <w:tcW w:w="378" w:type="dxa"/>
                  <w:tcBorders>
                    <w:tl2br w:val="nil"/>
                    <w:tr2bl w:val="nil"/>
                  </w:tcBorders>
                  <w:shd w:val="clear" w:color="auto" w:fill="auto"/>
                  <w:noWrap/>
                  <w:vAlign w:val="center"/>
                </w:tcPr>
                <w:p w14:paraId="7877469E">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北</w:t>
                  </w:r>
                </w:p>
              </w:tc>
              <w:tc>
                <w:tcPr>
                  <w:tcW w:w="376" w:type="dxa"/>
                  <w:tcBorders>
                    <w:tl2br w:val="nil"/>
                    <w:tr2bl w:val="nil"/>
                  </w:tcBorders>
                  <w:shd w:val="clear" w:color="auto" w:fill="auto"/>
                  <w:noWrap/>
                  <w:vAlign w:val="center"/>
                </w:tcPr>
                <w:p w14:paraId="00B09BD1">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东</w:t>
                  </w:r>
                </w:p>
              </w:tc>
              <w:tc>
                <w:tcPr>
                  <w:tcW w:w="362" w:type="dxa"/>
                  <w:tcBorders>
                    <w:tl2br w:val="nil"/>
                    <w:tr2bl w:val="nil"/>
                  </w:tcBorders>
                  <w:shd w:val="clear" w:color="auto" w:fill="auto"/>
                  <w:noWrap/>
                  <w:vAlign w:val="center"/>
                </w:tcPr>
                <w:p w14:paraId="52F1E685">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南</w:t>
                  </w:r>
                </w:p>
              </w:tc>
              <w:tc>
                <w:tcPr>
                  <w:tcW w:w="362" w:type="dxa"/>
                  <w:tcBorders>
                    <w:tl2br w:val="nil"/>
                    <w:tr2bl w:val="nil"/>
                  </w:tcBorders>
                  <w:shd w:val="clear" w:color="auto" w:fill="auto"/>
                  <w:noWrap/>
                  <w:vAlign w:val="center"/>
                </w:tcPr>
                <w:p w14:paraId="70E16419">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西</w:t>
                  </w:r>
                </w:p>
              </w:tc>
              <w:tc>
                <w:tcPr>
                  <w:tcW w:w="333" w:type="dxa"/>
                  <w:tcBorders>
                    <w:tl2br w:val="nil"/>
                    <w:tr2bl w:val="nil"/>
                  </w:tcBorders>
                  <w:shd w:val="clear" w:color="auto" w:fill="auto"/>
                  <w:noWrap/>
                  <w:vAlign w:val="center"/>
                </w:tcPr>
                <w:p w14:paraId="273470D3">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北</w:t>
                  </w:r>
                </w:p>
              </w:tc>
              <w:tc>
                <w:tcPr>
                  <w:tcW w:w="492" w:type="dxa"/>
                  <w:vMerge w:val="continue"/>
                  <w:tcBorders>
                    <w:tl2br w:val="nil"/>
                    <w:tr2bl w:val="nil"/>
                  </w:tcBorders>
                  <w:shd w:val="clear" w:color="auto" w:fill="auto"/>
                  <w:noWrap/>
                  <w:vAlign w:val="center"/>
                </w:tcPr>
                <w:p w14:paraId="77DFA183">
                  <w:pPr>
                    <w:pStyle w:val="141"/>
                    <w:ind w:firstLine="0" w:firstLineChars="0"/>
                    <w:jc w:val="center"/>
                    <w:rPr>
                      <w:rFonts w:hint="default" w:ascii="Times New Roman" w:hAnsi="Times New Roman" w:eastAsia="宋体" w:cs="Times New Roman"/>
                      <w:color w:val="auto"/>
                      <w:sz w:val="19"/>
                      <w:szCs w:val="19"/>
                      <w:lang w:val="en-US" w:eastAsia="zh-CN"/>
                    </w:rPr>
                  </w:pPr>
                </w:p>
              </w:tc>
              <w:tc>
                <w:tcPr>
                  <w:tcW w:w="609" w:type="dxa"/>
                  <w:vMerge w:val="continue"/>
                  <w:tcBorders>
                    <w:tl2br w:val="nil"/>
                    <w:tr2bl w:val="nil"/>
                  </w:tcBorders>
                  <w:shd w:val="clear" w:color="auto" w:fill="auto"/>
                  <w:noWrap/>
                  <w:vAlign w:val="center"/>
                </w:tcPr>
                <w:p w14:paraId="2C3C6228">
                  <w:pPr>
                    <w:pStyle w:val="141"/>
                    <w:ind w:firstLine="0" w:firstLineChars="0"/>
                    <w:jc w:val="center"/>
                    <w:rPr>
                      <w:rFonts w:hint="default" w:ascii="Times New Roman" w:hAnsi="Times New Roman" w:eastAsia="宋体" w:cs="Times New Roman"/>
                      <w:color w:val="auto"/>
                      <w:sz w:val="19"/>
                      <w:szCs w:val="19"/>
                      <w:lang w:val="en-US" w:eastAsia="zh-CN"/>
                    </w:rPr>
                  </w:pPr>
                </w:p>
              </w:tc>
              <w:tc>
                <w:tcPr>
                  <w:tcW w:w="346" w:type="dxa"/>
                  <w:tcBorders>
                    <w:tl2br w:val="nil"/>
                    <w:tr2bl w:val="nil"/>
                  </w:tcBorders>
                  <w:shd w:val="clear" w:color="auto" w:fill="auto"/>
                  <w:noWrap/>
                  <w:vAlign w:val="center"/>
                </w:tcPr>
                <w:p w14:paraId="531685E3">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东</w:t>
                  </w:r>
                </w:p>
              </w:tc>
              <w:tc>
                <w:tcPr>
                  <w:tcW w:w="289" w:type="dxa"/>
                  <w:tcBorders>
                    <w:tl2br w:val="nil"/>
                    <w:tr2bl w:val="nil"/>
                  </w:tcBorders>
                  <w:shd w:val="clear" w:color="auto" w:fill="auto"/>
                  <w:noWrap/>
                  <w:vAlign w:val="center"/>
                </w:tcPr>
                <w:p w14:paraId="3170E2C7">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南</w:t>
                  </w:r>
                </w:p>
              </w:tc>
              <w:tc>
                <w:tcPr>
                  <w:tcW w:w="304" w:type="dxa"/>
                  <w:tcBorders>
                    <w:tl2br w:val="nil"/>
                    <w:tr2bl w:val="nil"/>
                  </w:tcBorders>
                  <w:shd w:val="clear" w:color="auto" w:fill="auto"/>
                  <w:noWrap/>
                  <w:vAlign w:val="center"/>
                </w:tcPr>
                <w:p w14:paraId="13EE9A6E">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西</w:t>
                  </w:r>
                </w:p>
              </w:tc>
              <w:tc>
                <w:tcPr>
                  <w:tcW w:w="318" w:type="dxa"/>
                  <w:tcBorders>
                    <w:tl2br w:val="nil"/>
                    <w:tr2bl w:val="nil"/>
                  </w:tcBorders>
                  <w:shd w:val="clear" w:color="auto" w:fill="auto"/>
                  <w:noWrap/>
                  <w:vAlign w:val="center"/>
                </w:tcPr>
                <w:p w14:paraId="03A8823F">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北</w:t>
                  </w:r>
                </w:p>
              </w:tc>
              <w:tc>
                <w:tcPr>
                  <w:tcW w:w="479" w:type="dxa"/>
                  <w:tcBorders>
                    <w:tl2br w:val="nil"/>
                    <w:tr2bl w:val="nil"/>
                  </w:tcBorders>
                  <w:shd w:val="clear" w:color="auto" w:fill="auto"/>
                  <w:noWrap/>
                  <w:vAlign w:val="center"/>
                </w:tcPr>
                <w:p w14:paraId="143484C2">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建筑物外距离/m</w:t>
                  </w:r>
                </w:p>
              </w:tc>
            </w:tr>
            <w:tr w14:paraId="2D2E6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02" w:hRule="atLeast"/>
                <w:jc w:val="center"/>
              </w:trPr>
              <w:tc>
                <w:tcPr>
                  <w:tcW w:w="236" w:type="dxa"/>
                  <w:tcBorders>
                    <w:tl2br w:val="nil"/>
                    <w:tr2bl w:val="nil"/>
                  </w:tcBorders>
                  <w:shd w:val="clear" w:color="auto" w:fill="auto"/>
                  <w:noWrap/>
                  <w:vAlign w:val="center"/>
                </w:tcPr>
                <w:p w14:paraId="72DBC0CB">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1</w:t>
                  </w:r>
                </w:p>
              </w:tc>
              <w:tc>
                <w:tcPr>
                  <w:tcW w:w="462" w:type="dxa"/>
                  <w:tcBorders>
                    <w:tl2br w:val="nil"/>
                    <w:tr2bl w:val="nil"/>
                  </w:tcBorders>
                  <w:shd w:val="clear" w:color="auto" w:fill="auto"/>
                  <w:noWrap/>
                  <w:vAlign w:val="center"/>
                </w:tcPr>
                <w:p w14:paraId="120F5C67">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生产厂房西侧</w:t>
                  </w:r>
                </w:p>
              </w:tc>
              <w:tc>
                <w:tcPr>
                  <w:tcW w:w="0" w:type="auto"/>
                  <w:tcBorders>
                    <w:tl2br w:val="nil"/>
                    <w:tr2bl w:val="nil"/>
                  </w:tcBorders>
                  <w:shd w:val="clear" w:color="auto" w:fill="auto"/>
                  <w:noWrap/>
                  <w:vAlign w:val="center"/>
                </w:tcPr>
                <w:p w14:paraId="1D2CE264">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注塑机（7台）</w:t>
                  </w:r>
                </w:p>
              </w:tc>
              <w:tc>
                <w:tcPr>
                  <w:tcW w:w="0" w:type="auto"/>
                  <w:tcBorders>
                    <w:tl2br w:val="nil"/>
                    <w:tr2bl w:val="nil"/>
                  </w:tcBorders>
                  <w:shd w:val="clear" w:color="auto" w:fill="auto"/>
                  <w:noWrap/>
                  <w:vAlign w:val="center"/>
                </w:tcPr>
                <w:p w14:paraId="39A73224">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82</w:t>
                  </w:r>
                </w:p>
              </w:tc>
              <w:tc>
                <w:tcPr>
                  <w:tcW w:w="391" w:type="dxa"/>
                  <w:vMerge w:val="restart"/>
                  <w:tcBorders>
                    <w:tl2br w:val="nil"/>
                    <w:tr2bl w:val="nil"/>
                  </w:tcBorders>
                  <w:shd w:val="clear" w:color="auto" w:fill="auto"/>
                  <w:noWrap/>
                  <w:vAlign w:val="center"/>
                </w:tcPr>
                <w:p w14:paraId="58DB5B60">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减振基座、管道软连接减振</w:t>
                  </w:r>
                </w:p>
              </w:tc>
              <w:tc>
                <w:tcPr>
                  <w:tcW w:w="405" w:type="dxa"/>
                  <w:tcBorders>
                    <w:tl2br w:val="nil"/>
                    <w:tr2bl w:val="nil"/>
                  </w:tcBorders>
                  <w:shd w:val="clear" w:color="auto" w:fill="auto"/>
                  <w:noWrap/>
                  <w:vAlign w:val="center"/>
                </w:tcPr>
                <w:p w14:paraId="11DA7137">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-22</w:t>
                  </w:r>
                </w:p>
              </w:tc>
              <w:tc>
                <w:tcPr>
                  <w:tcW w:w="347" w:type="dxa"/>
                  <w:tcBorders>
                    <w:tl2br w:val="nil"/>
                    <w:tr2bl w:val="nil"/>
                  </w:tcBorders>
                  <w:shd w:val="clear" w:color="auto" w:fill="auto"/>
                  <w:noWrap/>
                  <w:vAlign w:val="center"/>
                </w:tcPr>
                <w:p w14:paraId="31DBE8DA">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0</w:t>
                  </w:r>
                </w:p>
              </w:tc>
              <w:tc>
                <w:tcPr>
                  <w:tcW w:w="348" w:type="dxa"/>
                  <w:tcBorders>
                    <w:tl2br w:val="nil"/>
                    <w:tr2bl w:val="nil"/>
                  </w:tcBorders>
                  <w:shd w:val="clear" w:color="auto" w:fill="auto"/>
                  <w:noWrap/>
                  <w:vAlign w:val="center"/>
                </w:tcPr>
                <w:p w14:paraId="2D0D6297">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1.2</w:t>
                  </w:r>
                </w:p>
              </w:tc>
              <w:tc>
                <w:tcPr>
                  <w:tcW w:w="376" w:type="dxa"/>
                  <w:tcBorders>
                    <w:tl2br w:val="nil"/>
                    <w:tr2bl w:val="nil"/>
                  </w:tcBorders>
                  <w:shd w:val="clear" w:color="auto" w:fill="auto"/>
                  <w:noWrap/>
                  <w:vAlign w:val="center"/>
                </w:tcPr>
                <w:p w14:paraId="621EAF9C">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40</w:t>
                  </w:r>
                </w:p>
              </w:tc>
              <w:tc>
                <w:tcPr>
                  <w:tcW w:w="289" w:type="dxa"/>
                  <w:tcBorders>
                    <w:tl2br w:val="nil"/>
                    <w:tr2bl w:val="nil"/>
                  </w:tcBorders>
                  <w:shd w:val="clear" w:color="auto" w:fill="auto"/>
                  <w:noWrap/>
                  <w:vAlign w:val="center"/>
                </w:tcPr>
                <w:p w14:paraId="4F0BBEA0">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12</w:t>
                  </w:r>
                </w:p>
              </w:tc>
              <w:tc>
                <w:tcPr>
                  <w:tcW w:w="346" w:type="dxa"/>
                  <w:tcBorders>
                    <w:tl2br w:val="nil"/>
                    <w:tr2bl w:val="nil"/>
                  </w:tcBorders>
                  <w:shd w:val="clear" w:color="auto" w:fill="auto"/>
                  <w:noWrap/>
                  <w:vAlign w:val="center"/>
                </w:tcPr>
                <w:p w14:paraId="4283CD23">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10</w:t>
                  </w:r>
                </w:p>
              </w:tc>
              <w:tc>
                <w:tcPr>
                  <w:tcW w:w="378" w:type="dxa"/>
                  <w:tcBorders>
                    <w:tl2br w:val="nil"/>
                    <w:tr2bl w:val="nil"/>
                  </w:tcBorders>
                  <w:shd w:val="clear" w:color="auto" w:fill="auto"/>
                  <w:noWrap/>
                  <w:vAlign w:val="center"/>
                </w:tcPr>
                <w:p w14:paraId="32246DD4">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12</w:t>
                  </w:r>
                </w:p>
              </w:tc>
              <w:tc>
                <w:tcPr>
                  <w:tcW w:w="376" w:type="dxa"/>
                  <w:tcBorders>
                    <w:tl2br w:val="nil"/>
                    <w:tr2bl w:val="nil"/>
                  </w:tcBorders>
                  <w:shd w:val="clear" w:color="auto" w:fill="auto"/>
                  <w:noWrap/>
                  <w:vAlign w:val="center"/>
                </w:tcPr>
                <w:p w14:paraId="39704FA5">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53</w:t>
                  </w:r>
                </w:p>
              </w:tc>
              <w:tc>
                <w:tcPr>
                  <w:tcW w:w="362" w:type="dxa"/>
                  <w:tcBorders>
                    <w:tl2br w:val="nil"/>
                    <w:tr2bl w:val="nil"/>
                  </w:tcBorders>
                  <w:shd w:val="clear" w:color="auto" w:fill="auto"/>
                  <w:noWrap/>
                  <w:vAlign w:val="center"/>
                </w:tcPr>
                <w:p w14:paraId="212EF890">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56</w:t>
                  </w:r>
                </w:p>
              </w:tc>
              <w:tc>
                <w:tcPr>
                  <w:tcW w:w="362" w:type="dxa"/>
                  <w:tcBorders>
                    <w:tl2br w:val="nil"/>
                    <w:tr2bl w:val="nil"/>
                  </w:tcBorders>
                  <w:shd w:val="clear" w:color="auto" w:fill="auto"/>
                  <w:noWrap/>
                  <w:vAlign w:val="center"/>
                </w:tcPr>
                <w:p w14:paraId="32150D4F">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62</w:t>
                  </w:r>
                </w:p>
              </w:tc>
              <w:tc>
                <w:tcPr>
                  <w:tcW w:w="333" w:type="dxa"/>
                  <w:tcBorders>
                    <w:tl2br w:val="nil"/>
                    <w:tr2bl w:val="nil"/>
                  </w:tcBorders>
                  <w:shd w:val="clear" w:color="auto" w:fill="auto"/>
                  <w:noWrap/>
                  <w:vAlign w:val="center"/>
                </w:tcPr>
                <w:p w14:paraId="756A69D3">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56</w:t>
                  </w:r>
                </w:p>
              </w:tc>
              <w:tc>
                <w:tcPr>
                  <w:tcW w:w="492" w:type="dxa"/>
                  <w:vMerge w:val="restart"/>
                  <w:tcBorders>
                    <w:tl2br w:val="nil"/>
                    <w:tr2bl w:val="nil"/>
                  </w:tcBorders>
                  <w:shd w:val="clear" w:color="auto" w:fill="auto"/>
                  <w:noWrap/>
                  <w:vAlign w:val="center"/>
                </w:tcPr>
                <w:p w14:paraId="5AAF757B">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color w:val="auto"/>
                      <w:sz w:val="19"/>
                      <w:szCs w:val="19"/>
                      <w:lang w:val="en-US" w:eastAsia="zh-CN"/>
                    </w:rPr>
                    <w:t>昼间</w:t>
                  </w:r>
                </w:p>
              </w:tc>
              <w:tc>
                <w:tcPr>
                  <w:tcW w:w="609" w:type="dxa"/>
                  <w:tcBorders>
                    <w:tl2br w:val="nil"/>
                    <w:tr2bl w:val="nil"/>
                  </w:tcBorders>
                  <w:shd w:val="clear" w:color="auto" w:fill="auto"/>
                  <w:noWrap/>
                  <w:vAlign w:val="center"/>
                </w:tcPr>
                <w:p w14:paraId="5B6D198F">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13</w:t>
                  </w:r>
                </w:p>
              </w:tc>
              <w:tc>
                <w:tcPr>
                  <w:tcW w:w="346" w:type="dxa"/>
                  <w:tcBorders>
                    <w:tl2br w:val="nil"/>
                    <w:tr2bl w:val="nil"/>
                  </w:tcBorders>
                  <w:shd w:val="clear" w:color="auto" w:fill="auto"/>
                  <w:noWrap/>
                  <w:vAlign w:val="center"/>
                </w:tcPr>
                <w:p w14:paraId="6BECAE98">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40</w:t>
                  </w:r>
                </w:p>
              </w:tc>
              <w:tc>
                <w:tcPr>
                  <w:tcW w:w="289" w:type="dxa"/>
                  <w:tcBorders>
                    <w:tl2br w:val="nil"/>
                    <w:tr2bl w:val="nil"/>
                  </w:tcBorders>
                  <w:shd w:val="clear" w:color="auto" w:fill="auto"/>
                  <w:noWrap/>
                  <w:vAlign w:val="center"/>
                </w:tcPr>
                <w:p w14:paraId="624C6B61">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43</w:t>
                  </w:r>
                </w:p>
              </w:tc>
              <w:tc>
                <w:tcPr>
                  <w:tcW w:w="304" w:type="dxa"/>
                  <w:tcBorders>
                    <w:tl2br w:val="nil"/>
                    <w:tr2bl w:val="nil"/>
                  </w:tcBorders>
                  <w:shd w:val="clear" w:color="auto" w:fill="auto"/>
                  <w:noWrap/>
                  <w:vAlign w:val="center"/>
                </w:tcPr>
                <w:p w14:paraId="1B879C67">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49</w:t>
                  </w:r>
                </w:p>
              </w:tc>
              <w:tc>
                <w:tcPr>
                  <w:tcW w:w="318" w:type="dxa"/>
                  <w:tcBorders>
                    <w:tl2br w:val="nil"/>
                    <w:tr2bl w:val="nil"/>
                  </w:tcBorders>
                  <w:shd w:val="clear" w:color="auto" w:fill="auto"/>
                  <w:noWrap/>
                  <w:vAlign w:val="center"/>
                </w:tcPr>
                <w:p w14:paraId="5B33CC31">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43</w:t>
                  </w:r>
                </w:p>
              </w:tc>
              <w:tc>
                <w:tcPr>
                  <w:tcW w:w="479" w:type="dxa"/>
                  <w:tcBorders>
                    <w:tl2br w:val="nil"/>
                    <w:tr2bl w:val="nil"/>
                  </w:tcBorders>
                  <w:shd w:val="clear" w:color="auto" w:fill="auto"/>
                  <w:noWrap/>
                  <w:vAlign w:val="center"/>
                </w:tcPr>
                <w:p w14:paraId="03C5D1C4">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1</w:t>
                  </w:r>
                </w:p>
              </w:tc>
            </w:tr>
            <w:tr w14:paraId="21655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0" w:hRule="atLeast"/>
                <w:jc w:val="center"/>
              </w:trPr>
              <w:tc>
                <w:tcPr>
                  <w:tcW w:w="236" w:type="dxa"/>
                  <w:tcBorders>
                    <w:tl2br w:val="nil"/>
                    <w:tr2bl w:val="nil"/>
                  </w:tcBorders>
                  <w:shd w:val="clear" w:color="auto" w:fill="auto"/>
                  <w:noWrap/>
                  <w:vAlign w:val="center"/>
                </w:tcPr>
                <w:p w14:paraId="630B9A26">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2</w:t>
                  </w:r>
                </w:p>
              </w:tc>
              <w:tc>
                <w:tcPr>
                  <w:tcW w:w="462" w:type="dxa"/>
                  <w:tcBorders>
                    <w:tl2br w:val="nil"/>
                    <w:tr2bl w:val="nil"/>
                  </w:tcBorders>
                  <w:shd w:val="clear" w:color="auto" w:fill="auto"/>
                  <w:noWrap/>
                  <w:vAlign w:val="center"/>
                </w:tcPr>
                <w:p w14:paraId="23738A86">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生产厂房西侧</w:t>
                  </w:r>
                </w:p>
              </w:tc>
              <w:tc>
                <w:tcPr>
                  <w:tcW w:w="0" w:type="auto"/>
                  <w:tcBorders>
                    <w:tl2br w:val="nil"/>
                    <w:tr2bl w:val="nil"/>
                  </w:tcBorders>
                  <w:shd w:val="clear" w:color="auto" w:fill="auto"/>
                  <w:noWrap/>
                  <w:vAlign w:val="center"/>
                </w:tcPr>
                <w:p w14:paraId="068AFB9A">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混色机（4台）</w:t>
                  </w:r>
                </w:p>
              </w:tc>
              <w:tc>
                <w:tcPr>
                  <w:tcW w:w="0" w:type="auto"/>
                  <w:tcBorders>
                    <w:tl2br w:val="nil"/>
                    <w:tr2bl w:val="nil"/>
                  </w:tcBorders>
                  <w:shd w:val="clear" w:color="auto" w:fill="auto"/>
                  <w:noWrap/>
                  <w:vAlign w:val="center"/>
                </w:tcPr>
                <w:p w14:paraId="33CC5A2D">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85</w:t>
                  </w:r>
                </w:p>
              </w:tc>
              <w:tc>
                <w:tcPr>
                  <w:tcW w:w="391" w:type="dxa"/>
                  <w:vMerge w:val="continue"/>
                  <w:tcBorders>
                    <w:tl2br w:val="nil"/>
                    <w:tr2bl w:val="nil"/>
                  </w:tcBorders>
                  <w:shd w:val="clear" w:color="auto" w:fill="auto"/>
                  <w:noWrap/>
                  <w:vAlign w:val="center"/>
                </w:tcPr>
                <w:p w14:paraId="101142B1">
                  <w:pPr>
                    <w:pStyle w:val="141"/>
                    <w:ind w:firstLine="0" w:firstLineChars="0"/>
                    <w:jc w:val="center"/>
                    <w:rPr>
                      <w:rFonts w:hint="default" w:ascii="Times New Roman" w:hAnsi="Times New Roman" w:eastAsia="宋体" w:cs="Times New Roman"/>
                      <w:color w:val="auto"/>
                      <w:sz w:val="19"/>
                      <w:szCs w:val="19"/>
                      <w:lang w:val="en-US" w:eastAsia="zh-CN"/>
                    </w:rPr>
                  </w:pPr>
                </w:p>
              </w:tc>
              <w:tc>
                <w:tcPr>
                  <w:tcW w:w="405" w:type="dxa"/>
                  <w:tcBorders>
                    <w:tl2br w:val="nil"/>
                    <w:tr2bl w:val="nil"/>
                  </w:tcBorders>
                  <w:shd w:val="clear" w:color="auto" w:fill="auto"/>
                  <w:noWrap/>
                  <w:vAlign w:val="center"/>
                </w:tcPr>
                <w:p w14:paraId="4EFAEED1">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-25</w:t>
                  </w:r>
                </w:p>
              </w:tc>
              <w:tc>
                <w:tcPr>
                  <w:tcW w:w="347" w:type="dxa"/>
                  <w:tcBorders>
                    <w:tl2br w:val="nil"/>
                    <w:tr2bl w:val="nil"/>
                  </w:tcBorders>
                  <w:shd w:val="clear" w:color="auto" w:fill="auto"/>
                  <w:noWrap/>
                  <w:vAlign w:val="center"/>
                </w:tcPr>
                <w:p w14:paraId="70BF95A0">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3</w:t>
                  </w:r>
                </w:p>
              </w:tc>
              <w:tc>
                <w:tcPr>
                  <w:tcW w:w="348" w:type="dxa"/>
                  <w:tcBorders>
                    <w:tl2br w:val="nil"/>
                    <w:tr2bl w:val="nil"/>
                  </w:tcBorders>
                  <w:shd w:val="clear" w:color="auto" w:fill="auto"/>
                  <w:noWrap/>
                  <w:vAlign w:val="center"/>
                </w:tcPr>
                <w:p w14:paraId="229E54C1">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1.2</w:t>
                  </w:r>
                </w:p>
              </w:tc>
              <w:tc>
                <w:tcPr>
                  <w:tcW w:w="376" w:type="dxa"/>
                  <w:tcBorders>
                    <w:tl2br w:val="nil"/>
                    <w:tr2bl w:val="nil"/>
                  </w:tcBorders>
                  <w:shd w:val="clear" w:color="auto" w:fill="auto"/>
                  <w:noWrap/>
                  <w:vAlign w:val="center"/>
                </w:tcPr>
                <w:p w14:paraId="665019BB">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43</w:t>
                  </w:r>
                </w:p>
              </w:tc>
              <w:tc>
                <w:tcPr>
                  <w:tcW w:w="289" w:type="dxa"/>
                  <w:tcBorders>
                    <w:tl2br w:val="nil"/>
                    <w:tr2bl w:val="nil"/>
                  </w:tcBorders>
                  <w:shd w:val="clear" w:color="auto" w:fill="auto"/>
                  <w:noWrap/>
                  <w:vAlign w:val="center"/>
                </w:tcPr>
                <w:p w14:paraId="3AA96D26">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15</w:t>
                  </w:r>
                </w:p>
              </w:tc>
              <w:tc>
                <w:tcPr>
                  <w:tcW w:w="346" w:type="dxa"/>
                  <w:tcBorders>
                    <w:tl2br w:val="nil"/>
                    <w:tr2bl w:val="nil"/>
                  </w:tcBorders>
                  <w:shd w:val="clear" w:color="auto" w:fill="auto"/>
                  <w:noWrap/>
                  <w:vAlign w:val="center"/>
                </w:tcPr>
                <w:p w14:paraId="45510678">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7</w:t>
                  </w:r>
                </w:p>
              </w:tc>
              <w:tc>
                <w:tcPr>
                  <w:tcW w:w="378" w:type="dxa"/>
                  <w:tcBorders>
                    <w:tl2br w:val="nil"/>
                    <w:tr2bl w:val="nil"/>
                  </w:tcBorders>
                  <w:shd w:val="clear" w:color="auto" w:fill="auto"/>
                  <w:noWrap/>
                  <w:vAlign w:val="center"/>
                </w:tcPr>
                <w:p w14:paraId="7CCFDADC">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15</w:t>
                  </w:r>
                </w:p>
              </w:tc>
              <w:tc>
                <w:tcPr>
                  <w:tcW w:w="376" w:type="dxa"/>
                  <w:tcBorders>
                    <w:tl2br w:val="nil"/>
                    <w:tr2bl w:val="nil"/>
                  </w:tcBorders>
                  <w:shd w:val="clear" w:color="auto" w:fill="auto"/>
                  <w:noWrap/>
                  <w:vAlign w:val="center"/>
                </w:tcPr>
                <w:p w14:paraId="5AC17984">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51</w:t>
                  </w:r>
                </w:p>
              </w:tc>
              <w:tc>
                <w:tcPr>
                  <w:tcW w:w="362" w:type="dxa"/>
                  <w:tcBorders>
                    <w:tl2br w:val="nil"/>
                    <w:tr2bl w:val="nil"/>
                  </w:tcBorders>
                  <w:shd w:val="clear" w:color="auto" w:fill="auto"/>
                  <w:noWrap/>
                  <w:vAlign w:val="center"/>
                </w:tcPr>
                <w:p w14:paraId="2DF0AB1D">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53</w:t>
                  </w:r>
                </w:p>
              </w:tc>
              <w:tc>
                <w:tcPr>
                  <w:tcW w:w="362" w:type="dxa"/>
                  <w:tcBorders>
                    <w:tl2br w:val="nil"/>
                    <w:tr2bl w:val="nil"/>
                  </w:tcBorders>
                  <w:shd w:val="clear" w:color="auto" w:fill="auto"/>
                  <w:noWrap/>
                  <w:vAlign w:val="center"/>
                </w:tcPr>
                <w:p w14:paraId="54461975">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64</w:t>
                  </w:r>
                </w:p>
              </w:tc>
              <w:tc>
                <w:tcPr>
                  <w:tcW w:w="333" w:type="dxa"/>
                  <w:tcBorders>
                    <w:tl2br w:val="nil"/>
                    <w:tr2bl w:val="nil"/>
                  </w:tcBorders>
                  <w:shd w:val="clear" w:color="auto" w:fill="auto"/>
                  <w:noWrap/>
                  <w:vAlign w:val="center"/>
                </w:tcPr>
                <w:p w14:paraId="5D733DAC">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53</w:t>
                  </w:r>
                </w:p>
              </w:tc>
              <w:tc>
                <w:tcPr>
                  <w:tcW w:w="492" w:type="dxa"/>
                  <w:vMerge w:val="continue"/>
                  <w:tcBorders>
                    <w:tl2br w:val="nil"/>
                    <w:tr2bl w:val="nil"/>
                  </w:tcBorders>
                  <w:shd w:val="clear" w:color="auto" w:fill="auto"/>
                  <w:noWrap/>
                  <w:vAlign w:val="center"/>
                </w:tcPr>
                <w:p w14:paraId="688A3871">
                  <w:pPr>
                    <w:pStyle w:val="141"/>
                    <w:ind w:firstLine="0" w:firstLineChars="0"/>
                    <w:jc w:val="center"/>
                    <w:rPr>
                      <w:rFonts w:hint="default" w:ascii="Times New Roman" w:hAnsi="Times New Roman" w:eastAsia="宋体" w:cs="Times New Roman"/>
                      <w:color w:val="auto"/>
                      <w:sz w:val="19"/>
                      <w:szCs w:val="19"/>
                      <w:lang w:val="en-US" w:eastAsia="zh-CN"/>
                    </w:rPr>
                  </w:pPr>
                </w:p>
              </w:tc>
              <w:tc>
                <w:tcPr>
                  <w:tcW w:w="609" w:type="dxa"/>
                  <w:tcBorders>
                    <w:tl2br w:val="nil"/>
                    <w:tr2bl w:val="nil"/>
                  </w:tcBorders>
                  <w:shd w:val="clear" w:color="auto" w:fill="auto"/>
                  <w:noWrap/>
                  <w:vAlign w:val="center"/>
                </w:tcPr>
                <w:p w14:paraId="043949CD">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13</w:t>
                  </w:r>
                </w:p>
              </w:tc>
              <w:tc>
                <w:tcPr>
                  <w:tcW w:w="346" w:type="dxa"/>
                  <w:tcBorders>
                    <w:tl2br w:val="nil"/>
                    <w:tr2bl w:val="nil"/>
                  </w:tcBorders>
                  <w:shd w:val="clear" w:color="auto" w:fill="auto"/>
                  <w:noWrap/>
                  <w:vAlign w:val="center"/>
                </w:tcPr>
                <w:p w14:paraId="32C634E4">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38</w:t>
                  </w:r>
                </w:p>
              </w:tc>
              <w:tc>
                <w:tcPr>
                  <w:tcW w:w="289" w:type="dxa"/>
                  <w:tcBorders>
                    <w:tl2br w:val="nil"/>
                    <w:tr2bl w:val="nil"/>
                  </w:tcBorders>
                  <w:shd w:val="clear" w:color="auto" w:fill="auto"/>
                  <w:noWrap/>
                  <w:vAlign w:val="center"/>
                </w:tcPr>
                <w:p w14:paraId="38D136B8">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40</w:t>
                  </w:r>
                </w:p>
              </w:tc>
              <w:tc>
                <w:tcPr>
                  <w:tcW w:w="304" w:type="dxa"/>
                  <w:tcBorders>
                    <w:tl2br w:val="nil"/>
                    <w:tr2bl w:val="nil"/>
                  </w:tcBorders>
                  <w:shd w:val="clear" w:color="auto" w:fill="auto"/>
                  <w:noWrap/>
                  <w:vAlign w:val="center"/>
                </w:tcPr>
                <w:p w14:paraId="048034AD">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51</w:t>
                  </w:r>
                </w:p>
              </w:tc>
              <w:tc>
                <w:tcPr>
                  <w:tcW w:w="318" w:type="dxa"/>
                  <w:tcBorders>
                    <w:tl2br w:val="nil"/>
                    <w:tr2bl w:val="nil"/>
                  </w:tcBorders>
                  <w:shd w:val="clear" w:color="auto" w:fill="auto"/>
                  <w:noWrap/>
                  <w:vAlign w:val="center"/>
                </w:tcPr>
                <w:p w14:paraId="2849B86B">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40</w:t>
                  </w:r>
                </w:p>
              </w:tc>
              <w:tc>
                <w:tcPr>
                  <w:tcW w:w="479" w:type="dxa"/>
                  <w:tcBorders>
                    <w:tl2br w:val="nil"/>
                    <w:tr2bl w:val="nil"/>
                  </w:tcBorders>
                  <w:shd w:val="clear" w:color="auto" w:fill="auto"/>
                  <w:noWrap/>
                  <w:vAlign w:val="center"/>
                </w:tcPr>
                <w:p w14:paraId="42515873">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1</w:t>
                  </w:r>
                </w:p>
              </w:tc>
            </w:tr>
            <w:tr w14:paraId="00370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00" w:hRule="atLeast"/>
                <w:jc w:val="center"/>
              </w:trPr>
              <w:tc>
                <w:tcPr>
                  <w:tcW w:w="236" w:type="dxa"/>
                  <w:tcBorders>
                    <w:tl2br w:val="nil"/>
                    <w:tr2bl w:val="nil"/>
                  </w:tcBorders>
                  <w:shd w:val="clear" w:color="auto" w:fill="auto"/>
                  <w:noWrap/>
                  <w:vAlign w:val="center"/>
                </w:tcPr>
                <w:p w14:paraId="6D2C80A7">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3</w:t>
                  </w:r>
                </w:p>
              </w:tc>
              <w:tc>
                <w:tcPr>
                  <w:tcW w:w="462" w:type="dxa"/>
                  <w:tcBorders>
                    <w:tl2br w:val="nil"/>
                    <w:tr2bl w:val="nil"/>
                  </w:tcBorders>
                  <w:shd w:val="clear" w:color="auto" w:fill="auto"/>
                  <w:noWrap/>
                  <w:vAlign w:val="center"/>
                </w:tcPr>
                <w:p w14:paraId="61A3D251">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生产厂房东侧</w:t>
                  </w:r>
                </w:p>
              </w:tc>
              <w:tc>
                <w:tcPr>
                  <w:tcW w:w="0" w:type="auto"/>
                  <w:tcBorders>
                    <w:tl2br w:val="nil"/>
                    <w:tr2bl w:val="nil"/>
                  </w:tcBorders>
                  <w:shd w:val="clear" w:color="auto" w:fill="auto"/>
                  <w:noWrap/>
                  <w:vAlign w:val="center"/>
                </w:tcPr>
                <w:p w14:paraId="3CA7B83C">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注塑机（10台）</w:t>
                  </w:r>
                </w:p>
              </w:tc>
              <w:tc>
                <w:tcPr>
                  <w:tcW w:w="0" w:type="auto"/>
                  <w:tcBorders>
                    <w:tl2br w:val="nil"/>
                    <w:tr2bl w:val="nil"/>
                  </w:tcBorders>
                  <w:shd w:val="clear" w:color="auto" w:fill="auto"/>
                  <w:noWrap/>
                  <w:vAlign w:val="center"/>
                </w:tcPr>
                <w:p w14:paraId="64C4A1ED">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82</w:t>
                  </w:r>
                </w:p>
              </w:tc>
              <w:tc>
                <w:tcPr>
                  <w:tcW w:w="391" w:type="dxa"/>
                  <w:vMerge w:val="continue"/>
                  <w:tcBorders>
                    <w:tl2br w:val="nil"/>
                    <w:tr2bl w:val="nil"/>
                  </w:tcBorders>
                  <w:shd w:val="clear" w:color="auto" w:fill="auto"/>
                  <w:noWrap/>
                  <w:vAlign w:val="center"/>
                </w:tcPr>
                <w:p w14:paraId="1D94B359">
                  <w:pPr>
                    <w:pStyle w:val="141"/>
                    <w:ind w:firstLine="0" w:firstLineChars="0"/>
                    <w:jc w:val="center"/>
                    <w:rPr>
                      <w:rFonts w:hint="default" w:ascii="Times New Roman" w:hAnsi="Times New Roman" w:eastAsia="宋体" w:cs="Times New Roman"/>
                      <w:color w:val="auto"/>
                      <w:sz w:val="19"/>
                      <w:szCs w:val="19"/>
                      <w:lang w:val="en-US" w:eastAsia="zh-CN"/>
                    </w:rPr>
                  </w:pPr>
                </w:p>
              </w:tc>
              <w:tc>
                <w:tcPr>
                  <w:tcW w:w="405" w:type="dxa"/>
                  <w:tcBorders>
                    <w:tl2br w:val="nil"/>
                    <w:tr2bl w:val="nil"/>
                  </w:tcBorders>
                  <w:shd w:val="clear" w:color="auto" w:fill="auto"/>
                  <w:noWrap/>
                  <w:vAlign w:val="center"/>
                </w:tcPr>
                <w:p w14:paraId="79141FC0">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22</w:t>
                  </w:r>
                </w:p>
              </w:tc>
              <w:tc>
                <w:tcPr>
                  <w:tcW w:w="347" w:type="dxa"/>
                  <w:tcBorders>
                    <w:tl2br w:val="nil"/>
                    <w:tr2bl w:val="nil"/>
                  </w:tcBorders>
                  <w:shd w:val="clear" w:color="auto" w:fill="auto"/>
                  <w:noWrap/>
                  <w:vAlign w:val="center"/>
                </w:tcPr>
                <w:p w14:paraId="7A7C1B5B">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0</w:t>
                  </w:r>
                </w:p>
              </w:tc>
              <w:tc>
                <w:tcPr>
                  <w:tcW w:w="348" w:type="dxa"/>
                  <w:tcBorders>
                    <w:tl2br w:val="nil"/>
                    <w:tr2bl w:val="nil"/>
                  </w:tcBorders>
                  <w:shd w:val="clear" w:color="auto" w:fill="auto"/>
                  <w:noWrap/>
                  <w:vAlign w:val="center"/>
                </w:tcPr>
                <w:p w14:paraId="25865161">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1.2</w:t>
                  </w:r>
                </w:p>
              </w:tc>
              <w:tc>
                <w:tcPr>
                  <w:tcW w:w="376" w:type="dxa"/>
                  <w:tcBorders>
                    <w:tl2br w:val="nil"/>
                    <w:tr2bl w:val="nil"/>
                  </w:tcBorders>
                  <w:shd w:val="clear" w:color="auto" w:fill="auto"/>
                  <w:noWrap/>
                  <w:vAlign w:val="center"/>
                </w:tcPr>
                <w:p w14:paraId="0D9D3F30">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10</w:t>
                  </w:r>
                </w:p>
              </w:tc>
              <w:tc>
                <w:tcPr>
                  <w:tcW w:w="289" w:type="dxa"/>
                  <w:tcBorders>
                    <w:tl2br w:val="nil"/>
                    <w:tr2bl w:val="nil"/>
                  </w:tcBorders>
                  <w:shd w:val="clear" w:color="auto" w:fill="auto"/>
                  <w:noWrap/>
                  <w:vAlign w:val="center"/>
                </w:tcPr>
                <w:p w14:paraId="38E986B1">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12</w:t>
                  </w:r>
                </w:p>
              </w:tc>
              <w:tc>
                <w:tcPr>
                  <w:tcW w:w="346" w:type="dxa"/>
                  <w:tcBorders>
                    <w:tl2br w:val="nil"/>
                    <w:tr2bl w:val="nil"/>
                  </w:tcBorders>
                  <w:shd w:val="clear" w:color="auto" w:fill="auto"/>
                  <w:noWrap/>
                  <w:vAlign w:val="center"/>
                </w:tcPr>
                <w:p w14:paraId="6CBD8EB3">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40</w:t>
                  </w:r>
                </w:p>
              </w:tc>
              <w:tc>
                <w:tcPr>
                  <w:tcW w:w="378" w:type="dxa"/>
                  <w:tcBorders>
                    <w:tl2br w:val="nil"/>
                    <w:tr2bl w:val="nil"/>
                  </w:tcBorders>
                  <w:shd w:val="clear" w:color="auto" w:fill="auto"/>
                  <w:noWrap/>
                  <w:vAlign w:val="center"/>
                </w:tcPr>
                <w:p w14:paraId="531E47C8">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12</w:t>
                  </w:r>
                </w:p>
              </w:tc>
              <w:tc>
                <w:tcPr>
                  <w:tcW w:w="376" w:type="dxa"/>
                  <w:tcBorders>
                    <w:tl2br w:val="nil"/>
                    <w:tr2bl w:val="nil"/>
                  </w:tcBorders>
                  <w:shd w:val="clear" w:color="auto" w:fill="auto"/>
                  <w:noWrap/>
                  <w:vAlign w:val="center"/>
                </w:tcPr>
                <w:p w14:paraId="1D59FD72">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62</w:t>
                  </w:r>
                </w:p>
              </w:tc>
              <w:tc>
                <w:tcPr>
                  <w:tcW w:w="362" w:type="dxa"/>
                  <w:tcBorders>
                    <w:tl2br w:val="nil"/>
                    <w:tr2bl w:val="nil"/>
                  </w:tcBorders>
                  <w:shd w:val="clear" w:color="auto" w:fill="auto"/>
                  <w:noWrap/>
                  <w:vAlign w:val="center"/>
                </w:tcPr>
                <w:p w14:paraId="685E0FF8">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56</w:t>
                  </w:r>
                </w:p>
              </w:tc>
              <w:tc>
                <w:tcPr>
                  <w:tcW w:w="362" w:type="dxa"/>
                  <w:tcBorders>
                    <w:tl2br w:val="nil"/>
                    <w:tr2bl w:val="nil"/>
                  </w:tcBorders>
                  <w:shd w:val="clear" w:color="auto" w:fill="auto"/>
                  <w:noWrap/>
                  <w:vAlign w:val="center"/>
                </w:tcPr>
                <w:p w14:paraId="0C0EA9D9">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53</w:t>
                  </w:r>
                </w:p>
              </w:tc>
              <w:tc>
                <w:tcPr>
                  <w:tcW w:w="333" w:type="dxa"/>
                  <w:tcBorders>
                    <w:tl2br w:val="nil"/>
                    <w:tr2bl w:val="nil"/>
                  </w:tcBorders>
                  <w:shd w:val="clear" w:color="auto" w:fill="auto"/>
                  <w:noWrap/>
                  <w:vAlign w:val="center"/>
                </w:tcPr>
                <w:p w14:paraId="298653D8">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56</w:t>
                  </w:r>
                </w:p>
              </w:tc>
              <w:tc>
                <w:tcPr>
                  <w:tcW w:w="492" w:type="dxa"/>
                  <w:vMerge w:val="continue"/>
                  <w:tcBorders>
                    <w:tl2br w:val="nil"/>
                    <w:tr2bl w:val="nil"/>
                  </w:tcBorders>
                  <w:shd w:val="clear" w:color="auto" w:fill="auto"/>
                  <w:noWrap/>
                  <w:vAlign w:val="center"/>
                </w:tcPr>
                <w:p w14:paraId="2D31E50D">
                  <w:pPr>
                    <w:pStyle w:val="141"/>
                    <w:ind w:firstLine="0" w:firstLineChars="0"/>
                    <w:jc w:val="center"/>
                    <w:rPr>
                      <w:rFonts w:hint="default" w:ascii="Times New Roman" w:hAnsi="Times New Roman" w:eastAsia="宋体" w:cs="Times New Roman"/>
                      <w:color w:val="auto"/>
                      <w:sz w:val="19"/>
                      <w:szCs w:val="19"/>
                      <w:lang w:val="en-US" w:eastAsia="zh-CN"/>
                    </w:rPr>
                  </w:pPr>
                </w:p>
              </w:tc>
              <w:tc>
                <w:tcPr>
                  <w:tcW w:w="609" w:type="dxa"/>
                  <w:tcBorders>
                    <w:tl2br w:val="nil"/>
                    <w:tr2bl w:val="nil"/>
                  </w:tcBorders>
                  <w:shd w:val="clear" w:color="auto" w:fill="auto"/>
                  <w:noWrap/>
                  <w:vAlign w:val="center"/>
                </w:tcPr>
                <w:p w14:paraId="475CCB74">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13</w:t>
                  </w:r>
                </w:p>
              </w:tc>
              <w:tc>
                <w:tcPr>
                  <w:tcW w:w="346" w:type="dxa"/>
                  <w:tcBorders>
                    <w:tl2br w:val="nil"/>
                    <w:tr2bl w:val="nil"/>
                  </w:tcBorders>
                  <w:shd w:val="clear" w:color="auto" w:fill="auto"/>
                  <w:noWrap/>
                  <w:vAlign w:val="center"/>
                </w:tcPr>
                <w:p w14:paraId="2D5C0A73">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49</w:t>
                  </w:r>
                </w:p>
              </w:tc>
              <w:tc>
                <w:tcPr>
                  <w:tcW w:w="289" w:type="dxa"/>
                  <w:tcBorders>
                    <w:tl2br w:val="nil"/>
                    <w:tr2bl w:val="nil"/>
                  </w:tcBorders>
                  <w:shd w:val="clear" w:color="auto" w:fill="auto"/>
                  <w:noWrap/>
                  <w:vAlign w:val="center"/>
                </w:tcPr>
                <w:p w14:paraId="1C130E25">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43</w:t>
                  </w:r>
                </w:p>
              </w:tc>
              <w:tc>
                <w:tcPr>
                  <w:tcW w:w="304" w:type="dxa"/>
                  <w:tcBorders>
                    <w:tl2br w:val="nil"/>
                    <w:tr2bl w:val="nil"/>
                  </w:tcBorders>
                  <w:shd w:val="clear" w:color="auto" w:fill="auto"/>
                  <w:noWrap/>
                  <w:vAlign w:val="center"/>
                </w:tcPr>
                <w:p w14:paraId="05936282">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40</w:t>
                  </w:r>
                </w:p>
              </w:tc>
              <w:tc>
                <w:tcPr>
                  <w:tcW w:w="318" w:type="dxa"/>
                  <w:tcBorders>
                    <w:tl2br w:val="nil"/>
                    <w:tr2bl w:val="nil"/>
                  </w:tcBorders>
                  <w:shd w:val="clear" w:color="auto" w:fill="auto"/>
                  <w:noWrap/>
                  <w:vAlign w:val="center"/>
                </w:tcPr>
                <w:p w14:paraId="26FCF665">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43</w:t>
                  </w:r>
                </w:p>
              </w:tc>
              <w:tc>
                <w:tcPr>
                  <w:tcW w:w="479" w:type="dxa"/>
                  <w:tcBorders>
                    <w:tl2br w:val="nil"/>
                    <w:tr2bl w:val="nil"/>
                  </w:tcBorders>
                  <w:shd w:val="clear" w:color="auto" w:fill="auto"/>
                  <w:noWrap/>
                  <w:vAlign w:val="center"/>
                </w:tcPr>
                <w:p w14:paraId="25125CA7">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1</w:t>
                  </w:r>
                </w:p>
              </w:tc>
            </w:tr>
            <w:tr w14:paraId="2AA2E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2" w:hRule="atLeast"/>
                <w:jc w:val="center"/>
              </w:trPr>
              <w:tc>
                <w:tcPr>
                  <w:tcW w:w="236" w:type="dxa"/>
                  <w:tcBorders>
                    <w:tl2br w:val="nil"/>
                    <w:tr2bl w:val="nil"/>
                  </w:tcBorders>
                  <w:shd w:val="clear" w:color="auto" w:fill="auto"/>
                  <w:noWrap/>
                  <w:vAlign w:val="center"/>
                </w:tcPr>
                <w:p w14:paraId="01DD8050">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4</w:t>
                  </w:r>
                </w:p>
              </w:tc>
              <w:tc>
                <w:tcPr>
                  <w:tcW w:w="462" w:type="dxa"/>
                  <w:tcBorders>
                    <w:tl2br w:val="nil"/>
                    <w:tr2bl w:val="nil"/>
                  </w:tcBorders>
                  <w:shd w:val="clear" w:color="auto" w:fill="auto"/>
                  <w:noWrap/>
                  <w:vAlign w:val="center"/>
                </w:tcPr>
                <w:p w14:paraId="2065A01E">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生产厂房东侧</w:t>
                  </w:r>
                </w:p>
              </w:tc>
              <w:tc>
                <w:tcPr>
                  <w:tcW w:w="0" w:type="auto"/>
                  <w:tcBorders>
                    <w:tl2br w:val="nil"/>
                    <w:tr2bl w:val="nil"/>
                  </w:tcBorders>
                  <w:shd w:val="clear" w:color="auto" w:fill="auto"/>
                  <w:noWrap/>
                  <w:vAlign w:val="center"/>
                </w:tcPr>
                <w:p w14:paraId="209879BE">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粉碎机（3台）</w:t>
                  </w:r>
                </w:p>
              </w:tc>
              <w:tc>
                <w:tcPr>
                  <w:tcW w:w="0" w:type="auto"/>
                  <w:tcBorders>
                    <w:tl2br w:val="nil"/>
                    <w:tr2bl w:val="nil"/>
                  </w:tcBorders>
                  <w:shd w:val="clear" w:color="auto" w:fill="auto"/>
                  <w:noWrap/>
                  <w:vAlign w:val="center"/>
                </w:tcPr>
                <w:p w14:paraId="75FDC109">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88</w:t>
                  </w:r>
                </w:p>
              </w:tc>
              <w:tc>
                <w:tcPr>
                  <w:tcW w:w="391" w:type="dxa"/>
                  <w:vMerge w:val="continue"/>
                  <w:tcBorders>
                    <w:tl2br w:val="nil"/>
                    <w:tr2bl w:val="nil"/>
                  </w:tcBorders>
                  <w:shd w:val="clear" w:color="auto" w:fill="auto"/>
                  <w:noWrap/>
                  <w:vAlign w:val="center"/>
                </w:tcPr>
                <w:p w14:paraId="5BF605A5">
                  <w:pPr>
                    <w:pStyle w:val="141"/>
                    <w:ind w:firstLine="0" w:firstLineChars="0"/>
                    <w:jc w:val="center"/>
                    <w:rPr>
                      <w:rFonts w:hint="default" w:ascii="Times New Roman" w:hAnsi="Times New Roman" w:eastAsia="宋体" w:cs="Times New Roman"/>
                      <w:color w:val="auto"/>
                      <w:sz w:val="19"/>
                      <w:szCs w:val="19"/>
                      <w:lang w:val="en-US" w:eastAsia="zh-CN"/>
                    </w:rPr>
                  </w:pPr>
                </w:p>
              </w:tc>
              <w:tc>
                <w:tcPr>
                  <w:tcW w:w="405" w:type="dxa"/>
                  <w:tcBorders>
                    <w:tl2br w:val="nil"/>
                    <w:tr2bl w:val="nil"/>
                  </w:tcBorders>
                  <w:shd w:val="clear" w:color="auto" w:fill="auto"/>
                  <w:noWrap/>
                  <w:vAlign w:val="center"/>
                </w:tcPr>
                <w:p w14:paraId="76DBB80C">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25</w:t>
                  </w:r>
                </w:p>
              </w:tc>
              <w:tc>
                <w:tcPr>
                  <w:tcW w:w="347" w:type="dxa"/>
                  <w:tcBorders>
                    <w:tl2br w:val="nil"/>
                    <w:tr2bl w:val="nil"/>
                  </w:tcBorders>
                  <w:shd w:val="clear" w:color="auto" w:fill="auto"/>
                  <w:noWrap/>
                  <w:vAlign w:val="center"/>
                </w:tcPr>
                <w:p w14:paraId="608B6677">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-3</w:t>
                  </w:r>
                </w:p>
              </w:tc>
              <w:tc>
                <w:tcPr>
                  <w:tcW w:w="348" w:type="dxa"/>
                  <w:tcBorders>
                    <w:tl2br w:val="nil"/>
                    <w:tr2bl w:val="nil"/>
                  </w:tcBorders>
                  <w:shd w:val="clear" w:color="auto" w:fill="auto"/>
                  <w:noWrap/>
                  <w:vAlign w:val="center"/>
                </w:tcPr>
                <w:p w14:paraId="647C1AE9">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1.2</w:t>
                  </w:r>
                </w:p>
              </w:tc>
              <w:tc>
                <w:tcPr>
                  <w:tcW w:w="376" w:type="dxa"/>
                  <w:tcBorders>
                    <w:tl2br w:val="nil"/>
                    <w:tr2bl w:val="nil"/>
                  </w:tcBorders>
                  <w:shd w:val="clear" w:color="auto" w:fill="auto"/>
                  <w:noWrap/>
                  <w:vAlign w:val="center"/>
                </w:tcPr>
                <w:p w14:paraId="53F94F9D">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7</w:t>
                  </w:r>
                </w:p>
              </w:tc>
              <w:tc>
                <w:tcPr>
                  <w:tcW w:w="289" w:type="dxa"/>
                  <w:tcBorders>
                    <w:tl2br w:val="nil"/>
                    <w:tr2bl w:val="nil"/>
                  </w:tcBorders>
                  <w:shd w:val="clear" w:color="auto" w:fill="auto"/>
                  <w:noWrap/>
                  <w:vAlign w:val="center"/>
                </w:tcPr>
                <w:p w14:paraId="50B4873D">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15</w:t>
                  </w:r>
                </w:p>
              </w:tc>
              <w:tc>
                <w:tcPr>
                  <w:tcW w:w="346" w:type="dxa"/>
                  <w:tcBorders>
                    <w:tl2br w:val="nil"/>
                    <w:tr2bl w:val="nil"/>
                  </w:tcBorders>
                  <w:shd w:val="clear" w:color="auto" w:fill="auto"/>
                  <w:noWrap/>
                  <w:vAlign w:val="center"/>
                </w:tcPr>
                <w:p w14:paraId="4BF8CA74">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43</w:t>
                  </w:r>
                </w:p>
              </w:tc>
              <w:tc>
                <w:tcPr>
                  <w:tcW w:w="378" w:type="dxa"/>
                  <w:tcBorders>
                    <w:tl2br w:val="nil"/>
                    <w:tr2bl w:val="nil"/>
                  </w:tcBorders>
                  <w:shd w:val="clear" w:color="auto" w:fill="auto"/>
                  <w:noWrap/>
                  <w:vAlign w:val="center"/>
                </w:tcPr>
                <w:p w14:paraId="5502A1C2">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15</w:t>
                  </w:r>
                </w:p>
              </w:tc>
              <w:tc>
                <w:tcPr>
                  <w:tcW w:w="376" w:type="dxa"/>
                  <w:tcBorders>
                    <w:tl2br w:val="nil"/>
                    <w:tr2bl w:val="nil"/>
                  </w:tcBorders>
                  <w:shd w:val="clear" w:color="auto" w:fill="auto"/>
                  <w:noWrap/>
                  <w:vAlign w:val="center"/>
                </w:tcPr>
                <w:p w14:paraId="3C7DA7AA">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64</w:t>
                  </w:r>
                </w:p>
              </w:tc>
              <w:tc>
                <w:tcPr>
                  <w:tcW w:w="362" w:type="dxa"/>
                  <w:tcBorders>
                    <w:tl2br w:val="nil"/>
                    <w:tr2bl w:val="nil"/>
                  </w:tcBorders>
                  <w:shd w:val="clear" w:color="auto" w:fill="auto"/>
                  <w:noWrap/>
                  <w:vAlign w:val="center"/>
                </w:tcPr>
                <w:p w14:paraId="787685C4">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56</w:t>
                  </w:r>
                </w:p>
              </w:tc>
              <w:tc>
                <w:tcPr>
                  <w:tcW w:w="362" w:type="dxa"/>
                  <w:tcBorders>
                    <w:tl2br w:val="nil"/>
                    <w:tr2bl w:val="nil"/>
                  </w:tcBorders>
                  <w:shd w:val="clear" w:color="auto" w:fill="auto"/>
                  <w:noWrap/>
                  <w:vAlign w:val="center"/>
                </w:tcPr>
                <w:p w14:paraId="571EEDD1">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51</w:t>
                  </w:r>
                </w:p>
              </w:tc>
              <w:tc>
                <w:tcPr>
                  <w:tcW w:w="333" w:type="dxa"/>
                  <w:tcBorders>
                    <w:tl2br w:val="nil"/>
                    <w:tr2bl w:val="nil"/>
                  </w:tcBorders>
                  <w:shd w:val="clear" w:color="auto" w:fill="auto"/>
                  <w:noWrap/>
                  <w:vAlign w:val="center"/>
                </w:tcPr>
                <w:p w14:paraId="122A6775">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56</w:t>
                  </w:r>
                </w:p>
              </w:tc>
              <w:tc>
                <w:tcPr>
                  <w:tcW w:w="492" w:type="dxa"/>
                  <w:vMerge w:val="continue"/>
                  <w:tcBorders>
                    <w:tl2br w:val="nil"/>
                    <w:tr2bl w:val="nil"/>
                  </w:tcBorders>
                  <w:shd w:val="clear" w:color="auto" w:fill="auto"/>
                  <w:noWrap/>
                  <w:vAlign w:val="center"/>
                </w:tcPr>
                <w:p w14:paraId="1F0EC318">
                  <w:pPr>
                    <w:pStyle w:val="141"/>
                    <w:ind w:firstLine="0" w:firstLineChars="0"/>
                    <w:jc w:val="center"/>
                    <w:rPr>
                      <w:rFonts w:hint="default" w:ascii="Times New Roman" w:hAnsi="Times New Roman" w:eastAsia="宋体" w:cs="Times New Roman"/>
                      <w:color w:val="auto"/>
                      <w:sz w:val="19"/>
                      <w:szCs w:val="19"/>
                      <w:lang w:val="en-US" w:eastAsia="zh-CN"/>
                    </w:rPr>
                  </w:pPr>
                </w:p>
              </w:tc>
              <w:tc>
                <w:tcPr>
                  <w:tcW w:w="609" w:type="dxa"/>
                  <w:tcBorders>
                    <w:tl2br w:val="nil"/>
                    <w:tr2bl w:val="nil"/>
                  </w:tcBorders>
                  <w:shd w:val="clear" w:color="auto" w:fill="auto"/>
                  <w:noWrap/>
                  <w:vAlign w:val="center"/>
                </w:tcPr>
                <w:p w14:paraId="7886ECEF">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13</w:t>
                  </w:r>
                </w:p>
              </w:tc>
              <w:tc>
                <w:tcPr>
                  <w:tcW w:w="346" w:type="dxa"/>
                  <w:tcBorders>
                    <w:tl2br w:val="nil"/>
                    <w:tr2bl w:val="nil"/>
                  </w:tcBorders>
                  <w:shd w:val="clear" w:color="auto" w:fill="auto"/>
                  <w:noWrap/>
                  <w:vAlign w:val="center"/>
                </w:tcPr>
                <w:p w14:paraId="5036D0C7">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51</w:t>
                  </w:r>
                </w:p>
              </w:tc>
              <w:tc>
                <w:tcPr>
                  <w:tcW w:w="289" w:type="dxa"/>
                  <w:tcBorders>
                    <w:tl2br w:val="nil"/>
                    <w:tr2bl w:val="nil"/>
                  </w:tcBorders>
                  <w:shd w:val="clear" w:color="auto" w:fill="auto"/>
                  <w:noWrap/>
                  <w:vAlign w:val="center"/>
                </w:tcPr>
                <w:p w14:paraId="4F4FFB1B">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43</w:t>
                  </w:r>
                </w:p>
              </w:tc>
              <w:tc>
                <w:tcPr>
                  <w:tcW w:w="304" w:type="dxa"/>
                  <w:tcBorders>
                    <w:tl2br w:val="nil"/>
                    <w:tr2bl w:val="nil"/>
                  </w:tcBorders>
                  <w:shd w:val="clear" w:color="auto" w:fill="auto"/>
                  <w:noWrap/>
                  <w:vAlign w:val="center"/>
                </w:tcPr>
                <w:p w14:paraId="53A3443E">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38</w:t>
                  </w:r>
                </w:p>
              </w:tc>
              <w:tc>
                <w:tcPr>
                  <w:tcW w:w="318" w:type="dxa"/>
                  <w:tcBorders>
                    <w:tl2br w:val="nil"/>
                    <w:tr2bl w:val="nil"/>
                  </w:tcBorders>
                  <w:shd w:val="clear" w:color="auto" w:fill="auto"/>
                  <w:noWrap/>
                  <w:vAlign w:val="center"/>
                </w:tcPr>
                <w:p w14:paraId="4138DBA7">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43</w:t>
                  </w:r>
                </w:p>
              </w:tc>
              <w:tc>
                <w:tcPr>
                  <w:tcW w:w="479" w:type="dxa"/>
                  <w:tcBorders>
                    <w:tl2br w:val="nil"/>
                    <w:tr2bl w:val="nil"/>
                  </w:tcBorders>
                  <w:shd w:val="clear" w:color="auto" w:fill="auto"/>
                  <w:noWrap/>
                  <w:vAlign w:val="center"/>
                </w:tcPr>
                <w:p w14:paraId="25F2507D">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1</w:t>
                  </w:r>
                </w:p>
              </w:tc>
            </w:tr>
          </w:tbl>
          <w:p w14:paraId="19A6DDCF">
            <w:pPr>
              <w:widowControl/>
              <w:spacing w:line="520" w:lineRule="exact"/>
              <w:ind w:firstLine="480" w:firstLineChars="200"/>
              <w:jc w:val="left"/>
              <w:rPr>
                <w:rFonts w:hint="default" w:ascii="Times New Roman" w:hAnsi="Times New Roman" w:cs="Times New Roman"/>
                <w:color w:val="auto"/>
                <w:kern w:val="0"/>
                <w:sz w:val="24"/>
                <w:lang w:bidi="ar"/>
              </w:rPr>
            </w:pPr>
            <w:r>
              <w:rPr>
                <w:rFonts w:hint="default" w:ascii="Times New Roman" w:hAnsi="Times New Roman" w:cs="Times New Roman"/>
                <w:color w:val="auto"/>
                <w:kern w:val="0"/>
                <w:sz w:val="24"/>
                <w:lang w:bidi="ar"/>
              </w:rPr>
              <w:t>备注：以厂房生产车车间中心点为中心。</w:t>
            </w:r>
          </w:p>
          <w:p w14:paraId="46AFCE4C">
            <w:pPr>
              <w:pStyle w:val="140"/>
              <w:spacing w:before="147"/>
              <w:rPr>
                <w:rFonts w:hint="default" w:ascii="Times New Roman" w:hAnsi="Times New Roman" w:eastAsia="宋体" w:cs="Times New Roman"/>
                <w:color w:val="auto"/>
              </w:rPr>
            </w:pPr>
            <w:r>
              <w:rPr>
                <w:rFonts w:hint="default" w:ascii="Times New Roman" w:hAnsi="Times New Roman" w:eastAsia="宋体" w:cs="Times New Roman"/>
                <w:color w:val="auto"/>
              </w:rPr>
              <w:t>表4-</w:t>
            </w:r>
            <w:r>
              <w:rPr>
                <w:rFonts w:hint="default" w:ascii="Times New Roman" w:hAnsi="Times New Roman" w:cs="Times New Roman"/>
                <w:color w:val="auto"/>
                <w:lang w:val="en-US" w:eastAsia="zh-CN"/>
              </w:rPr>
              <w:t xml:space="preserve">7 </w:t>
            </w:r>
            <w:r>
              <w:rPr>
                <w:rFonts w:hint="default" w:ascii="Times New Roman" w:hAnsi="Times New Roman" w:eastAsia="宋体" w:cs="Times New Roman"/>
                <w:color w:val="auto"/>
              </w:rPr>
              <w:t xml:space="preserve"> 室外噪声源参数一览表（废气风机）</w:t>
            </w:r>
          </w:p>
          <w:tbl>
            <w:tblPr>
              <w:tblStyle w:val="38"/>
              <w:tblW w:w="8073" w:type="dxa"/>
              <w:tblInd w:w="-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72"/>
              <w:gridCol w:w="672"/>
              <w:gridCol w:w="672"/>
              <w:gridCol w:w="673"/>
              <w:gridCol w:w="673"/>
              <w:gridCol w:w="673"/>
              <w:gridCol w:w="673"/>
              <w:gridCol w:w="673"/>
              <w:gridCol w:w="673"/>
              <w:gridCol w:w="2019"/>
            </w:tblGrid>
            <w:tr w14:paraId="07C89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672" w:type="dxa"/>
                  <w:vMerge w:val="restart"/>
                  <w:tcBorders>
                    <w:tl2br w:val="nil"/>
                    <w:tr2bl w:val="nil"/>
                  </w:tcBorders>
                  <w:shd w:val="clear" w:color="auto" w:fill="auto"/>
                  <w:noWrap/>
                  <w:vAlign w:val="center"/>
                </w:tcPr>
                <w:p w14:paraId="274926C5">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序号</w:t>
                  </w:r>
                </w:p>
              </w:tc>
              <w:tc>
                <w:tcPr>
                  <w:tcW w:w="672" w:type="dxa"/>
                  <w:vMerge w:val="restart"/>
                  <w:tcBorders>
                    <w:tl2br w:val="nil"/>
                    <w:tr2bl w:val="nil"/>
                  </w:tcBorders>
                  <w:shd w:val="clear" w:color="auto" w:fill="auto"/>
                  <w:noWrap/>
                  <w:vAlign w:val="center"/>
                </w:tcPr>
                <w:p w14:paraId="49A35505">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建筑物名称</w:t>
                  </w:r>
                </w:p>
              </w:tc>
              <w:tc>
                <w:tcPr>
                  <w:tcW w:w="672" w:type="dxa"/>
                  <w:vMerge w:val="restart"/>
                  <w:tcBorders>
                    <w:tl2br w:val="nil"/>
                    <w:tr2bl w:val="nil"/>
                  </w:tcBorders>
                  <w:shd w:val="clear" w:color="auto" w:fill="auto"/>
                  <w:noWrap/>
                  <w:vAlign w:val="center"/>
                </w:tcPr>
                <w:p w14:paraId="02A46BC5">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声源名称</w:t>
                  </w:r>
                </w:p>
              </w:tc>
              <w:tc>
                <w:tcPr>
                  <w:tcW w:w="673" w:type="dxa"/>
                  <w:vMerge w:val="restart"/>
                  <w:tcBorders>
                    <w:tl2br w:val="nil"/>
                    <w:tr2bl w:val="nil"/>
                  </w:tcBorders>
                  <w:shd w:val="clear" w:color="auto" w:fill="auto"/>
                  <w:noWrap/>
                  <w:vAlign w:val="center"/>
                </w:tcPr>
                <w:p w14:paraId="41084393">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声功率级Lw/dB(A)</w:t>
                  </w:r>
                </w:p>
              </w:tc>
              <w:tc>
                <w:tcPr>
                  <w:tcW w:w="673" w:type="dxa"/>
                  <w:vMerge w:val="restart"/>
                  <w:tcBorders>
                    <w:tl2br w:val="nil"/>
                    <w:tr2bl w:val="nil"/>
                  </w:tcBorders>
                  <w:shd w:val="clear" w:color="auto" w:fill="auto"/>
                  <w:noWrap/>
                  <w:vAlign w:val="center"/>
                </w:tcPr>
                <w:p w14:paraId="133CBD79">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降噪措施</w:t>
                  </w:r>
                </w:p>
              </w:tc>
              <w:tc>
                <w:tcPr>
                  <w:tcW w:w="673" w:type="dxa"/>
                  <w:vMerge w:val="restart"/>
                  <w:tcBorders>
                    <w:tl2br w:val="nil"/>
                    <w:tr2bl w:val="nil"/>
                  </w:tcBorders>
                  <w:shd w:val="clear" w:color="auto" w:fill="auto"/>
                  <w:noWrap/>
                  <w:vAlign w:val="center"/>
                </w:tcPr>
                <w:p w14:paraId="12D6D82B">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降噪衰减值ΔL/dB(A)</w:t>
                  </w:r>
                </w:p>
              </w:tc>
              <w:tc>
                <w:tcPr>
                  <w:tcW w:w="2019" w:type="dxa"/>
                  <w:gridSpan w:val="3"/>
                  <w:tcBorders>
                    <w:tl2br w:val="nil"/>
                    <w:tr2bl w:val="nil"/>
                  </w:tcBorders>
                  <w:shd w:val="clear" w:color="auto" w:fill="auto"/>
                  <w:noWrap/>
                  <w:vAlign w:val="center"/>
                </w:tcPr>
                <w:p w14:paraId="70E65CDE">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空间坐标/m</w:t>
                  </w:r>
                </w:p>
              </w:tc>
              <w:tc>
                <w:tcPr>
                  <w:tcW w:w="2019" w:type="dxa"/>
                  <w:vMerge w:val="restart"/>
                  <w:tcBorders>
                    <w:tl2br w:val="nil"/>
                    <w:tr2bl w:val="nil"/>
                  </w:tcBorders>
                  <w:shd w:val="clear" w:color="auto" w:fill="auto"/>
                  <w:noWrap/>
                  <w:vAlign w:val="center"/>
                </w:tcPr>
                <w:p w14:paraId="3C436D34">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运行时段</w:t>
                  </w:r>
                </w:p>
              </w:tc>
            </w:tr>
            <w:tr w14:paraId="36CDE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trPr>
              <w:tc>
                <w:tcPr>
                  <w:tcW w:w="672" w:type="dxa"/>
                  <w:vMerge w:val="continue"/>
                  <w:tcBorders>
                    <w:tl2br w:val="nil"/>
                    <w:tr2bl w:val="nil"/>
                  </w:tcBorders>
                  <w:shd w:val="clear" w:color="auto" w:fill="auto"/>
                  <w:noWrap/>
                  <w:vAlign w:val="center"/>
                </w:tcPr>
                <w:p w14:paraId="6F1ECDC8">
                  <w:pPr>
                    <w:pStyle w:val="141"/>
                    <w:ind w:firstLine="0" w:firstLineChars="0"/>
                    <w:jc w:val="center"/>
                    <w:rPr>
                      <w:rFonts w:hint="default" w:ascii="Times New Roman" w:hAnsi="Times New Roman" w:eastAsia="宋体" w:cs="Times New Roman"/>
                      <w:color w:val="auto"/>
                      <w:sz w:val="19"/>
                      <w:szCs w:val="19"/>
                      <w:lang w:val="en-US" w:eastAsia="zh-CN"/>
                    </w:rPr>
                  </w:pPr>
                </w:p>
              </w:tc>
              <w:tc>
                <w:tcPr>
                  <w:tcW w:w="672" w:type="dxa"/>
                  <w:vMerge w:val="continue"/>
                  <w:tcBorders>
                    <w:tl2br w:val="nil"/>
                    <w:tr2bl w:val="nil"/>
                  </w:tcBorders>
                  <w:shd w:val="clear" w:color="auto" w:fill="auto"/>
                  <w:noWrap/>
                  <w:vAlign w:val="center"/>
                </w:tcPr>
                <w:p w14:paraId="10F7C2D6">
                  <w:pPr>
                    <w:pStyle w:val="141"/>
                    <w:ind w:firstLine="0" w:firstLineChars="0"/>
                    <w:jc w:val="center"/>
                    <w:rPr>
                      <w:rFonts w:hint="default" w:ascii="Times New Roman" w:hAnsi="Times New Roman" w:eastAsia="宋体" w:cs="Times New Roman"/>
                      <w:color w:val="auto"/>
                      <w:sz w:val="19"/>
                      <w:szCs w:val="19"/>
                      <w:lang w:val="en-US" w:eastAsia="zh-CN"/>
                    </w:rPr>
                  </w:pPr>
                </w:p>
              </w:tc>
              <w:tc>
                <w:tcPr>
                  <w:tcW w:w="672" w:type="dxa"/>
                  <w:vMerge w:val="continue"/>
                  <w:tcBorders>
                    <w:tl2br w:val="nil"/>
                    <w:tr2bl w:val="nil"/>
                  </w:tcBorders>
                  <w:shd w:val="clear" w:color="auto" w:fill="auto"/>
                  <w:noWrap/>
                  <w:vAlign w:val="center"/>
                </w:tcPr>
                <w:p w14:paraId="2DF25400">
                  <w:pPr>
                    <w:pStyle w:val="141"/>
                    <w:ind w:firstLine="0" w:firstLineChars="0"/>
                    <w:jc w:val="center"/>
                    <w:rPr>
                      <w:rFonts w:hint="default" w:ascii="Times New Roman" w:hAnsi="Times New Roman" w:eastAsia="宋体" w:cs="Times New Roman"/>
                      <w:color w:val="auto"/>
                      <w:sz w:val="19"/>
                      <w:szCs w:val="19"/>
                      <w:lang w:val="en-US" w:eastAsia="zh-CN"/>
                    </w:rPr>
                  </w:pPr>
                </w:p>
              </w:tc>
              <w:tc>
                <w:tcPr>
                  <w:tcW w:w="673" w:type="dxa"/>
                  <w:vMerge w:val="continue"/>
                  <w:tcBorders>
                    <w:tl2br w:val="nil"/>
                    <w:tr2bl w:val="nil"/>
                  </w:tcBorders>
                  <w:shd w:val="clear" w:color="auto" w:fill="auto"/>
                  <w:noWrap/>
                  <w:vAlign w:val="center"/>
                </w:tcPr>
                <w:p w14:paraId="166255F9">
                  <w:pPr>
                    <w:pStyle w:val="141"/>
                    <w:ind w:firstLine="0" w:firstLineChars="0"/>
                    <w:jc w:val="center"/>
                    <w:rPr>
                      <w:rFonts w:hint="default" w:ascii="Times New Roman" w:hAnsi="Times New Roman" w:eastAsia="宋体" w:cs="Times New Roman"/>
                      <w:color w:val="auto"/>
                      <w:sz w:val="19"/>
                      <w:szCs w:val="19"/>
                      <w:lang w:val="en-US" w:eastAsia="zh-CN"/>
                    </w:rPr>
                  </w:pPr>
                </w:p>
              </w:tc>
              <w:tc>
                <w:tcPr>
                  <w:tcW w:w="673" w:type="dxa"/>
                  <w:vMerge w:val="continue"/>
                  <w:tcBorders>
                    <w:tl2br w:val="nil"/>
                    <w:tr2bl w:val="nil"/>
                  </w:tcBorders>
                  <w:shd w:val="clear" w:color="auto" w:fill="auto"/>
                  <w:noWrap/>
                  <w:vAlign w:val="center"/>
                </w:tcPr>
                <w:p w14:paraId="1FCA5F7A">
                  <w:pPr>
                    <w:pStyle w:val="141"/>
                    <w:ind w:firstLine="0" w:firstLineChars="0"/>
                    <w:jc w:val="center"/>
                    <w:rPr>
                      <w:rFonts w:hint="default" w:ascii="Times New Roman" w:hAnsi="Times New Roman" w:eastAsia="宋体" w:cs="Times New Roman"/>
                      <w:color w:val="auto"/>
                      <w:sz w:val="19"/>
                      <w:szCs w:val="19"/>
                      <w:lang w:val="en-US" w:eastAsia="zh-CN"/>
                    </w:rPr>
                  </w:pPr>
                </w:p>
              </w:tc>
              <w:tc>
                <w:tcPr>
                  <w:tcW w:w="673" w:type="dxa"/>
                  <w:vMerge w:val="continue"/>
                  <w:tcBorders>
                    <w:tl2br w:val="nil"/>
                    <w:tr2bl w:val="nil"/>
                  </w:tcBorders>
                  <w:shd w:val="clear" w:color="auto" w:fill="auto"/>
                  <w:noWrap/>
                  <w:vAlign w:val="center"/>
                </w:tcPr>
                <w:p w14:paraId="495EB570">
                  <w:pPr>
                    <w:pStyle w:val="141"/>
                    <w:ind w:firstLine="0" w:firstLineChars="0"/>
                    <w:jc w:val="center"/>
                    <w:rPr>
                      <w:rFonts w:hint="default" w:ascii="Times New Roman" w:hAnsi="Times New Roman" w:eastAsia="宋体" w:cs="Times New Roman"/>
                      <w:color w:val="auto"/>
                      <w:sz w:val="19"/>
                      <w:szCs w:val="19"/>
                      <w:lang w:val="en-US" w:eastAsia="zh-CN"/>
                    </w:rPr>
                  </w:pPr>
                </w:p>
              </w:tc>
              <w:tc>
                <w:tcPr>
                  <w:tcW w:w="673" w:type="dxa"/>
                  <w:tcBorders>
                    <w:tl2br w:val="nil"/>
                    <w:tr2bl w:val="nil"/>
                  </w:tcBorders>
                  <w:shd w:val="clear" w:color="auto" w:fill="auto"/>
                  <w:noWrap/>
                  <w:vAlign w:val="center"/>
                </w:tcPr>
                <w:p w14:paraId="7C492D81">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X</w:t>
                  </w:r>
                </w:p>
              </w:tc>
              <w:tc>
                <w:tcPr>
                  <w:tcW w:w="673" w:type="dxa"/>
                  <w:tcBorders>
                    <w:tl2br w:val="nil"/>
                    <w:tr2bl w:val="nil"/>
                  </w:tcBorders>
                  <w:shd w:val="clear" w:color="auto" w:fill="auto"/>
                  <w:noWrap/>
                  <w:vAlign w:val="center"/>
                </w:tcPr>
                <w:p w14:paraId="4EB87057">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Y</w:t>
                  </w:r>
                </w:p>
              </w:tc>
              <w:tc>
                <w:tcPr>
                  <w:tcW w:w="673" w:type="dxa"/>
                  <w:tcBorders>
                    <w:tl2br w:val="nil"/>
                    <w:tr2bl w:val="nil"/>
                  </w:tcBorders>
                  <w:shd w:val="clear" w:color="auto" w:fill="auto"/>
                  <w:noWrap/>
                  <w:vAlign w:val="center"/>
                </w:tcPr>
                <w:p w14:paraId="362CD674">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Z</w:t>
                  </w:r>
                </w:p>
              </w:tc>
              <w:tc>
                <w:tcPr>
                  <w:tcW w:w="2019" w:type="dxa"/>
                  <w:vMerge w:val="continue"/>
                  <w:tcBorders>
                    <w:tl2br w:val="nil"/>
                    <w:tr2bl w:val="nil"/>
                  </w:tcBorders>
                  <w:shd w:val="clear" w:color="auto" w:fill="auto"/>
                  <w:noWrap/>
                  <w:vAlign w:val="center"/>
                </w:tcPr>
                <w:p w14:paraId="037018DD">
                  <w:pPr>
                    <w:pStyle w:val="141"/>
                    <w:ind w:firstLine="0" w:firstLineChars="0"/>
                    <w:jc w:val="center"/>
                    <w:rPr>
                      <w:rFonts w:hint="default" w:ascii="Times New Roman" w:hAnsi="Times New Roman" w:eastAsia="宋体" w:cs="Times New Roman"/>
                      <w:color w:val="auto"/>
                      <w:sz w:val="19"/>
                      <w:szCs w:val="19"/>
                      <w:lang w:val="en-US" w:eastAsia="zh-CN"/>
                    </w:rPr>
                  </w:pPr>
                </w:p>
              </w:tc>
            </w:tr>
            <w:tr w14:paraId="7A773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2" w:type="dxa"/>
                  <w:tcBorders>
                    <w:tl2br w:val="nil"/>
                    <w:tr2bl w:val="nil"/>
                  </w:tcBorders>
                  <w:shd w:val="clear" w:color="auto" w:fill="auto"/>
                  <w:noWrap/>
                  <w:vAlign w:val="center"/>
                </w:tcPr>
                <w:p w14:paraId="5903F53F">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1</w:t>
                  </w:r>
                </w:p>
              </w:tc>
              <w:tc>
                <w:tcPr>
                  <w:tcW w:w="672" w:type="dxa"/>
                  <w:tcBorders>
                    <w:tl2br w:val="nil"/>
                    <w:tr2bl w:val="nil"/>
                  </w:tcBorders>
                  <w:shd w:val="clear" w:color="auto" w:fill="auto"/>
                  <w:noWrap/>
                  <w:vAlign w:val="center"/>
                </w:tcPr>
                <w:p w14:paraId="3FFD86CE">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单层厂房北侧外墙</w:t>
                  </w:r>
                </w:p>
              </w:tc>
              <w:tc>
                <w:tcPr>
                  <w:tcW w:w="672" w:type="dxa"/>
                  <w:tcBorders>
                    <w:tl2br w:val="nil"/>
                    <w:tr2bl w:val="nil"/>
                  </w:tcBorders>
                  <w:shd w:val="clear" w:color="auto" w:fill="auto"/>
                  <w:noWrap/>
                  <w:vAlign w:val="center"/>
                </w:tcPr>
                <w:p w14:paraId="2A94168E">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活性炭吸附配套风机</w:t>
                  </w:r>
                </w:p>
              </w:tc>
              <w:tc>
                <w:tcPr>
                  <w:tcW w:w="673" w:type="dxa"/>
                  <w:tcBorders>
                    <w:tl2br w:val="nil"/>
                    <w:tr2bl w:val="nil"/>
                  </w:tcBorders>
                  <w:shd w:val="clear" w:color="auto" w:fill="auto"/>
                  <w:noWrap/>
                  <w:vAlign w:val="center"/>
                </w:tcPr>
                <w:p w14:paraId="5F99A029">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80</w:t>
                  </w:r>
                </w:p>
              </w:tc>
              <w:tc>
                <w:tcPr>
                  <w:tcW w:w="673" w:type="dxa"/>
                  <w:tcBorders>
                    <w:tl2br w:val="nil"/>
                    <w:tr2bl w:val="nil"/>
                  </w:tcBorders>
                  <w:shd w:val="clear" w:color="auto" w:fill="auto"/>
                  <w:noWrap/>
                  <w:vAlign w:val="center"/>
                </w:tcPr>
                <w:p w14:paraId="6D24EBDD">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减振基座+风机隔声外壳</w:t>
                  </w:r>
                </w:p>
              </w:tc>
              <w:tc>
                <w:tcPr>
                  <w:tcW w:w="673" w:type="dxa"/>
                  <w:tcBorders>
                    <w:tl2br w:val="nil"/>
                    <w:tr2bl w:val="nil"/>
                  </w:tcBorders>
                  <w:shd w:val="clear" w:color="auto" w:fill="auto"/>
                  <w:noWrap/>
                  <w:vAlign w:val="center"/>
                </w:tcPr>
                <w:p w14:paraId="64C9EB0E">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5</w:t>
                  </w:r>
                </w:p>
              </w:tc>
              <w:tc>
                <w:tcPr>
                  <w:tcW w:w="673" w:type="dxa"/>
                  <w:tcBorders>
                    <w:tl2br w:val="nil"/>
                    <w:tr2bl w:val="nil"/>
                  </w:tcBorders>
                  <w:shd w:val="clear" w:color="auto" w:fill="auto"/>
                  <w:noWrap/>
                  <w:vAlign w:val="center"/>
                </w:tcPr>
                <w:p w14:paraId="547155E7">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0</w:t>
                  </w:r>
                </w:p>
              </w:tc>
              <w:tc>
                <w:tcPr>
                  <w:tcW w:w="673" w:type="dxa"/>
                  <w:tcBorders>
                    <w:tl2br w:val="nil"/>
                    <w:tr2bl w:val="nil"/>
                  </w:tcBorders>
                  <w:shd w:val="clear" w:color="auto" w:fill="auto"/>
                  <w:noWrap/>
                  <w:vAlign w:val="center"/>
                </w:tcPr>
                <w:p w14:paraId="31656B5D">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11</w:t>
                  </w:r>
                </w:p>
              </w:tc>
              <w:tc>
                <w:tcPr>
                  <w:tcW w:w="673" w:type="dxa"/>
                  <w:tcBorders>
                    <w:tl2br w:val="nil"/>
                    <w:tr2bl w:val="nil"/>
                  </w:tcBorders>
                  <w:shd w:val="clear" w:color="auto" w:fill="auto"/>
                  <w:noWrap/>
                  <w:vAlign w:val="center"/>
                </w:tcPr>
                <w:p w14:paraId="63EBDA44">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1.5</w:t>
                  </w:r>
                </w:p>
              </w:tc>
              <w:tc>
                <w:tcPr>
                  <w:tcW w:w="2019" w:type="dxa"/>
                  <w:tcBorders>
                    <w:tl2br w:val="nil"/>
                    <w:tr2bl w:val="nil"/>
                  </w:tcBorders>
                  <w:shd w:val="clear" w:color="auto" w:fill="auto"/>
                  <w:noWrap/>
                  <w:vAlign w:val="center"/>
                </w:tcPr>
                <w:p w14:paraId="14CA376C">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color w:val="auto"/>
                      <w:sz w:val="19"/>
                      <w:szCs w:val="19"/>
                      <w:lang w:val="en-US" w:eastAsia="zh-CN"/>
                    </w:rPr>
                    <w:t>昼间</w:t>
                  </w:r>
                </w:p>
              </w:tc>
            </w:tr>
          </w:tbl>
          <w:p w14:paraId="2513E0DC">
            <w:pPr>
              <w:rPr>
                <w:rFonts w:hint="default" w:ascii="Times New Roman" w:hAnsi="Times New Roman" w:cs="Times New Roman"/>
              </w:rPr>
            </w:pPr>
          </w:p>
          <w:p w14:paraId="6B701C27">
            <w:pPr>
              <w:widowControl/>
              <w:spacing w:line="520" w:lineRule="exact"/>
              <w:ind w:firstLine="480" w:firstLineChars="200"/>
              <w:jc w:val="left"/>
              <w:rPr>
                <w:rFonts w:hint="default" w:ascii="Times New Roman" w:hAnsi="Times New Roman" w:cs="Times New Roman"/>
                <w:color w:val="auto"/>
                <w:kern w:val="0"/>
                <w:sz w:val="24"/>
                <w:lang w:val="en-GB" w:bidi="ar"/>
              </w:rPr>
            </w:pPr>
            <w:r>
              <w:rPr>
                <w:rFonts w:hint="default" w:ascii="Times New Roman" w:hAnsi="Times New Roman" w:cs="Times New Roman"/>
                <w:color w:val="auto"/>
                <w:kern w:val="0"/>
                <w:sz w:val="24"/>
                <w:lang w:val="en-GB" w:bidi="ar"/>
              </w:rPr>
              <w:t>（</w:t>
            </w:r>
            <w:r>
              <w:rPr>
                <w:rFonts w:hint="default" w:ascii="Times New Roman" w:hAnsi="Times New Roman" w:cs="Times New Roman"/>
                <w:color w:val="auto"/>
                <w:kern w:val="0"/>
                <w:sz w:val="24"/>
                <w:lang w:bidi="ar"/>
              </w:rPr>
              <w:t>2</w:t>
            </w:r>
            <w:r>
              <w:rPr>
                <w:rFonts w:hint="default" w:ascii="Times New Roman" w:hAnsi="Times New Roman" w:cs="Times New Roman"/>
                <w:color w:val="auto"/>
                <w:kern w:val="0"/>
                <w:sz w:val="24"/>
                <w:lang w:val="en-GB" w:bidi="ar"/>
              </w:rPr>
              <w:t>）预测结果分析</w:t>
            </w:r>
          </w:p>
          <w:p w14:paraId="6A071A80">
            <w:pPr>
              <w:widowControl/>
              <w:spacing w:line="520" w:lineRule="exact"/>
              <w:ind w:firstLine="480" w:firstLineChars="200"/>
              <w:jc w:val="left"/>
              <w:rPr>
                <w:rFonts w:hint="default" w:ascii="Times New Roman" w:hAnsi="Times New Roman" w:cs="Times New Roman"/>
                <w:color w:val="auto"/>
                <w:kern w:val="0"/>
                <w:sz w:val="24"/>
                <w:lang w:bidi="ar"/>
              </w:rPr>
            </w:pPr>
            <w:r>
              <w:rPr>
                <w:rFonts w:hint="default" w:ascii="Times New Roman" w:hAnsi="Times New Roman" w:cs="Times New Roman"/>
                <w:color w:val="auto"/>
                <w:kern w:val="0"/>
                <w:sz w:val="24"/>
                <w:lang w:bidi="ar"/>
              </w:rPr>
              <w:t>①厂界噪声排放预测结果与评价</w:t>
            </w:r>
          </w:p>
          <w:p w14:paraId="0BD2E936">
            <w:pPr>
              <w:widowControl/>
              <w:spacing w:line="520" w:lineRule="exact"/>
              <w:ind w:firstLine="480" w:firstLineChars="200"/>
              <w:jc w:val="left"/>
              <w:rPr>
                <w:rFonts w:hint="default" w:ascii="Times New Roman" w:hAnsi="Times New Roman" w:cs="Times New Roman"/>
                <w:color w:val="auto"/>
                <w:kern w:val="0"/>
                <w:sz w:val="24"/>
                <w:lang w:bidi="ar"/>
              </w:rPr>
            </w:pPr>
            <w:r>
              <w:rPr>
                <w:rFonts w:hint="default" w:ascii="Times New Roman" w:hAnsi="Times New Roman" w:cs="Times New Roman"/>
                <w:color w:val="auto"/>
                <w:kern w:val="0"/>
                <w:sz w:val="24"/>
                <w:lang w:bidi="ar"/>
              </w:rPr>
              <w:t>厂界噪声排放预测结果详见表4-</w:t>
            </w:r>
            <w:r>
              <w:rPr>
                <w:rFonts w:hint="default" w:ascii="Times New Roman" w:hAnsi="Times New Roman" w:cs="Times New Roman"/>
                <w:color w:val="auto"/>
                <w:kern w:val="0"/>
                <w:sz w:val="24"/>
                <w:lang w:val="en-US" w:eastAsia="zh-CN" w:bidi="ar"/>
              </w:rPr>
              <w:t>8</w:t>
            </w:r>
            <w:r>
              <w:rPr>
                <w:rFonts w:hint="default" w:ascii="Times New Roman" w:hAnsi="Times New Roman" w:cs="Times New Roman"/>
                <w:color w:val="auto"/>
                <w:kern w:val="0"/>
                <w:sz w:val="24"/>
                <w:lang w:bidi="ar"/>
              </w:rPr>
              <w:t>所示：</w:t>
            </w:r>
          </w:p>
          <w:p w14:paraId="24DDA51D">
            <w:pPr>
              <w:pStyle w:val="140"/>
              <w:spacing w:before="147"/>
              <w:rPr>
                <w:rFonts w:hint="default" w:ascii="Times New Roman" w:hAnsi="Times New Roman" w:cs="Times New Roman"/>
                <w:color w:val="auto"/>
              </w:rPr>
            </w:pPr>
          </w:p>
          <w:p w14:paraId="75797685">
            <w:pPr>
              <w:pStyle w:val="140"/>
              <w:spacing w:before="147"/>
              <w:rPr>
                <w:rFonts w:hint="default" w:ascii="Times New Roman" w:hAnsi="Times New Roman" w:cs="Times New Roman"/>
                <w:color w:val="auto"/>
              </w:rPr>
            </w:pPr>
            <w:r>
              <w:rPr>
                <w:rFonts w:hint="default" w:ascii="Times New Roman" w:hAnsi="Times New Roman" w:cs="Times New Roman"/>
                <w:color w:val="auto"/>
              </w:rPr>
              <w:t>表4-</w:t>
            </w:r>
            <w:r>
              <w:rPr>
                <w:rFonts w:hint="default" w:ascii="Times New Roman" w:hAnsi="Times New Roman" w:cs="Times New Roman"/>
                <w:color w:val="auto"/>
                <w:lang w:val="en-US" w:eastAsia="zh-CN"/>
              </w:rPr>
              <w:t>8</w:t>
            </w:r>
            <w:r>
              <w:rPr>
                <w:rFonts w:hint="default" w:ascii="Times New Roman" w:hAnsi="Times New Roman" w:cs="Times New Roman"/>
                <w:color w:val="auto"/>
              </w:rPr>
              <w:t xml:space="preserve">  噪声源强及预测值一览表</w:t>
            </w:r>
          </w:p>
          <w:tbl>
            <w:tblPr>
              <w:tblStyle w:val="38"/>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1"/>
              <w:gridCol w:w="1608"/>
              <w:gridCol w:w="874"/>
              <w:gridCol w:w="1164"/>
              <w:gridCol w:w="1165"/>
              <w:gridCol w:w="1456"/>
            </w:tblGrid>
            <w:tr w14:paraId="188D9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54" w:type="pct"/>
                  <w:noWrap w:val="0"/>
                  <w:vAlign w:val="center"/>
                </w:tcPr>
                <w:p w14:paraId="18D469A4">
                  <w:pPr>
                    <w:pStyle w:val="141"/>
                    <w:rPr>
                      <w:rFonts w:hint="default" w:ascii="Times New Roman" w:hAnsi="Times New Roman" w:cs="Times New Roman"/>
                      <w:color w:val="auto"/>
                    </w:rPr>
                  </w:pPr>
                  <w:r>
                    <w:rPr>
                      <w:rFonts w:hint="default" w:ascii="Times New Roman" w:hAnsi="Times New Roman" w:cs="Times New Roman"/>
                      <w:color w:val="auto"/>
                    </w:rPr>
                    <w:t>噪声源叠加值</w:t>
                  </w:r>
                  <w:r>
                    <w:rPr>
                      <w:rFonts w:hint="default" w:ascii="Times New Roman" w:hAnsi="Times New Roman" w:eastAsia="宋体" w:cs="Times New Roman"/>
                      <w:color w:val="auto"/>
                    </w:rPr>
                    <w:t>/dB(A)</w:t>
                  </w:r>
                </w:p>
              </w:tc>
              <w:tc>
                <w:tcPr>
                  <w:tcW w:w="986" w:type="pct"/>
                  <w:noWrap w:val="0"/>
                  <w:vAlign w:val="center"/>
                </w:tcPr>
                <w:p w14:paraId="0E251445">
                  <w:pPr>
                    <w:pStyle w:val="141"/>
                    <w:rPr>
                      <w:rFonts w:hint="default" w:ascii="Times New Roman" w:hAnsi="Times New Roman" w:cs="Times New Roman"/>
                      <w:color w:val="auto"/>
                    </w:rPr>
                  </w:pPr>
                  <w:r>
                    <w:rPr>
                      <w:rFonts w:hint="default" w:ascii="Times New Roman" w:hAnsi="Times New Roman" w:cs="Times New Roman"/>
                      <w:color w:val="auto"/>
                    </w:rPr>
                    <w:t>预测点位</w:t>
                  </w:r>
                </w:p>
              </w:tc>
              <w:tc>
                <w:tcPr>
                  <w:tcW w:w="536" w:type="pct"/>
                  <w:noWrap w:val="0"/>
                  <w:vAlign w:val="center"/>
                </w:tcPr>
                <w:p w14:paraId="12F4F848">
                  <w:pPr>
                    <w:pStyle w:val="141"/>
                    <w:rPr>
                      <w:rFonts w:hint="default" w:ascii="Times New Roman" w:hAnsi="Times New Roman" w:eastAsia="宋体" w:cs="Times New Roman"/>
                      <w:color w:val="auto"/>
                      <w:lang w:eastAsia="zh-CN"/>
                    </w:rPr>
                  </w:pPr>
                  <w:r>
                    <w:rPr>
                      <w:rFonts w:hint="default" w:ascii="Times New Roman" w:hAnsi="Times New Roman" w:eastAsia="宋体" w:cs="Times New Roman"/>
                      <w:color w:val="auto"/>
                    </w:rPr>
                    <w:t>距离</w:t>
                  </w:r>
                  <w:r>
                    <w:rPr>
                      <w:rFonts w:hint="default" w:ascii="Times New Roman" w:hAnsi="Times New Roman" w:eastAsia="宋体" w:cs="Times New Roman"/>
                      <w:color w:val="auto"/>
                      <w:lang w:eastAsia="zh-CN"/>
                    </w:rPr>
                    <w:t>（</w:t>
                  </w:r>
                  <w:r>
                    <w:rPr>
                      <w:rFonts w:hint="default" w:ascii="Times New Roman" w:hAnsi="Times New Roman" w:cs="Times New Roman"/>
                      <w:color w:val="auto"/>
                    </w:rPr>
                    <w:t>m</w:t>
                  </w:r>
                  <w:r>
                    <w:rPr>
                      <w:rFonts w:hint="default" w:ascii="Times New Roman" w:hAnsi="Times New Roman" w:eastAsia="宋体" w:cs="Times New Roman"/>
                      <w:color w:val="auto"/>
                      <w:lang w:eastAsia="zh-CN"/>
                    </w:rPr>
                    <w:t>）</w:t>
                  </w:r>
                </w:p>
              </w:tc>
              <w:tc>
                <w:tcPr>
                  <w:tcW w:w="714" w:type="pct"/>
                  <w:noWrap w:val="0"/>
                  <w:vAlign w:val="center"/>
                </w:tcPr>
                <w:p w14:paraId="2F8CCD68">
                  <w:pPr>
                    <w:pStyle w:val="141"/>
                    <w:rPr>
                      <w:rFonts w:hint="default" w:ascii="Times New Roman" w:hAnsi="Times New Roman" w:eastAsia="宋体" w:cs="Times New Roman"/>
                      <w:color w:val="auto"/>
                    </w:rPr>
                  </w:pPr>
                  <w:r>
                    <w:rPr>
                      <w:rFonts w:hint="default" w:ascii="Times New Roman" w:hAnsi="Times New Roman" w:eastAsia="宋体" w:cs="Times New Roman"/>
                      <w:color w:val="auto"/>
                    </w:rPr>
                    <w:t>贡献值/dB(A)</w:t>
                  </w:r>
                </w:p>
              </w:tc>
              <w:tc>
                <w:tcPr>
                  <w:tcW w:w="715" w:type="pct"/>
                  <w:noWrap w:val="0"/>
                  <w:vAlign w:val="center"/>
                </w:tcPr>
                <w:p w14:paraId="1FB997E8">
                  <w:pPr>
                    <w:pStyle w:val="141"/>
                    <w:rPr>
                      <w:rFonts w:hint="default" w:ascii="Times New Roman" w:hAnsi="Times New Roman" w:eastAsia="宋体" w:cs="Times New Roman"/>
                      <w:color w:val="auto"/>
                    </w:rPr>
                  </w:pPr>
                  <w:r>
                    <w:rPr>
                      <w:rFonts w:hint="default" w:ascii="Times New Roman" w:hAnsi="Times New Roman" w:eastAsia="宋体" w:cs="Times New Roman"/>
                      <w:color w:val="auto"/>
                    </w:rPr>
                    <w:t>标准值</w:t>
                  </w:r>
                </w:p>
              </w:tc>
              <w:tc>
                <w:tcPr>
                  <w:tcW w:w="893" w:type="pct"/>
                  <w:noWrap w:val="0"/>
                  <w:vAlign w:val="center"/>
                </w:tcPr>
                <w:p w14:paraId="69424204">
                  <w:pPr>
                    <w:pStyle w:val="141"/>
                    <w:rPr>
                      <w:rFonts w:hint="default" w:ascii="Times New Roman" w:hAnsi="Times New Roman" w:cs="Times New Roman"/>
                      <w:color w:val="auto"/>
                    </w:rPr>
                  </w:pPr>
                  <w:r>
                    <w:rPr>
                      <w:rFonts w:hint="default" w:ascii="Times New Roman" w:hAnsi="Times New Roman" w:cs="Times New Roman"/>
                      <w:color w:val="auto"/>
                    </w:rPr>
                    <w:t>达标情况</w:t>
                  </w:r>
                </w:p>
              </w:tc>
            </w:tr>
            <w:tr w14:paraId="6A98E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54" w:type="pct"/>
                  <w:vMerge w:val="restart"/>
                  <w:noWrap w:val="0"/>
                  <w:vAlign w:val="center"/>
                </w:tcPr>
                <w:p w14:paraId="217ACD12">
                  <w:pPr>
                    <w:pStyle w:val="141"/>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68.72</w:t>
                  </w:r>
                </w:p>
              </w:tc>
              <w:tc>
                <w:tcPr>
                  <w:tcW w:w="986" w:type="pct"/>
                  <w:noWrap w:val="0"/>
                  <w:vAlign w:val="center"/>
                </w:tcPr>
                <w:p w14:paraId="1EDBD5B9">
                  <w:pPr>
                    <w:pStyle w:val="141"/>
                    <w:rPr>
                      <w:rFonts w:hint="default" w:ascii="Times New Roman" w:hAnsi="Times New Roman" w:cs="Times New Roman"/>
                      <w:color w:val="auto"/>
                    </w:rPr>
                  </w:pPr>
                  <w:r>
                    <w:rPr>
                      <w:rFonts w:hint="default" w:ascii="Times New Roman" w:hAnsi="Times New Roman" w:cs="Times New Roman"/>
                      <w:color w:val="auto"/>
                    </w:rPr>
                    <w:t>东厂界</w:t>
                  </w:r>
                </w:p>
              </w:tc>
              <w:tc>
                <w:tcPr>
                  <w:tcW w:w="536" w:type="pct"/>
                  <w:noWrap w:val="0"/>
                  <w:vAlign w:val="center"/>
                </w:tcPr>
                <w:p w14:paraId="001074BC">
                  <w:pPr>
                    <w:pStyle w:val="141"/>
                    <w:rPr>
                      <w:rFonts w:hint="default" w:ascii="Times New Roman" w:hAnsi="Times New Roman" w:eastAsia="宋体" w:cs="Times New Roman"/>
                      <w:color w:val="auto"/>
                      <w:lang w:eastAsia="zh-CN"/>
                    </w:rPr>
                  </w:pPr>
                  <w:r>
                    <w:rPr>
                      <w:rFonts w:hint="default" w:ascii="Times New Roman" w:hAnsi="Times New Roman" w:cs="Times New Roman"/>
                      <w:color w:val="auto"/>
                      <w:lang w:val="en-US" w:eastAsia="zh-CN"/>
                    </w:rPr>
                    <w:t>5</w:t>
                  </w:r>
                </w:p>
              </w:tc>
              <w:tc>
                <w:tcPr>
                  <w:tcW w:w="714" w:type="pct"/>
                  <w:noWrap w:val="0"/>
                  <w:vAlign w:val="center"/>
                </w:tcPr>
                <w:p w14:paraId="5A66D66E">
                  <w:pPr>
                    <w:pStyle w:val="141"/>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39.51</w:t>
                  </w:r>
                </w:p>
              </w:tc>
              <w:tc>
                <w:tcPr>
                  <w:tcW w:w="715" w:type="pct"/>
                  <w:noWrap w:val="0"/>
                  <w:vAlign w:val="center"/>
                </w:tcPr>
                <w:p w14:paraId="0103CDE7">
                  <w:pPr>
                    <w:pStyle w:val="141"/>
                    <w:rPr>
                      <w:rFonts w:hint="default" w:ascii="Times New Roman" w:hAnsi="Times New Roman" w:cs="Times New Roman"/>
                      <w:color w:val="auto"/>
                    </w:rPr>
                  </w:pPr>
                  <w:r>
                    <w:rPr>
                      <w:rFonts w:hint="default" w:ascii="Times New Roman" w:hAnsi="Times New Roman" w:cs="Times New Roman"/>
                      <w:color w:val="auto"/>
                    </w:rPr>
                    <w:t>65</w:t>
                  </w:r>
                </w:p>
              </w:tc>
              <w:tc>
                <w:tcPr>
                  <w:tcW w:w="893" w:type="pct"/>
                  <w:noWrap w:val="0"/>
                  <w:vAlign w:val="center"/>
                </w:tcPr>
                <w:p w14:paraId="04878C0A">
                  <w:pPr>
                    <w:pStyle w:val="141"/>
                    <w:rPr>
                      <w:rFonts w:hint="default" w:ascii="Times New Roman" w:hAnsi="Times New Roman" w:cs="Times New Roman"/>
                      <w:color w:val="auto"/>
                    </w:rPr>
                  </w:pPr>
                  <w:r>
                    <w:rPr>
                      <w:rFonts w:hint="default" w:ascii="Times New Roman" w:hAnsi="Times New Roman" w:cs="Times New Roman"/>
                      <w:color w:val="auto"/>
                    </w:rPr>
                    <w:t>达标</w:t>
                  </w:r>
                </w:p>
              </w:tc>
            </w:tr>
            <w:tr w14:paraId="12C43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54" w:type="pct"/>
                  <w:vMerge w:val="continue"/>
                  <w:noWrap w:val="0"/>
                  <w:vAlign w:val="center"/>
                </w:tcPr>
                <w:p w14:paraId="42BAA40C">
                  <w:pPr>
                    <w:pStyle w:val="141"/>
                    <w:rPr>
                      <w:rFonts w:hint="default" w:ascii="Times New Roman" w:hAnsi="Times New Roman" w:cs="Times New Roman"/>
                      <w:color w:val="auto"/>
                    </w:rPr>
                  </w:pPr>
                </w:p>
              </w:tc>
              <w:tc>
                <w:tcPr>
                  <w:tcW w:w="986" w:type="pct"/>
                  <w:noWrap w:val="0"/>
                  <w:vAlign w:val="center"/>
                </w:tcPr>
                <w:p w14:paraId="5CC23EE8">
                  <w:pPr>
                    <w:pStyle w:val="141"/>
                    <w:rPr>
                      <w:rFonts w:hint="default" w:ascii="Times New Roman" w:hAnsi="Times New Roman" w:cs="Times New Roman"/>
                      <w:color w:val="auto"/>
                    </w:rPr>
                  </w:pPr>
                  <w:r>
                    <w:rPr>
                      <w:rFonts w:hint="default" w:ascii="Times New Roman" w:hAnsi="Times New Roman" w:cs="Times New Roman"/>
                      <w:color w:val="auto"/>
                    </w:rPr>
                    <w:t>南厂界</w:t>
                  </w:r>
                </w:p>
              </w:tc>
              <w:tc>
                <w:tcPr>
                  <w:tcW w:w="536" w:type="pct"/>
                  <w:noWrap w:val="0"/>
                  <w:vAlign w:val="center"/>
                </w:tcPr>
                <w:p w14:paraId="192C4C4F">
                  <w:pPr>
                    <w:pStyle w:val="141"/>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12</w:t>
                  </w:r>
                </w:p>
              </w:tc>
              <w:tc>
                <w:tcPr>
                  <w:tcW w:w="714" w:type="pct"/>
                  <w:noWrap w:val="0"/>
                  <w:vAlign w:val="center"/>
                </w:tcPr>
                <w:p w14:paraId="2AF7BF25">
                  <w:pPr>
                    <w:pStyle w:val="141"/>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29.03</w:t>
                  </w:r>
                </w:p>
              </w:tc>
              <w:tc>
                <w:tcPr>
                  <w:tcW w:w="715" w:type="pct"/>
                  <w:noWrap w:val="0"/>
                  <w:vAlign w:val="center"/>
                </w:tcPr>
                <w:p w14:paraId="36D1DA56">
                  <w:pPr>
                    <w:pStyle w:val="141"/>
                    <w:rPr>
                      <w:rFonts w:hint="default" w:ascii="Times New Roman" w:hAnsi="Times New Roman" w:cs="Times New Roman"/>
                      <w:color w:val="auto"/>
                    </w:rPr>
                  </w:pPr>
                  <w:r>
                    <w:rPr>
                      <w:rFonts w:hint="default" w:ascii="Times New Roman" w:hAnsi="Times New Roman" w:cs="Times New Roman"/>
                      <w:color w:val="auto"/>
                    </w:rPr>
                    <w:t>65</w:t>
                  </w:r>
                </w:p>
              </w:tc>
              <w:tc>
                <w:tcPr>
                  <w:tcW w:w="893" w:type="pct"/>
                  <w:noWrap w:val="0"/>
                  <w:vAlign w:val="center"/>
                </w:tcPr>
                <w:p w14:paraId="67E4D5A4">
                  <w:pPr>
                    <w:pStyle w:val="141"/>
                    <w:rPr>
                      <w:rFonts w:hint="default" w:ascii="Times New Roman" w:hAnsi="Times New Roman" w:cs="Times New Roman"/>
                      <w:color w:val="auto"/>
                    </w:rPr>
                  </w:pPr>
                  <w:r>
                    <w:rPr>
                      <w:rFonts w:hint="default" w:ascii="Times New Roman" w:hAnsi="Times New Roman" w:cs="Times New Roman"/>
                      <w:color w:val="auto"/>
                    </w:rPr>
                    <w:t>达标</w:t>
                  </w:r>
                </w:p>
              </w:tc>
            </w:tr>
            <w:tr w14:paraId="4B893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54" w:type="pct"/>
                  <w:vMerge w:val="continue"/>
                  <w:noWrap w:val="0"/>
                  <w:vAlign w:val="center"/>
                </w:tcPr>
                <w:p w14:paraId="04401CEC">
                  <w:pPr>
                    <w:pStyle w:val="141"/>
                    <w:rPr>
                      <w:rFonts w:hint="default" w:ascii="Times New Roman" w:hAnsi="Times New Roman" w:cs="Times New Roman"/>
                      <w:color w:val="auto"/>
                    </w:rPr>
                  </w:pPr>
                </w:p>
              </w:tc>
              <w:tc>
                <w:tcPr>
                  <w:tcW w:w="986" w:type="pct"/>
                  <w:noWrap w:val="0"/>
                  <w:vAlign w:val="center"/>
                </w:tcPr>
                <w:p w14:paraId="7B69AD1F">
                  <w:pPr>
                    <w:pStyle w:val="141"/>
                    <w:rPr>
                      <w:rFonts w:hint="default" w:ascii="Times New Roman" w:hAnsi="Times New Roman" w:cs="Times New Roman"/>
                      <w:color w:val="auto"/>
                    </w:rPr>
                  </w:pPr>
                  <w:r>
                    <w:rPr>
                      <w:rFonts w:hint="default" w:ascii="Times New Roman" w:hAnsi="Times New Roman" w:cs="Times New Roman"/>
                      <w:color w:val="auto"/>
                    </w:rPr>
                    <w:t>西厂界</w:t>
                  </w:r>
                </w:p>
              </w:tc>
              <w:tc>
                <w:tcPr>
                  <w:tcW w:w="536" w:type="pct"/>
                  <w:noWrap w:val="0"/>
                  <w:vAlign w:val="center"/>
                </w:tcPr>
                <w:p w14:paraId="26ECE396">
                  <w:pPr>
                    <w:pStyle w:val="141"/>
                    <w:rPr>
                      <w:rFonts w:hint="default" w:ascii="Times New Roman" w:hAnsi="Times New Roman" w:eastAsia="宋体" w:cs="Times New Roman"/>
                      <w:color w:val="auto"/>
                      <w:lang w:eastAsia="zh-CN"/>
                    </w:rPr>
                  </w:pPr>
                  <w:r>
                    <w:rPr>
                      <w:rFonts w:hint="default" w:ascii="Times New Roman" w:hAnsi="Times New Roman" w:cs="Times New Roman"/>
                      <w:color w:val="auto"/>
                      <w:lang w:val="en-US" w:eastAsia="zh-CN"/>
                    </w:rPr>
                    <w:t>5</w:t>
                  </w:r>
                </w:p>
              </w:tc>
              <w:tc>
                <w:tcPr>
                  <w:tcW w:w="714" w:type="pct"/>
                  <w:noWrap w:val="0"/>
                  <w:vAlign w:val="center"/>
                </w:tcPr>
                <w:p w14:paraId="47ABAF2E">
                  <w:pPr>
                    <w:pStyle w:val="141"/>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38.86</w:t>
                  </w:r>
                </w:p>
              </w:tc>
              <w:tc>
                <w:tcPr>
                  <w:tcW w:w="715" w:type="pct"/>
                  <w:noWrap w:val="0"/>
                  <w:vAlign w:val="center"/>
                </w:tcPr>
                <w:p w14:paraId="3AAE5F39">
                  <w:pPr>
                    <w:pStyle w:val="141"/>
                    <w:rPr>
                      <w:rFonts w:hint="default" w:ascii="Times New Roman" w:hAnsi="Times New Roman" w:cs="Times New Roman"/>
                      <w:color w:val="auto"/>
                    </w:rPr>
                  </w:pPr>
                  <w:r>
                    <w:rPr>
                      <w:rFonts w:hint="default" w:ascii="Times New Roman" w:hAnsi="Times New Roman" w:cs="Times New Roman"/>
                      <w:color w:val="auto"/>
                    </w:rPr>
                    <w:t>65</w:t>
                  </w:r>
                </w:p>
              </w:tc>
              <w:tc>
                <w:tcPr>
                  <w:tcW w:w="893" w:type="pct"/>
                  <w:noWrap w:val="0"/>
                  <w:vAlign w:val="center"/>
                </w:tcPr>
                <w:p w14:paraId="0AF6A22A">
                  <w:pPr>
                    <w:pStyle w:val="141"/>
                    <w:rPr>
                      <w:rFonts w:hint="default" w:ascii="Times New Roman" w:hAnsi="Times New Roman" w:cs="Times New Roman"/>
                      <w:color w:val="auto"/>
                    </w:rPr>
                  </w:pPr>
                  <w:r>
                    <w:rPr>
                      <w:rFonts w:hint="default" w:ascii="Times New Roman" w:hAnsi="Times New Roman" w:cs="Times New Roman"/>
                      <w:color w:val="auto"/>
                    </w:rPr>
                    <w:t>达标</w:t>
                  </w:r>
                </w:p>
              </w:tc>
            </w:tr>
            <w:tr w14:paraId="0490F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54" w:type="pct"/>
                  <w:vMerge w:val="continue"/>
                  <w:noWrap w:val="0"/>
                  <w:vAlign w:val="center"/>
                </w:tcPr>
                <w:p w14:paraId="7A8573B2">
                  <w:pPr>
                    <w:pStyle w:val="141"/>
                    <w:rPr>
                      <w:rFonts w:hint="default" w:ascii="Times New Roman" w:hAnsi="Times New Roman" w:cs="Times New Roman"/>
                      <w:color w:val="auto"/>
                    </w:rPr>
                  </w:pPr>
                </w:p>
              </w:tc>
              <w:tc>
                <w:tcPr>
                  <w:tcW w:w="986" w:type="pct"/>
                  <w:noWrap w:val="0"/>
                  <w:vAlign w:val="center"/>
                </w:tcPr>
                <w:p w14:paraId="3B327193">
                  <w:pPr>
                    <w:pStyle w:val="141"/>
                    <w:rPr>
                      <w:rFonts w:hint="default" w:ascii="Times New Roman" w:hAnsi="Times New Roman" w:cs="Times New Roman"/>
                      <w:color w:val="auto"/>
                    </w:rPr>
                  </w:pPr>
                  <w:r>
                    <w:rPr>
                      <w:rFonts w:hint="default" w:ascii="Times New Roman" w:hAnsi="Times New Roman" w:cs="Times New Roman"/>
                      <w:color w:val="auto"/>
                    </w:rPr>
                    <w:t>北厂界</w:t>
                  </w:r>
                </w:p>
              </w:tc>
              <w:tc>
                <w:tcPr>
                  <w:tcW w:w="536" w:type="pct"/>
                  <w:noWrap w:val="0"/>
                  <w:vAlign w:val="center"/>
                </w:tcPr>
                <w:p w14:paraId="4B4F27E7">
                  <w:pPr>
                    <w:pStyle w:val="141"/>
                    <w:rPr>
                      <w:rFonts w:hint="default" w:ascii="Times New Roman" w:hAnsi="Times New Roman" w:eastAsia="宋体" w:cs="Times New Roman"/>
                      <w:color w:val="auto"/>
                      <w:lang w:eastAsia="zh-CN"/>
                    </w:rPr>
                  </w:pPr>
                  <w:r>
                    <w:rPr>
                      <w:rFonts w:hint="default" w:ascii="Times New Roman" w:hAnsi="Times New Roman" w:cs="Times New Roman"/>
                      <w:color w:val="auto"/>
                      <w:lang w:val="en-US" w:eastAsia="zh-CN"/>
                    </w:rPr>
                    <w:t>8</w:t>
                  </w:r>
                </w:p>
              </w:tc>
              <w:tc>
                <w:tcPr>
                  <w:tcW w:w="714" w:type="pct"/>
                  <w:noWrap w:val="0"/>
                  <w:vAlign w:val="center"/>
                </w:tcPr>
                <w:p w14:paraId="3D026586">
                  <w:pPr>
                    <w:pStyle w:val="141"/>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36.44</w:t>
                  </w:r>
                </w:p>
              </w:tc>
              <w:tc>
                <w:tcPr>
                  <w:tcW w:w="715" w:type="pct"/>
                  <w:noWrap w:val="0"/>
                  <w:vAlign w:val="center"/>
                </w:tcPr>
                <w:p w14:paraId="7B81D9D3">
                  <w:pPr>
                    <w:pStyle w:val="141"/>
                    <w:rPr>
                      <w:rFonts w:hint="default" w:ascii="Times New Roman" w:hAnsi="Times New Roman" w:cs="Times New Roman"/>
                      <w:color w:val="auto"/>
                    </w:rPr>
                  </w:pPr>
                  <w:r>
                    <w:rPr>
                      <w:rFonts w:hint="default" w:ascii="Times New Roman" w:hAnsi="Times New Roman" w:cs="Times New Roman"/>
                      <w:color w:val="auto"/>
                    </w:rPr>
                    <w:t>65</w:t>
                  </w:r>
                </w:p>
              </w:tc>
              <w:tc>
                <w:tcPr>
                  <w:tcW w:w="893" w:type="pct"/>
                  <w:noWrap w:val="0"/>
                  <w:vAlign w:val="center"/>
                </w:tcPr>
                <w:p w14:paraId="6C7FCE5E">
                  <w:pPr>
                    <w:pStyle w:val="141"/>
                    <w:rPr>
                      <w:rFonts w:hint="default" w:ascii="Times New Roman" w:hAnsi="Times New Roman" w:cs="Times New Roman"/>
                      <w:color w:val="auto"/>
                    </w:rPr>
                  </w:pPr>
                  <w:r>
                    <w:rPr>
                      <w:rFonts w:hint="default" w:ascii="Times New Roman" w:hAnsi="Times New Roman" w:cs="Times New Roman"/>
                      <w:color w:val="auto"/>
                    </w:rPr>
                    <w:t>达标</w:t>
                  </w:r>
                </w:p>
              </w:tc>
            </w:tr>
          </w:tbl>
          <w:p w14:paraId="33DB9939">
            <w:pPr>
              <w:widowControl/>
              <w:spacing w:line="520" w:lineRule="exact"/>
              <w:ind w:firstLine="480" w:firstLineChars="200"/>
              <w:jc w:val="left"/>
              <w:rPr>
                <w:rFonts w:hint="default" w:ascii="Times New Roman" w:hAnsi="Times New Roman" w:cs="Times New Roman"/>
                <w:color w:val="auto"/>
                <w:kern w:val="0"/>
                <w:sz w:val="24"/>
                <w:lang w:bidi="ar"/>
              </w:rPr>
            </w:pPr>
            <w:r>
              <w:rPr>
                <w:rFonts w:hint="default" w:ascii="Times New Roman" w:hAnsi="Times New Roman" w:cs="Times New Roman"/>
                <w:color w:val="auto"/>
                <w:kern w:val="0"/>
                <w:sz w:val="24"/>
                <w:lang w:bidi="ar"/>
              </w:rPr>
              <w:t>根据预测，项目运营期厂界噪声昼间满足《工业企业厂界环境噪声排放标准》（GB12348-2008）中3类标准要求（夜间不生产）。</w:t>
            </w:r>
          </w:p>
          <w:p w14:paraId="062F2A94">
            <w:pPr>
              <w:widowControl/>
              <w:spacing w:line="520" w:lineRule="exact"/>
              <w:ind w:firstLine="480" w:firstLineChars="200"/>
              <w:jc w:val="left"/>
              <w:rPr>
                <w:rFonts w:hint="default" w:ascii="Times New Roman" w:hAnsi="Times New Roman" w:cs="Times New Roman"/>
                <w:color w:val="auto"/>
                <w:kern w:val="0"/>
                <w:sz w:val="24"/>
                <w:lang w:bidi="ar"/>
              </w:rPr>
            </w:pPr>
            <w:r>
              <w:rPr>
                <w:rFonts w:hint="default" w:ascii="Times New Roman" w:hAnsi="Times New Roman" w:eastAsia="宋体" w:cs="Times New Roman"/>
                <w:sz w:val="24"/>
                <w:szCs w:val="24"/>
              </w:rPr>
              <w:t>本项目厂区周边近距离无居民、学校、医院等声环境敏感目标；远期若周边规划敏感建筑，项目噪声经厂房墙体隔声、几何距离衰减、地面自然衰减后，贡献值较低，叠加区域背景噪声后可满足《声环境质量标准》（GB3096-2008）对应功能区限值，运营噪声对周边声环境影响较小</w:t>
            </w:r>
            <w:r>
              <w:rPr>
                <w:rFonts w:hint="default" w:ascii="Times New Roman" w:hAnsi="Times New Roman" w:cs="Times New Roman"/>
                <w:color w:val="auto"/>
                <w:kern w:val="0"/>
                <w:sz w:val="24"/>
                <w:lang w:bidi="ar"/>
              </w:rPr>
              <w:t>。</w:t>
            </w:r>
          </w:p>
          <w:p w14:paraId="305C6F5D">
            <w:pPr>
              <w:widowControl/>
              <w:spacing w:line="520" w:lineRule="exact"/>
              <w:ind w:firstLine="480" w:firstLineChars="200"/>
              <w:jc w:val="left"/>
              <w:rPr>
                <w:rFonts w:hint="default" w:ascii="Times New Roman" w:hAnsi="Times New Roman" w:cs="Times New Roman"/>
                <w:color w:val="auto"/>
                <w:kern w:val="0"/>
                <w:sz w:val="24"/>
                <w:lang w:bidi="ar"/>
              </w:rPr>
            </w:pPr>
            <w:r>
              <w:rPr>
                <w:rFonts w:hint="default" w:ascii="Times New Roman" w:hAnsi="Times New Roman" w:cs="Times New Roman"/>
                <w:color w:val="auto"/>
                <w:kern w:val="0"/>
                <w:sz w:val="24"/>
                <w:lang w:val="zh-CN" w:bidi="ar"/>
              </w:rPr>
              <w:t>（</w:t>
            </w:r>
            <w:r>
              <w:rPr>
                <w:rFonts w:hint="default" w:ascii="Times New Roman" w:hAnsi="Times New Roman" w:cs="Times New Roman"/>
                <w:color w:val="auto"/>
                <w:kern w:val="0"/>
                <w:sz w:val="24"/>
                <w:lang w:bidi="ar"/>
              </w:rPr>
              <w:t>3</w:t>
            </w:r>
            <w:r>
              <w:rPr>
                <w:rFonts w:hint="default" w:ascii="Times New Roman" w:hAnsi="Times New Roman" w:cs="Times New Roman"/>
                <w:color w:val="auto"/>
                <w:kern w:val="0"/>
                <w:sz w:val="24"/>
                <w:lang w:val="zh-CN" w:bidi="ar"/>
              </w:rPr>
              <w:t>）</w:t>
            </w:r>
            <w:r>
              <w:rPr>
                <w:rFonts w:hint="default" w:ascii="Times New Roman" w:hAnsi="Times New Roman" w:cs="Times New Roman"/>
                <w:color w:val="auto"/>
                <w:kern w:val="0"/>
                <w:sz w:val="24"/>
                <w:lang w:bidi="ar"/>
              </w:rPr>
              <w:t>噪声监测计划</w:t>
            </w:r>
          </w:p>
          <w:p w14:paraId="7527B40A">
            <w:pPr>
              <w:widowControl/>
              <w:spacing w:line="520" w:lineRule="exact"/>
              <w:ind w:firstLine="480" w:firstLineChars="200"/>
              <w:jc w:val="left"/>
              <w:rPr>
                <w:rFonts w:hint="default" w:ascii="Times New Roman" w:hAnsi="Times New Roman" w:cs="Times New Roman"/>
                <w:color w:val="auto"/>
                <w:kern w:val="0"/>
                <w:sz w:val="24"/>
                <w:lang w:val="zh-CN" w:bidi="ar"/>
              </w:rPr>
            </w:pPr>
            <w:r>
              <w:rPr>
                <w:rFonts w:hint="default" w:ascii="Times New Roman" w:hAnsi="Times New Roman" w:cs="Times New Roman"/>
                <w:color w:val="auto"/>
                <w:kern w:val="0"/>
                <w:sz w:val="24"/>
                <w:lang w:val="zh-CN" w:bidi="ar"/>
              </w:rPr>
              <w:t>项目</w:t>
            </w:r>
            <w:r>
              <w:rPr>
                <w:rFonts w:hint="default" w:ascii="Times New Roman" w:hAnsi="Times New Roman" w:cs="Times New Roman"/>
                <w:color w:val="auto"/>
                <w:kern w:val="0"/>
                <w:sz w:val="24"/>
                <w:lang w:bidi="ar"/>
              </w:rPr>
              <w:t>噪声</w:t>
            </w:r>
            <w:r>
              <w:rPr>
                <w:rFonts w:hint="default" w:ascii="Times New Roman" w:hAnsi="Times New Roman" w:cs="Times New Roman"/>
                <w:color w:val="auto"/>
                <w:kern w:val="0"/>
                <w:sz w:val="24"/>
                <w:lang w:val="zh-CN" w:bidi="ar"/>
              </w:rPr>
              <w:t>监测计划见表</w:t>
            </w:r>
            <w:r>
              <w:rPr>
                <w:rFonts w:hint="default" w:ascii="Times New Roman" w:hAnsi="Times New Roman" w:cs="Times New Roman"/>
                <w:color w:val="auto"/>
                <w:kern w:val="0"/>
                <w:sz w:val="24"/>
                <w:lang w:bidi="ar"/>
              </w:rPr>
              <w:t>4-</w:t>
            </w:r>
            <w:r>
              <w:rPr>
                <w:rFonts w:hint="default" w:ascii="Times New Roman" w:hAnsi="Times New Roman" w:cs="Times New Roman"/>
                <w:color w:val="auto"/>
                <w:kern w:val="0"/>
                <w:sz w:val="24"/>
                <w:lang w:val="en-US" w:eastAsia="zh-CN" w:bidi="ar"/>
              </w:rPr>
              <w:t>9</w:t>
            </w:r>
            <w:r>
              <w:rPr>
                <w:rFonts w:hint="default" w:ascii="Times New Roman" w:hAnsi="Times New Roman" w:cs="Times New Roman"/>
                <w:color w:val="auto"/>
                <w:kern w:val="0"/>
                <w:sz w:val="24"/>
                <w:lang w:val="zh-CN" w:bidi="ar"/>
              </w:rPr>
              <w:t>：</w:t>
            </w:r>
          </w:p>
          <w:p w14:paraId="03BCA438">
            <w:pPr>
              <w:pStyle w:val="140"/>
              <w:spacing w:before="147"/>
              <w:rPr>
                <w:rFonts w:hint="default" w:ascii="Times New Roman" w:hAnsi="Times New Roman" w:cs="Times New Roman"/>
                <w:color w:val="auto"/>
                <w:lang w:val="zh-CN"/>
              </w:rPr>
            </w:pPr>
            <w:r>
              <w:rPr>
                <w:rFonts w:hint="default" w:ascii="Times New Roman" w:hAnsi="Times New Roman" w:cs="Times New Roman"/>
                <w:color w:val="auto"/>
                <w:lang w:val="zh-CN"/>
              </w:rPr>
              <w:t>表</w:t>
            </w:r>
            <w:r>
              <w:rPr>
                <w:rFonts w:hint="default" w:ascii="Times New Roman" w:hAnsi="Times New Roman" w:cs="Times New Roman"/>
                <w:color w:val="auto"/>
              </w:rPr>
              <w:t>4-</w:t>
            </w:r>
            <w:r>
              <w:rPr>
                <w:rFonts w:hint="default" w:ascii="Times New Roman" w:hAnsi="Times New Roman" w:cs="Times New Roman"/>
                <w:color w:val="auto"/>
                <w:lang w:val="en-US" w:eastAsia="zh-CN"/>
              </w:rPr>
              <w:t>9</w:t>
            </w:r>
            <w:r>
              <w:rPr>
                <w:rFonts w:hint="default" w:ascii="Times New Roman" w:hAnsi="Times New Roman" w:cs="Times New Roman"/>
                <w:color w:val="auto"/>
              </w:rPr>
              <w:t xml:space="preserve">  噪声</w:t>
            </w:r>
            <w:r>
              <w:rPr>
                <w:rFonts w:hint="default" w:ascii="Times New Roman" w:hAnsi="Times New Roman" w:cs="Times New Roman"/>
                <w:color w:val="auto"/>
                <w:lang w:val="zh-CN"/>
              </w:rPr>
              <w:t>监测计划</w:t>
            </w:r>
          </w:p>
          <w:tbl>
            <w:tblPr>
              <w:tblStyle w:val="38"/>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1314"/>
              <w:gridCol w:w="2190"/>
              <w:gridCol w:w="3178"/>
              <w:gridCol w:w="1479"/>
            </w:tblGrid>
            <w:tr w14:paraId="6E5184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jc w:val="center"/>
              </w:trPr>
              <w:tc>
                <w:tcPr>
                  <w:tcW w:w="1354" w:type="dxa"/>
                  <w:tcBorders>
                    <w:tl2br w:val="nil"/>
                    <w:tr2bl w:val="nil"/>
                  </w:tcBorders>
                  <w:noWrap w:val="0"/>
                  <w:vAlign w:val="center"/>
                </w:tcPr>
                <w:p w14:paraId="597CDC56">
                  <w:pPr>
                    <w:pStyle w:val="141"/>
                    <w:rPr>
                      <w:rFonts w:hint="default" w:ascii="Times New Roman" w:hAnsi="Times New Roman" w:cs="Times New Roman"/>
                      <w:color w:val="auto"/>
                    </w:rPr>
                  </w:pPr>
                  <w:r>
                    <w:rPr>
                      <w:rFonts w:hint="default" w:ascii="Times New Roman" w:hAnsi="Times New Roman" w:cs="Times New Roman"/>
                      <w:color w:val="auto"/>
                    </w:rPr>
                    <w:t>监测项目</w:t>
                  </w:r>
                </w:p>
              </w:tc>
              <w:tc>
                <w:tcPr>
                  <w:tcW w:w="2265" w:type="dxa"/>
                  <w:tcBorders>
                    <w:tl2br w:val="nil"/>
                    <w:tr2bl w:val="nil"/>
                  </w:tcBorders>
                  <w:noWrap w:val="0"/>
                  <w:vAlign w:val="center"/>
                </w:tcPr>
                <w:p w14:paraId="346D252A">
                  <w:pPr>
                    <w:pStyle w:val="141"/>
                    <w:rPr>
                      <w:rFonts w:hint="default" w:ascii="Times New Roman" w:hAnsi="Times New Roman" w:cs="Times New Roman"/>
                      <w:color w:val="auto"/>
                    </w:rPr>
                  </w:pPr>
                  <w:r>
                    <w:rPr>
                      <w:rFonts w:hint="default" w:ascii="Times New Roman" w:hAnsi="Times New Roman" w:cs="Times New Roman"/>
                      <w:color w:val="auto"/>
                    </w:rPr>
                    <w:t>监测因子</w:t>
                  </w:r>
                </w:p>
              </w:tc>
              <w:tc>
                <w:tcPr>
                  <w:tcW w:w="3295" w:type="dxa"/>
                  <w:tcBorders>
                    <w:tl2br w:val="nil"/>
                    <w:tr2bl w:val="nil"/>
                  </w:tcBorders>
                  <w:noWrap w:val="0"/>
                  <w:vAlign w:val="center"/>
                </w:tcPr>
                <w:p w14:paraId="5F3F15B7">
                  <w:pPr>
                    <w:pStyle w:val="141"/>
                    <w:rPr>
                      <w:rFonts w:hint="default" w:ascii="Times New Roman" w:hAnsi="Times New Roman" w:cs="Times New Roman"/>
                      <w:color w:val="auto"/>
                    </w:rPr>
                  </w:pPr>
                  <w:r>
                    <w:rPr>
                      <w:rFonts w:hint="default" w:ascii="Times New Roman" w:hAnsi="Times New Roman" w:cs="Times New Roman"/>
                      <w:color w:val="auto"/>
                    </w:rPr>
                    <w:t>监测点位</w:t>
                  </w:r>
                </w:p>
              </w:tc>
              <w:tc>
                <w:tcPr>
                  <w:tcW w:w="1524" w:type="dxa"/>
                  <w:tcBorders>
                    <w:tl2br w:val="nil"/>
                    <w:tr2bl w:val="nil"/>
                  </w:tcBorders>
                  <w:noWrap w:val="0"/>
                  <w:vAlign w:val="center"/>
                </w:tcPr>
                <w:p w14:paraId="4AF57BDE">
                  <w:pPr>
                    <w:pStyle w:val="141"/>
                    <w:rPr>
                      <w:rFonts w:hint="default" w:ascii="Times New Roman" w:hAnsi="Times New Roman" w:cs="Times New Roman"/>
                      <w:color w:val="auto"/>
                    </w:rPr>
                  </w:pPr>
                  <w:r>
                    <w:rPr>
                      <w:rFonts w:hint="default" w:ascii="Times New Roman" w:hAnsi="Times New Roman" w:cs="Times New Roman"/>
                      <w:color w:val="auto"/>
                    </w:rPr>
                    <w:t>监测频率</w:t>
                  </w:r>
                </w:p>
              </w:tc>
            </w:tr>
            <w:tr w14:paraId="2C40D6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97" w:hRule="atLeast"/>
                <w:jc w:val="center"/>
              </w:trPr>
              <w:tc>
                <w:tcPr>
                  <w:tcW w:w="1354" w:type="dxa"/>
                  <w:tcBorders>
                    <w:tl2br w:val="nil"/>
                    <w:tr2bl w:val="nil"/>
                  </w:tcBorders>
                  <w:noWrap w:val="0"/>
                  <w:vAlign w:val="center"/>
                </w:tcPr>
                <w:p w14:paraId="062758BB">
                  <w:pPr>
                    <w:pStyle w:val="141"/>
                    <w:rPr>
                      <w:rFonts w:hint="default" w:ascii="Times New Roman" w:hAnsi="Times New Roman" w:cs="Times New Roman"/>
                      <w:color w:val="auto"/>
                    </w:rPr>
                  </w:pPr>
                  <w:r>
                    <w:rPr>
                      <w:rFonts w:hint="default" w:ascii="Times New Roman" w:hAnsi="Times New Roman" w:cs="Times New Roman"/>
                      <w:color w:val="auto"/>
                    </w:rPr>
                    <w:t>噪声监测</w:t>
                  </w:r>
                </w:p>
              </w:tc>
              <w:tc>
                <w:tcPr>
                  <w:tcW w:w="2265" w:type="dxa"/>
                  <w:tcBorders>
                    <w:tl2br w:val="nil"/>
                    <w:tr2bl w:val="nil"/>
                  </w:tcBorders>
                  <w:noWrap w:val="0"/>
                  <w:vAlign w:val="center"/>
                </w:tcPr>
                <w:p w14:paraId="175B294F">
                  <w:pPr>
                    <w:pStyle w:val="141"/>
                    <w:rPr>
                      <w:rFonts w:hint="default" w:ascii="Times New Roman" w:hAnsi="Times New Roman" w:cs="Times New Roman"/>
                      <w:color w:val="auto"/>
                    </w:rPr>
                  </w:pPr>
                  <w:r>
                    <w:rPr>
                      <w:rFonts w:hint="default" w:ascii="Times New Roman" w:hAnsi="Times New Roman" w:cs="Times New Roman"/>
                      <w:color w:val="auto"/>
                    </w:rPr>
                    <w:t>dB（A）</w:t>
                  </w:r>
                </w:p>
              </w:tc>
              <w:tc>
                <w:tcPr>
                  <w:tcW w:w="3295" w:type="dxa"/>
                  <w:tcBorders>
                    <w:tl2br w:val="nil"/>
                    <w:tr2bl w:val="nil"/>
                  </w:tcBorders>
                  <w:noWrap w:val="0"/>
                  <w:vAlign w:val="center"/>
                </w:tcPr>
                <w:p w14:paraId="67F6C8E8">
                  <w:pPr>
                    <w:pStyle w:val="141"/>
                    <w:rPr>
                      <w:rFonts w:hint="default" w:ascii="Times New Roman" w:hAnsi="Times New Roman" w:cs="Times New Roman"/>
                      <w:color w:val="auto"/>
                    </w:rPr>
                  </w:pPr>
                  <w:r>
                    <w:rPr>
                      <w:rFonts w:hint="default" w:ascii="Times New Roman" w:hAnsi="Times New Roman" w:cs="Times New Roman"/>
                      <w:color w:val="auto"/>
                    </w:rPr>
                    <w:t>东、南、西、北厂界外1m</w:t>
                  </w:r>
                </w:p>
              </w:tc>
              <w:tc>
                <w:tcPr>
                  <w:tcW w:w="1524" w:type="dxa"/>
                  <w:tcBorders>
                    <w:tl2br w:val="nil"/>
                    <w:tr2bl w:val="nil"/>
                  </w:tcBorders>
                  <w:noWrap w:val="0"/>
                  <w:vAlign w:val="center"/>
                </w:tcPr>
                <w:p w14:paraId="69B3635B">
                  <w:pPr>
                    <w:pStyle w:val="141"/>
                    <w:rPr>
                      <w:rFonts w:hint="default" w:ascii="Times New Roman" w:hAnsi="Times New Roman" w:cs="Times New Roman"/>
                      <w:color w:val="auto"/>
                    </w:rPr>
                  </w:pPr>
                  <w:r>
                    <w:rPr>
                      <w:rFonts w:hint="default" w:ascii="Times New Roman" w:hAnsi="Times New Roman" w:cs="Times New Roman"/>
                      <w:color w:val="auto"/>
                    </w:rPr>
                    <w:t>每季度一次</w:t>
                  </w:r>
                </w:p>
              </w:tc>
            </w:tr>
          </w:tbl>
          <w:p w14:paraId="6427FF42">
            <w:pPr>
              <w:keepNext w:val="0"/>
              <w:keepLines w:val="0"/>
              <w:pageBreakBefore w:val="0"/>
              <w:widowControl w:val="0"/>
              <w:kinsoku/>
              <w:wordWrap/>
              <w:overflowPunct/>
              <w:topLinePunct w:val="0"/>
              <w:autoSpaceDE w:val="0"/>
              <w:autoSpaceDN w:val="0"/>
              <w:bidi w:val="0"/>
              <w:adjustRightInd w:val="0"/>
              <w:snapToGrid w:val="0"/>
              <w:spacing w:before="120" w:beforeLines="50" w:line="360" w:lineRule="auto"/>
              <w:ind w:firstLine="482" w:firstLineChars="200"/>
              <w:jc w:val="left"/>
              <w:textAlignment w:val="auto"/>
              <w:rPr>
                <w:rFonts w:hint="default" w:ascii="Times New Roman" w:hAnsi="Times New Roman" w:cs="Times New Roman"/>
                <w:b/>
                <w:bCs/>
                <w:color w:val="auto"/>
                <w:kern w:val="0"/>
                <w:sz w:val="24"/>
                <w:u w:val="none"/>
              </w:rPr>
            </w:pPr>
            <w:r>
              <w:rPr>
                <w:rFonts w:hint="default" w:ascii="Times New Roman" w:hAnsi="Times New Roman" w:cs="Times New Roman"/>
                <w:b/>
                <w:bCs/>
                <w:color w:val="auto"/>
                <w:kern w:val="0"/>
                <w:sz w:val="24"/>
                <w:u w:val="none"/>
              </w:rPr>
              <w:t>（四）固体废物环境影响分析</w:t>
            </w:r>
          </w:p>
          <w:p w14:paraId="32B29082">
            <w:pPr>
              <w:pStyle w:val="142"/>
              <w:spacing w:line="360" w:lineRule="auto"/>
              <w:ind w:firstLine="480" w:firstLineChars="200"/>
              <w:jc w:val="left"/>
              <w:rPr>
                <w:rStyle w:val="44"/>
                <w:rFonts w:hint="default" w:ascii="Times New Roman" w:hAnsi="Times New Roman" w:eastAsia="宋体" w:cs="Times New Roman"/>
                <w:i w:val="0"/>
                <w:color w:val="auto"/>
                <w:kern w:val="2"/>
                <w:sz w:val="24"/>
                <w:szCs w:val="24"/>
                <w:lang w:eastAsia="zh-CN"/>
              </w:rPr>
            </w:pPr>
            <w:bookmarkStart w:id="13" w:name="_Toc15409"/>
            <w:bookmarkStart w:id="14" w:name="_Toc20178"/>
            <w:bookmarkStart w:id="15" w:name="_Toc8094"/>
            <w:r>
              <w:rPr>
                <w:rStyle w:val="44"/>
                <w:rFonts w:hint="default" w:ascii="Times New Roman" w:hAnsi="Times New Roman" w:cs="Times New Roman"/>
                <w:i w:val="0"/>
                <w:color w:val="auto"/>
                <w:kern w:val="2"/>
                <w:sz w:val="24"/>
                <w:szCs w:val="24"/>
              </w:rPr>
              <w:t>项目主</w:t>
            </w:r>
            <w:r>
              <w:rPr>
                <w:rFonts w:hint="default" w:ascii="Times New Roman" w:hAnsi="Times New Roman" w:eastAsia="宋体" w:cs="Times New Roman"/>
                <w:color w:val="auto"/>
                <w:kern w:val="2"/>
                <w:sz w:val="24"/>
                <w:szCs w:val="20"/>
                <w:lang w:val="en-US" w:eastAsia="zh-CN" w:bidi="ar-SA"/>
              </w:rPr>
              <w:t>要固体废物为生活垃圾、废包装、</w:t>
            </w:r>
            <w:r>
              <w:rPr>
                <w:rFonts w:hint="default" w:ascii="Times New Roman" w:hAnsi="Times New Roman" w:cs="Times New Roman"/>
                <w:color w:val="auto"/>
                <w:kern w:val="2"/>
                <w:sz w:val="24"/>
                <w:szCs w:val="20"/>
                <w:lang w:val="en-US" w:eastAsia="zh-CN" w:bidi="ar-SA"/>
              </w:rPr>
              <w:t>废活性炭</w:t>
            </w:r>
            <w:r>
              <w:rPr>
                <w:rFonts w:hint="default" w:ascii="Times New Roman" w:hAnsi="Times New Roman" w:eastAsia="宋体" w:cs="Times New Roman"/>
                <w:color w:val="auto"/>
                <w:kern w:val="2"/>
                <w:sz w:val="24"/>
                <w:szCs w:val="20"/>
                <w:lang w:val="en-US" w:eastAsia="zh-CN" w:bidi="ar-SA"/>
              </w:rPr>
              <w:t>及设备维护产生的废机油等</w:t>
            </w:r>
            <w:r>
              <w:rPr>
                <w:rStyle w:val="44"/>
                <w:rFonts w:hint="default" w:ascii="Times New Roman" w:hAnsi="Times New Roman" w:cs="Times New Roman"/>
                <w:i w:val="0"/>
                <w:color w:val="auto"/>
                <w:kern w:val="2"/>
                <w:sz w:val="24"/>
                <w:szCs w:val="24"/>
              </w:rPr>
              <w:t>。</w:t>
            </w:r>
          </w:p>
          <w:p w14:paraId="5E2E117A">
            <w:pPr>
              <w:pStyle w:val="142"/>
              <w:spacing w:line="360" w:lineRule="auto"/>
              <w:ind w:firstLine="480" w:firstLineChars="200"/>
              <w:jc w:val="left"/>
              <w:rPr>
                <w:rStyle w:val="44"/>
                <w:rFonts w:hint="default" w:ascii="Times New Roman" w:hAnsi="Times New Roman" w:cs="Times New Roman"/>
                <w:i w:val="0"/>
                <w:color w:val="auto"/>
                <w:kern w:val="2"/>
                <w:sz w:val="24"/>
                <w:szCs w:val="24"/>
              </w:rPr>
            </w:pPr>
            <w:r>
              <w:rPr>
                <w:rStyle w:val="44"/>
                <w:rFonts w:hint="default" w:ascii="Times New Roman" w:hAnsi="Times New Roman" w:cs="Times New Roman"/>
                <w:i w:val="0"/>
                <w:color w:val="auto"/>
                <w:kern w:val="2"/>
                <w:sz w:val="24"/>
                <w:szCs w:val="24"/>
              </w:rPr>
              <w:t>（1）生活垃圾</w:t>
            </w:r>
          </w:p>
          <w:p w14:paraId="6A08EC0C">
            <w:pPr>
              <w:pStyle w:val="56"/>
              <w:spacing w:line="360" w:lineRule="auto"/>
              <w:ind w:firstLine="480"/>
              <w:rPr>
                <w:rFonts w:hint="default" w:ascii="Times New Roman" w:hAnsi="Times New Roman" w:cs="Times New Roman"/>
                <w:color w:val="auto"/>
              </w:rPr>
            </w:pPr>
            <w:r>
              <w:rPr>
                <w:rFonts w:hint="default" w:ascii="Times New Roman" w:hAnsi="Times New Roman" w:eastAsia="宋体" w:cs="Times New Roman"/>
                <w:sz w:val="24"/>
                <w:szCs w:val="24"/>
              </w:rPr>
              <w:t>项目劳动定员10人，生活垃圾产生系数按0.5kg/人・d计，年工作300天，生活垃圾产生量为1.5t/a。厂区设置密闭垃圾桶分类收集，统一交由园区环卫部门清运处置</w:t>
            </w:r>
            <w:r>
              <w:rPr>
                <w:rFonts w:hint="default" w:ascii="Times New Roman" w:hAnsi="Times New Roman" w:cs="Times New Roman"/>
                <w:color w:val="auto"/>
              </w:rPr>
              <w:t>。</w:t>
            </w:r>
          </w:p>
          <w:p w14:paraId="6CF10529">
            <w:pPr>
              <w:widowControl/>
              <w:spacing w:line="520" w:lineRule="exact"/>
              <w:ind w:firstLine="480" w:firstLineChars="200"/>
              <w:jc w:val="left"/>
              <w:rPr>
                <w:rFonts w:hint="default" w:ascii="Times New Roman" w:hAnsi="Times New Roman" w:cs="Times New Roman"/>
                <w:color w:val="auto"/>
                <w:kern w:val="0"/>
                <w:sz w:val="24"/>
                <w:lang w:bidi="ar"/>
              </w:rPr>
            </w:pPr>
            <w:r>
              <w:rPr>
                <w:rFonts w:hint="default" w:ascii="Times New Roman" w:hAnsi="Times New Roman" w:cs="Times New Roman"/>
                <w:color w:val="auto"/>
                <w:kern w:val="0"/>
                <w:sz w:val="24"/>
                <w:lang w:bidi="ar"/>
              </w:rPr>
              <w:t>（2）废包装</w:t>
            </w:r>
          </w:p>
          <w:p w14:paraId="441D5375">
            <w:pPr>
              <w:widowControl/>
              <w:spacing w:line="520" w:lineRule="exact"/>
              <w:ind w:firstLine="480" w:firstLineChars="200"/>
              <w:jc w:val="left"/>
              <w:rPr>
                <w:rFonts w:hint="default" w:ascii="Times New Roman" w:hAnsi="Times New Roman" w:cs="Times New Roman"/>
                <w:color w:val="auto"/>
                <w:kern w:val="0"/>
                <w:sz w:val="24"/>
                <w:lang w:bidi="ar"/>
              </w:rPr>
            </w:pPr>
            <w:r>
              <w:rPr>
                <w:rFonts w:hint="default" w:ascii="Times New Roman" w:hAnsi="Times New Roman" w:cs="Times New Roman"/>
                <w:color w:val="auto"/>
                <w:kern w:val="0"/>
                <w:sz w:val="24"/>
                <w:lang w:bidi="ar"/>
              </w:rPr>
              <w:t>由于生产过程中原料的消耗，会有废包装材料的产生，预计产生量为0.</w:t>
            </w:r>
            <w:r>
              <w:rPr>
                <w:rFonts w:hint="default" w:ascii="Times New Roman" w:hAnsi="Times New Roman" w:cs="Times New Roman"/>
                <w:color w:val="auto"/>
                <w:kern w:val="0"/>
                <w:sz w:val="24"/>
                <w:lang w:val="en-US" w:eastAsia="zh-CN" w:bidi="ar"/>
              </w:rPr>
              <w:t>2</w:t>
            </w:r>
            <w:r>
              <w:rPr>
                <w:rFonts w:hint="default" w:ascii="Times New Roman" w:hAnsi="Times New Roman" w:cs="Times New Roman"/>
                <w:color w:val="auto"/>
                <w:kern w:val="0"/>
                <w:sz w:val="24"/>
                <w:lang w:bidi="ar"/>
              </w:rPr>
              <w:t>t/a，属于《固体废物分类与代码目录》（生态环境部办公厅2024年1月22日印发）中的S17可再生类废物，废物代码为900-003-S17、900-005-S17、900-009-S17，收集后交给专业公司回收处理。</w:t>
            </w:r>
          </w:p>
          <w:p w14:paraId="6E370A9D">
            <w:pPr>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表4-</w:t>
            </w:r>
            <w:r>
              <w:rPr>
                <w:rFonts w:hint="default" w:ascii="Times New Roman" w:hAnsi="Times New Roman" w:cs="Times New Roman"/>
                <w:b/>
                <w:bCs/>
                <w:color w:val="auto"/>
                <w:szCs w:val="21"/>
                <w:lang w:val="en-US" w:eastAsia="zh-CN"/>
              </w:rPr>
              <w:t>10</w:t>
            </w:r>
            <w:r>
              <w:rPr>
                <w:rFonts w:hint="default" w:ascii="Times New Roman" w:hAnsi="Times New Roman" w:cs="Times New Roman"/>
                <w:b/>
                <w:bCs/>
                <w:color w:val="auto"/>
                <w:szCs w:val="21"/>
              </w:rPr>
              <w:t xml:space="preserve">  一般固体废物一览表</w:t>
            </w:r>
          </w:p>
          <w:tbl>
            <w:tblPr>
              <w:tblStyle w:val="38"/>
              <w:tblW w:w="7954" w:type="dxa"/>
              <w:tblInd w:w="11"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408"/>
              <w:gridCol w:w="642"/>
              <w:gridCol w:w="1388"/>
              <w:gridCol w:w="985"/>
              <w:gridCol w:w="1984"/>
              <w:gridCol w:w="491"/>
              <w:gridCol w:w="652"/>
              <w:gridCol w:w="1404"/>
            </w:tblGrid>
            <w:tr w14:paraId="27BAC9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040" w:hRule="atLeast"/>
              </w:trPr>
              <w:tc>
                <w:tcPr>
                  <w:tcW w:w="408" w:type="dxa"/>
                  <w:noWrap w:val="0"/>
                  <w:vAlign w:val="center"/>
                </w:tcPr>
                <w:p w14:paraId="47391DF9">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序号</w:t>
                  </w:r>
                </w:p>
              </w:tc>
              <w:tc>
                <w:tcPr>
                  <w:tcW w:w="642" w:type="dxa"/>
                  <w:noWrap w:val="0"/>
                  <w:vAlign w:val="center"/>
                </w:tcPr>
                <w:p w14:paraId="2940EB9F">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产生环节</w:t>
                  </w:r>
                </w:p>
              </w:tc>
              <w:tc>
                <w:tcPr>
                  <w:tcW w:w="1388" w:type="dxa"/>
                  <w:noWrap w:val="0"/>
                  <w:vAlign w:val="center"/>
                </w:tcPr>
                <w:p w14:paraId="10A36089">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废物名称</w:t>
                  </w:r>
                </w:p>
              </w:tc>
              <w:tc>
                <w:tcPr>
                  <w:tcW w:w="985" w:type="dxa"/>
                  <w:noWrap w:val="0"/>
                  <w:vAlign w:val="center"/>
                </w:tcPr>
                <w:p w14:paraId="1CE54431">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固废属性</w:t>
                  </w:r>
                </w:p>
              </w:tc>
              <w:tc>
                <w:tcPr>
                  <w:tcW w:w="1984" w:type="dxa"/>
                  <w:noWrap w:val="0"/>
                  <w:vAlign w:val="center"/>
                </w:tcPr>
                <w:p w14:paraId="3A8BB21E">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固废代码</w:t>
                  </w:r>
                </w:p>
              </w:tc>
              <w:tc>
                <w:tcPr>
                  <w:tcW w:w="491" w:type="dxa"/>
                  <w:noWrap w:val="0"/>
                  <w:vAlign w:val="center"/>
                </w:tcPr>
                <w:p w14:paraId="13CEFB54">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物理性状</w:t>
                  </w:r>
                </w:p>
              </w:tc>
              <w:tc>
                <w:tcPr>
                  <w:tcW w:w="652" w:type="dxa"/>
                  <w:noWrap w:val="0"/>
                  <w:vAlign w:val="center"/>
                </w:tcPr>
                <w:p w14:paraId="5A6A62B9">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产生量（吨/年）</w:t>
                  </w:r>
                </w:p>
              </w:tc>
              <w:tc>
                <w:tcPr>
                  <w:tcW w:w="1404" w:type="dxa"/>
                  <w:noWrap w:val="0"/>
                  <w:vAlign w:val="center"/>
                </w:tcPr>
                <w:p w14:paraId="476A65A3">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贮存处置方式</w:t>
                  </w:r>
                </w:p>
              </w:tc>
            </w:tr>
            <w:tr w14:paraId="100CC20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23" w:hRule="atLeast"/>
              </w:trPr>
              <w:tc>
                <w:tcPr>
                  <w:tcW w:w="408" w:type="dxa"/>
                  <w:noWrap w:val="0"/>
                  <w:vAlign w:val="center"/>
                </w:tcPr>
                <w:p w14:paraId="5421866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1</w:t>
                  </w:r>
                </w:p>
              </w:tc>
              <w:tc>
                <w:tcPr>
                  <w:tcW w:w="642" w:type="dxa"/>
                  <w:noWrap w:val="0"/>
                  <w:vAlign w:val="center"/>
                </w:tcPr>
                <w:p w14:paraId="33784048">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员工</w:t>
                  </w:r>
                </w:p>
              </w:tc>
              <w:tc>
                <w:tcPr>
                  <w:tcW w:w="1388" w:type="dxa"/>
                  <w:noWrap w:val="0"/>
                  <w:vAlign w:val="center"/>
                </w:tcPr>
                <w:p w14:paraId="0A275FDD">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生活垃圾</w:t>
                  </w:r>
                </w:p>
              </w:tc>
              <w:tc>
                <w:tcPr>
                  <w:tcW w:w="985" w:type="dxa"/>
                  <w:noWrap w:val="0"/>
                  <w:vAlign w:val="center"/>
                </w:tcPr>
                <w:p w14:paraId="718E726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1984" w:type="dxa"/>
                  <w:noWrap w:val="0"/>
                  <w:vAlign w:val="center"/>
                </w:tcPr>
                <w:p w14:paraId="3F3E5F26">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491" w:type="dxa"/>
                  <w:noWrap w:val="0"/>
                  <w:vAlign w:val="center"/>
                </w:tcPr>
                <w:p w14:paraId="1633F9D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c>
                <w:tcPr>
                  <w:tcW w:w="652" w:type="dxa"/>
                  <w:noWrap w:val="0"/>
                  <w:vAlign w:val="center"/>
                </w:tcPr>
                <w:p w14:paraId="126C9198">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1.5</w:t>
                  </w:r>
                </w:p>
              </w:tc>
              <w:tc>
                <w:tcPr>
                  <w:tcW w:w="1404" w:type="dxa"/>
                  <w:noWrap w:val="0"/>
                  <w:vAlign w:val="center"/>
                </w:tcPr>
                <w:p w14:paraId="2AA4B202">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环卫部门处置</w:t>
                  </w:r>
                </w:p>
              </w:tc>
            </w:tr>
            <w:tr w14:paraId="66C2B4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58" w:hRule="atLeast"/>
              </w:trPr>
              <w:tc>
                <w:tcPr>
                  <w:tcW w:w="408" w:type="dxa"/>
                  <w:noWrap w:val="0"/>
                  <w:vAlign w:val="center"/>
                </w:tcPr>
                <w:p w14:paraId="4A574CB4">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2</w:t>
                  </w:r>
                </w:p>
              </w:tc>
              <w:tc>
                <w:tcPr>
                  <w:tcW w:w="642" w:type="dxa"/>
                  <w:noWrap w:val="0"/>
                  <w:vAlign w:val="center"/>
                </w:tcPr>
                <w:p w14:paraId="2EBE9C9E">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包装</w:t>
                  </w:r>
                </w:p>
              </w:tc>
              <w:tc>
                <w:tcPr>
                  <w:tcW w:w="1388" w:type="dxa"/>
                  <w:noWrap w:val="0"/>
                  <w:vAlign w:val="center"/>
                </w:tcPr>
                <w:p w14:paraId="2CB837D1">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废包装</w:t>
                  </w:r>
                </w:p>
              </w:tc>
              <w:tc>
                <w:tcPr>
                  <w:tcW w:w="985" w:type="dxa"/>
                  <w:noWrap w:val="0"/>
                  <w:vAlign w:val="center"/>
                </w:tcPr>
                <w:p w14:paraId="4F88D20F">
                  <w:pPr>
                    <w:jc w:val="center"/>
                    <w:rPr>
                      <w:rFonts w:hint="default" w:ascii="Times New Roman" w:hAnsi="Times New Roman" w:cs="Times New Roman"/>
                      <w:color w:val="auto"/>
                      <w:sz w:val="21"/>
                      <w:szCs w:val="21"/>
                    </w:rPr>
                  </w:pPr>
                  <w:r>
                    <w:rPr>
                      <w:rFonts w:hint="default" w:ascii="Times New Roman" w:hAnsi="Times New Roman" w:cs="Times New Roman"/>
                      <w:b/>
                      <w:bCs/>
                      <w:color w:val="auto"/>
                      <w:sz w:val="21"/>
                      <w:szCs w:val="21"/>
                    </w:rPr>
                    <w:t>一</w:t>
                  </w:r>
                  <w:r>
                    <w:rPr>
                      <w:rFonts w:hint="default" w:ascii="Times New Roman" w:hAnsi="Times New Roman" w:cs="Times New Roman"/>
                      <w:color w:val="auto"/>
                      <w:sz w:val="21"/>
                      <w:szCs w:val="21"/>
                    </w:rPr>
                    <w:t>般固体废物</w:t>
                  </w:r>
                </w:p>
              </w:tc>
              <w:tc>
                <w:tcPr>
                  <w:tcW w:w="1984" w:type="dxa"/>
                  <w:noWrap w:val="0"/>
                  <w:vAlign w:val="center"/>
                </w:tcPr>
                <w:p w14:paraId="74BB0B75">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900-003-S17</w:t>
                  </w:r>
                </w:p>
                <w:p w14:paraId="7D96BD8A">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900-005-S17</w:t>
                  </w:r>
                </w:p>
                <w:p w14:paraId="452DFCD0">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900-009-S17</w:t>
                  </w:r>
                </w:p>
              </w:tc>
              <w:tc>
                <w:tcPr>
                  <w:tcW w:w="491" w:type="dxa"/>
                  <w:noWrap w:val="0"/>
                  <w:vAlign w:val="center"/>
                </w:tcPr>
                <w:p w14:paraId="0847FF1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固态</w:t>
                  </w:r>
                </w:p>
              </w:tc>
              <w:tc>
                <w:tcPr>
                  <w:tcW w:w="652" w:type="dxa"/>
                  <w:noWrap w:val="0"/>
                  <w:vAlign w:val="center"/>
                </w:tcPr>
                <w:p w14:paraId="11B325CF">
                  <w:pPr>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rPr>
                    <w:t>0.</w:t>
                  </w:r>
                  <w:r>
                    <w:rPr>
                      <w:rFonts w:hint="default" w:ascii="Times New Roman" w:hAnsi="Times New Roman" w:cs="Times New Roman"/>
                      <w:color w:val="auto"/>
                      <w:sz w:val="21"/>
                      <w:szCs w:val="21"/>
                      <w:lang w:val="en-US" w:eastAsia="zh-CN"/>
                    </w:rPr>
                    <w:t>2</w:t>
                  </w:r>
                </w:p>
              </w:tc>
              <w:tc>
                <w:tcPr>
                  <w:tcW w:w="1404" w:type="dxa"/>
                  <w:noWrap w:val="0"/>
                  <w:vAlign w:val="center"/>
                </w:tcPr>
                <w:p w14:paraId="2D756EA9">
                  <w:pPr>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一般固废暂存间，</w:t>
                  </w:r>
                  <w:r>
                    <w:rPr>
                      <w:rFonts w:hint="default" w:ascii="Times New Roman" w:hAnsi="Times New Roman" w:cs="Times New Roman"/>
                      <w:color w:val="auto"/>
                      <w:kern w:val="0"/>
                      <w:sz w:val="21"/>
                      <w:szCs w:val="21"/>
                      <w:lang w:bidi="ar"/>
                    </w:rPr>
                    <w:t>收集后交给专业公司回收处理</w:t>
                  </w:r>
                </w:p>
              </w:tc>
            </w:tr>
          </w:tbl>
          <w:p w14:paraId="2C2364AC">
            <w:pPr>
              <w:pStyle w:val="56"/>
              <w:spacing w:line="520" w:lineRule="exact"/>
              <w:ind w:firstLine="480"/>
              <w:rPr>
                <w:rFonts w:hint="default" w:ascii="Times New Roman" w:hAnsi="Times New Roman" w:cs="Times New Roman"/>
                <w:color w:val="auto"/>
              </w:rPr>
            </w:pPr>
            <w:r>
              <w:rPr>
                <w:rFonts w:hint="default" w:ascii="Times New Roman" w:hAnsi="Times New Roman" w:cs="Times New Roman"/>
                <w:color w:val="auto"/>
              </w:rPr>
              <w:t>（3）危险固废</w:t>
            </w:r>
          </w:p>
          <w:p w14:paraId="736DB5D4">
            <w:pPr>
              <w:pStyle w:val="143"/>
              <w:keepNext/>
              <w:keepLines/>
              <w:spacing w:line="520" w:lineRule="exact"/>
              <w:ind w:firstLine="480" w:firstLineChars="200"/>
              <w:jc w:val="both"/>
              <w:rPr>
                <w:rFonts w:hint="default" w:ascii="Times New Roman" w:hAnsi="Times New Roman" w:cs="Times New Roman"/>
                <w:color w:val="auto"/>
                <w:sz w:val="24"/>
                <w:szCs w:val="24"/>
                <w:lang w:val="zh-CN" w:eastAsia="zh-CN" w:bidi="zh-CN"/>
              </w:rPr>
            </w:pPr>
            <w:bookmarkStart w:id="16" w:name="bookmark156"/>
            <w:bookmarkStart w:id="17" w:name="bookmark158"/>
            <w:bookmarkStart w:id="18" w:name="bookmark155"/>
            <w:r>
              <w:rPr>
                <w:rFonts w:hint="default" w:ascii="Times New Roman" w:hAnsi="Times New Roman" w:cs="Times New Roman"/>
                <w:color w:val="auto"/>
                <w:sz w:val="24"/>
                <w:szCs w:val="24"/>
                <w:lang w:val="en-US" w:eastAsia="zh-CN" w:bidi="zh-CN"/>
              </w:rPr>
              <w:t>1）</w:t>
            </w:r>
            <w:r>
              <w:rPr>
                <w:rFonts w:hint="default" w:ascii="Times New Roman" w:hAnsi="Times New Roman" w:cs="Times New Roman"/>
                <w:color w:val="auto"/>
                <w:sz w:val="24"/>
                <w:szCs w:val="24"/>
                <w:lang w:val="zh-CN" w:eastAsia="zh-CN" w:bidi="zh-CN"/>
              </w:rPr>
              <w:t>废机油</w:t>
            </w:r>
            <w:bookmarkEnd w:id="16"/>
            <w:bookmarkEnd w:id="17"/>
            <w:bookmarkEnd w:id="18"/>
          </w:p>
          <w:p w14:paraId="025A5ED4">
            <w:pPr>
              <w:pStyle w:val="96"/>
              <w:widowControl/>
              <w:spacing w:line="520" w:lineRule="exact"/>
              <w:ind w:firstLine="480" w:firstLineChars="200"/>
              <w:rPr>
                <w:rFonts w:hint="default" w:ascii="Times New Roman" w:hAnsi="Times New Roman" w:cs="Times New Roman"/>
                <w:color w:val="auto"/>
                <w:sz w:val="24"/>
              </w:rPr>
            </w:pPr>
            <w:bookmarkStart w:id="19" w:name="bookmark160"/>
            <w:bookmarkStart w:id="20" w:name="bookmark159"/>
            <w:bookmarkStart w:id="21" w:name="bookmark161"/>
            <w:r>
              <w:rPr>
                <w:rFonts w:hint="default" w:ascii="Times New Roman" w:hAnsi="Times New Roman" w:cs="Times New Roman"/>
                <w:color w:val="auto"/>
                <w:sz w:val="24"/>
              </w:rPr>
              <w:t>项目</w:t>
            </w:r>
            <w:r>
              <w:rPr>
                <w:rFonts w:hint="default" w:ascii="Times New Roman" w:hAnsi="Times New Roman" w:eastAsia="宋体" w:cs="Times New Roman"/>
                <w:sz w:val="24"/>
                <w:szCs w:val="24"/>
              </w:rPr>
              <w:t>注塑机、混</w:t>
            </w:r>
            <w:r>
              <w:rPr>
                <w:rFonts w:hint="eastAsia" w:ascii="Times New Roman" w:hAnsi="Times New Roman" w:eastAsia="宋体" w:cs="Times New Roman"/>
                <w:sz w:val="24"/>
                <w:szCs w:val="24"/>
                <w:lang w:val="en-US" w:eastAsia="zh-CN"/>
              </w:rPr>
              <w:t>合</w:t>
            </w:r>
            <w:r>
              <w:rPr>
                <w:rFonts w:hint="default" w:ascii="Times New Roman" w:hAnsi="Times New Roman" w:eastAsia="宋体" w:cs="Times New Roman"/>
                <w:sz w:val="24"/>
                <w:szCs w:val="24"/>
              </w:rPr>
              <w:t>机、粉碎机定期设备检修保养产生废机油</w:t>
            </w:r>
            <w:r>
              <w:rPr>
                <w:rFonts w:hint="default" w:ascii="Times New Roman" w:hAnsi="Times New Roman" w:cs="Times New Roman"/>
                <w:color w:val="auto"/>
                <w:sz w:val="24"/>
                <w:lang w:val="en-US"/>
              </w:rPr>
              <w:t>，年产生量约为0.02t</w:t>
            </w:r>
            <w:r>
              <w:rPr>
                <w:rFonts w:hint="default" w:ascii="Times New Roman" w:hAnsi="Times New Roman" w:cs="Times New Roman"/>
                <w:color w:val="auto"/>
                <w:szCs w:val="21"/>
                <w:lang w:val="en-US" w:eastAsia="en-US"/>
              </w:rPr>
              <w:t>。</w:t>
            </w:r>
            <w:r>
              <w:rPr>
                <w:rFonts w:hint="default" w:ascii="Times New Roman" w:hAnsi="Times New Roman" w:cs="Times New Roman"/>
                <w:color w:val="auto"/>
                <w:sz w:val="24"/>
              </w:rPr>
              <w:t>废机油属于《国家危险废物名录》（202</w:t>
            </w:r>
            <w:r>
              <w:rPr>
                <w:rFonts w:hint="default" w:ascii="Times New Roman" w:hAnsi="Times New Roman" w:cs="Times New Roman"/>
                <w:color w:val="auto"/>
                <w:sz w:val="24"/>
                <w:lang w:val="en-US"/>
              </w:rPr>
              <w:t>5</w:t>
            </w:r>
            <w:r>
              <w:rPr>
                <w:rFonts w:hint="default" w:ascii="Times New Roman" w:hAnsi="Times New Roman" w:cs="Times New Roman"/>
                <w:color w:val="auto"/>
                <w:sz w:val="24"/>
              </w:rPr>
              <w:t>年版）中的废物类别：</w:t>
            </w:r>
            <w:r>
              <w:rPr>
                <w:rFonts w:hint="default" w:ascii="Times New Roman" w:hAnsi="Times New Roman" w:cs="Times New Roman"/>
                <w:color w:val="auto"/>
                <w:sz w:val="24"/>
                <w:lang w:val="en-US" w:eastAsia="en-US"/>
              </w:rPr>
              <w:t>HW08</w:t>
            </w:r>
            <w:r>
              <w:rPr>
                <w:rFonts w:hint="default" w:ascii="Times New Roman" w:hAnsi="Times New Roman" w:cs="Times New Roman"/>
                <w:color w:val="auto"/>
                <w:sz w:val="24"/>
              </w:rPr>
              <w:t>，危废代码为</w:t>
            </w:r>
            <w:r>
              <w:rPr>
                <w:rFonts w:hint="default" w:ascii="Times New Roman" w:hAnsi="Times New Roman" w:cs="Times New Roman"/>
                <w:color w:val="auto"/>
                <w:sz w:val="24"/>
                <w:lang w:val="en-US"/>
              </w:rPr>
              <w:t>9</w:t>
            </w:r>
            <w:r>
              <w:rPr>
                <w:rFonts w:hint="default" w:ascii="Times New Roman" w:hAnsi="Times New Roman" w:cs="Times New Roman"/>
                <w:color w:val="auto"/>
                <w:sz w:val="24"/>
                <w:lang w:val="en-US" w:eastAsia="en-US"/>
              </w:rPr>
              <w:t>00-2</w:t>
            </w:r>
            <w:r>
              <w:rPr>
                <w:rFonts w:hint="default" w:ascii="Times New Roman" w:hAnsi="Times New Roman" w:cs="Times New Roman"/>
                <w:color w:val="auto"/>
                <w:sz w:val="24"/>
                <w:lang w:val="en-US"/>
              </w:rPr>
              <w:t>14</w:t>
            </w:r>
            <w:r>
              <w:rPr>
                <w:rFonts w:hint="default" w:ascii="Times New Roman" w:hAnsi="Times New Roman" w:cs="Times New Roman"/>
                <w:color w:val="auto"/>
                <w:sz w:val="24"/>
                <w:lang w:val="en-US" w:eastAsia="en-US"/>
              </w:rPr>
              <w:t>-08，</w:t>
            </w:r>
            <w:r>
              <w:rPr>
                <w:rFonts w:hint="default" w:ascii="Times New Roman" w:hAnsi="Times New Roman" w:cs="Times New Roman"/>
                <w:color w:val="auto"/>
                <w:sz w:val="24"/>
              </w:rPr>
              <w:t>经收集后</w:t>
            </w:r>
            <w:r>
              <w:rPr>
                <w:rFonts w:hint="default" w:ascii="Times New Roman" w:hAnsi="Times New Roman" w:cs="Times New Roman"/>
                <w:color w:val="auto"/>
                <w:sz w:val="24"/>
                <w:lang w:val="en-US"/>
              </w:rPr>
              <w:t>交由有</w:t>
            </w:r>
            <w:r>
              <w:rPr>
                <w:rFonts w:hint="default" w:ascii="Times New Roman" w:hAnsi="Times New Roman" w:cs="Times New Roman"/>
                <w:color w:val="auto"/>
                <w:sz w:val="24"/>
              </w:rPr>
              <w:t>危废资质单位处理。</w:t>
            </w:r>
            <w:bookmarkEnd w:id="19"/>
            <w:bookmarkEnd w:id="20"/>
            <w:bookmarkEnd w:id="21"/>
          </w:p>
          <w:p w14:paraId="326BE633">
            <w:pPr>
              <w:pStyle w:val="143"/>
              <w:keepNext/>
              <w:keepLines/>
              <w:shd w:val="clear" w:color="auto" w:fill="auto"/>
              <w:spacing w:line="520" w:lineRule="exact"/>
              <w:ind w:firstLine="480" w:firstLineChars="200"/>
              <w:jc w:val="both"/>
              <w:rPr>
                <w:rFonts w:hint="default" w:ascii="Times New Roman" w:hAnsi="Times New Roman" w:cs="Times New Roman"/>
                <w:color w:val="auto"/>
                <w:sz w:val="24"/>
                <w:szCs w:val="24"/>
                <w:lang w:val="en-US" w:eastAsia="zh-CN" w:bidi="zh-CN"/>
              </w:rPr>
            </w:pPr>
            <w:r>
              <w:rPr>
                <w:rFonts w:hint="default" w:ascii="Times New Roman" w:hAnsi="Times New Roman" w:cs="Times New Roman"/>
                <w:color w:val="auto"/>
                <w:sz w:val="24"/>
                <w:szCs w:val="24"/>
                <w:lang w:val="en-US" w:eastAsia="zh-CN" w:bidi="zh-CN"/>
              </w:rPr>
              <w:t>2）废活性炭</w:t>
            </w:r>
          </w:p>
          <w:p w14:paraId="3C755B22">
            <w:pPr>
              <w:pStyle w:val="143"/>
              <w:keepNext/>
              <w:keepLines/>
              <w:shd w:val="clear" w:color="auto" w:fill="auto"/>
              <w:spacing w:line="520" w:lineRule="exact"/>
              <w:ind w:firstLine="480" w:firstLineChars="200"/>
              <w:jc w:val="both"/>
              <w:rPr>
                <w:rFonts w:hint="default" w:ascii="Times New Roman" w:hAnsi="Times New Roman" w:cs="Times New Roman"/>
                <w:color w:val="auto"/>
                <w:sz w:val="24"/>
                <w:szCs w:val="24"/>
                <w:lang w:val="en-US" w:eastAsia="zh-CN" w:bidi="zh-CN"/>
              </w:rPr>
            </w:pPr>
            <w:r>
              <w:rPr>
                <w:rFonts w:hint="default" w:ascii="Times New Roman" w:hAnsi="Times New Roman" w:cs="Times New Roman"/>
                <w:color w:val="auto"/>
                <w:sz w:val="24"/>
                <w:szCs w:val="24"/>
                <w:lang w:val="en-US" w:eastAsia="zh-CN" w:bidi="zh-CN"/>
              </w:rPr>
              <w:t>参考文献《活性炭纤维在挥发性有机废气处理中应用》（杨芬、刘品华，曲靖师范学院学报，第22卷第6期，2003年11月）资料并结合同类型企业实际运行情况，每公斤活性炭可吸附0.22-0.25kg的有机废气，本次环评取每公斤活性炭吸附量为0.22kg，项目吸附废气53.724kg（0.242*0.8*0.2775*1000）。则废活性炭产生量为0.2442t。</w:t>
            </w:r>
          </w:p>
          <w:p w14:paraId="38D57750">
            <w:pPr>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表4-1</w:t>
            </w:r>
            <w:r>
              <w:rPr>
                <w:rFonts w:hint="default" w:ascii="Times New Roman" w:hAnsi="Times New Roman" w:cs="Times New Roman"/>
                <w:b/>
                <w:bCs/>
                <w:color w:val="auto"/>
                <w:szCs w:val="21"/>
                <w:lang w:val="en-US" w:eastAsia="zh-CN"/>
              </w:rPr>
              <w:t>1</w:t>
            </w:r>
            <w:r>
              <w:rPr>
                <w:rFonts w:hint="default" w:ascii="Times New Roman" w:hAnsi="Times New Roman" w:cs="Times New Roman"/>
                <w:b/>
                <w:bCs/>
                <w:color w:val="auto"/>
                <w:szCs w:val="21"/>
              </w:rPr>
              <w:t xml:space="preserve"> 危险废物一览表</w:t>
            </w:r>
          </w:p>
          <w:tbl>
            <w:tblPr>
              <w:tblStyle w:val="38"/>
              <w:tblW w:w="4996"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409"/>
              <w:gridCol w:w="658"/>
              <w:gridCol w:w="652"/>
              <w:gridCol w:w="857"/>
              <w:gridCol w:w="713"/>
              <w:gridCol w:w="704"/>
              <w:gridCol w:w="486"/>
              <w:gridCol w:w="862"/>
              <w:gridCol w:w="628"/>
              <w:gridCol w:w="507"/>
              <w:gridCol w:w="567"/>
              <w:gridCol w:w="1109"/>
            </w:tblGrid>
            <w:tr w14:paraId="0F88A1A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021" w:hRule="atLeast"/>
                <w:jc w:val="center"/>
              </w:trPr>
              <w:tc>
                <w:tcPr>
                  <w:tcW w:w="250" w:type="pct"/>
                  <w:tcBorders>
                    <w:tl2br w:val="nil"/>
                    <w:tr2bl w:val="nil"/>
                  </w:tcBorders>
                  <w:noWrap w:val="0"/>
                  <w:vAlign w:val="center"/>
                </w:tcPr>
                <w:p w14:paraId="6E1E0F68">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序号</w:t>
                  </w:r>
                </w:p>
              </w:tc>
              <w:tc>
                <w:tcPr>
                  <w:tcW w:w="403" w:type="pct"/>
                  <w:tcBorders>
                    <w:tl2br w:val="nil"/>
                    <w:tr2bl w:val="nil"/>
                  </w:tcBorders>
                  <w:noWrap w:val="0"/>
                  <w:vAlign w:val="center"/>
                </w:tcPr>
                <w:p w14:paraId="7C373496">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危险废物名称</w:t>
                  </w:r>
                </w:p>
              </w:tc>
              <w:tc>
                <w:tcPr>
                  <w:tcW w:w="399" w:type="pct"/>
                  <w:tcBorders>
                    <w:tl2br w:val="nil"/>
                    <w:tr2bl w:val="nil"/>
                  </w:tcBorders>
                  <w:noWrap w:val="0"/>
                  <w:vAlign w:val="center"/>
                </w:tcPr>
                <w:p w14:paraId="0B3761DA">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危险废物类别</w:t>
                  </w:r>
                </w:p>
              </w:tc>
              <w:tc>
                <w:tcPr>
                  <w:tcW w:w="525" w:type="pct"/>
                  <w:tcBorders>
                    <w:tl2br w:val="nil"/>
                    <w:tr2bl w:val="nil"/>
                  </w:tcBorders>
                  <w:noWrap w:val="0"/>
                  <w:vAlign w:val="center"/>
                </w:tcPr>
                <w:p w14:paraId="1F07C5E4">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危险废物代码</w:t>
                  </w:r>
                </w:p>
              </w:tc>
              <w:tc>
                <w:tcPr>
                  <w:tcW w:w="437" w:type="pct"/>
                  <w:tcBorders>
                    <w:tl2br w:val="nil"/>
                    <w:tr2bl w:val="nil"/>
                  </w:tcBorders>
                  <w:noWrap w:val="0"/>
                  <w:vAlign w:val="center"/>
                </w:tcPr>
                <w:p w14:paraId="0D29DF6A">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产生量（吨/年）</w:t>
                  </w:r>
                </w:p>
              </w:tc>
              <w:tc>
                <w:tcPr>
                  <w:tcW w:w="431" w:type="pct"/>
                  <w:tcBorders>
                    <w:tl2br w:val="nil"/>
                    <w:tr2bl w:val="nil"/>
                  </w:tcBorders>
                  <w:noWrap w:val="0"/>
                  <w:vAlign w:val="center"/>
                </w:tcPr>
                <w:p w14:paraId="6EC5EF56">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产生工序及装置</w:t>
                  </w:r>
                </w:p>
              </w:tc>
              <w:tc>
                <w:tcPr>
                  <w:tcW w:w="298" w:type="pct"/>
                  <w:tcBorders>
                    <w:tl2br w:val="nil"/>
                    <w:tr2bl w:val="nil"/>
                  </w:tcBorders>
                  <w:noWrap w:val="0"/>
                  <w:vAlign w:val="center"/>
                </w:tcPr>
                <w:p w14:paraId="0A58B236">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形态</w:t>
                  </w:r>
                </w:p>
              </w:tc>
              <w:tc>
                <w:tcPr>
                  <w:tcW w:w="528" w:type="pct"/>
                  <w:tcBorders>
                    <w:tl2br w:val="nil"/>
                    <w:tr2bl w:val="nil"/>
                  </w:tcBorders>
                  <w:noWrap w:val="0"/>
                  <w:vAlign w:val="center"/>
                </w:tcPr>
                <w:p w14:paraId="148FEDF3">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主要成分</w:t>
                  </w:r>
                </w:p>
              </w:tc>
              <w:tc>
                <w:tcPr>
                  <w:tcW w:w="384" w:type="pct"/>
                  <w:tcBorders>
                    <w:tl2br w:val="nil"/>
                    <w:tr2bl w:val="nil"/>
                  </w:tcBorders>
                  <w:noWrap w:val="0"/>
                  <w:vAlign w:val="center"/>
                </w:tcPr>
                <w:p w14:paraId="44157D91">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有害成分</w:t>
                  </w:r>
                </w:p>
              </w:tc>
              <w:tc>
                <w:tcPr>
                  <w:tcW w:w="311" w:type="pct"/>
                  <w:tcBorders>
                    <w:tl2br w:val="nil"/>
                    <w:tr2bl w:val="nil"/>
                  </w:tcBorders>
                  <w:noWrap w:val="0"/>
                  <w:vAlign w:val="center"/>
                </w:tcPr>
                <w:p w14:paraId="2FA2B19C">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产废周期</w:t>
                  </w:r>
                </w:p>
              </w:tc>
              <w:tc>
                <w:tcPr>
                  <w:tcW w:w="347" w:type="pct"/>
                  <w:tcBorders>
                    <w:tl2br w:val="nil"/>
                    <w:tr2bl w:val="nil"/>
                  </w:tcBorders>
                  <w:noWrap w:val="0"/>
                  <w:vAlign w:val="center"/>
                </w:tcPr>
                <w:p w14:paraId="167219C1">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危险</w:t>
                  </w:r>
                </w:p>
                <w:p w14:paraId="4C7DF2CA">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特性</w:t>
                  </w:r>
                </w:p>
              </w:tc>
              <w:tc>
                <w:tcPr>
                  <w:tcW w:w="680" w:type="pct"/>
                  <w:tcBorders>
                    <w:tl2br w:val="nil"/>
                    <w:tr2bl w:val="nil"/>
                  </w:tcBorders>
                  <w:noWrap w:val="0"/>
                  <w:vAlign w:val="center"/>
                </w:tcPr>
                <w:p w14:paraId="4294D9C1">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污染防治措施</w:t>
                  </w:r>
                </w:p>
              </w:tc>
            </w:tr>
            <w:tr w14:paraId="3CAE648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250" w:type="pct"/>
                  <w:tcBorders>
                    <w:tl2br w:val="nil"/>
                    <w:tr2bl w:val="nil"/>
                  </w:tcBorders>
                  <w:noWrap w:val="0"/>
                  <w:vAlign w:val="center"/>
                </w:tcPr>
                <w:p w14:paraId="337EDB32">
                  <w:pPr>
                    <w:topLinePunct/>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1</w:t>
                  </w:r>
                </w:p>
              </w:tc>
              <w:tc>
                <w:tcPr>
                  <w:tcW w:w="403" w:type="pct"/>
                  <w:tcBorders>
                    <w:tl2br w:val="nil"/>
                    <w:tr2bl w:val="nil"/>
                  </w:tcBorders>
                  <w:noWrap w:val="0"/>
                  <w:vAlign w:val="center"/>
                </w:tcPr>
                <w:p w14:paraId="19F38FDD">
                  <w:pPr>
                    <w:topLinePunct/>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szCs w:val="21"/>
                    </w:rPr>
                    <w:t>废机油</w:t>
                  </w:r>
                </w:p>
              </w:tc>
              <w:tc>
                <w:tcPr>
                  <w:tcW w:w="399" w:type="pct"/>
                  <w:tcBorders>
                    <w:tl2br w:val="nil"/>
                    <w:tr2bl w:val="nil"/>
                  </w:tcBorders>
                  <w:noWrap w:val="0"/>
                  <w:vAlign w:val="center"/>
                </w:tcPr>
                <w:p w14:paraId="79F8EA78">
                  <w:pPr>
                    <w:topLinePunct/>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szCs w:val="21"/>
                      <w:lang w:eastAsia="en-US"/>
                    </w:rPr>
                    <w:t>HW08</w:t>
                  </w:r>
                </w:p>
              </w:tc>
              <w:tc>
                <w:tcPr>
                  <w:tcW w:w="525" w:type="pct"/>
                  <w:tcBorders>
                    <w:tl2br w:val="nil"/>
                    <w:tr2bl w:val="nil"/>
                  </w:tcBorders>
                  <w:noWrap w:val="0"/>
                  <w:vAlign w:val="center"/>
                </w:tcPr>
                <w:p w14:paraId="5272E27B">
                  <w:pPr>
                    <w:topLinePunct/>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szCs w:val="21"/>
                    </w:rPr>
                    <w:t>900-214-08</w:t>
                  </w:r>
                </w:p>
              </w:tc>
              <w:tc>
                <w:tcPr>
                  <w:tcW w:w="437" w:type="pct"/>
                  <w:tcBorders>
                    <w:tl2br w:val="nil"/>
                    <w:tr2bl w:val="nil"/>
                  </w:tcBorders>
                  <w:noWrap w:val="0"/>
                  <w:vAlign w:val="center"/>
                </w:tcPr>
                <w:p w14:paraId="0F7429BF">
                  <w:pPr>
                    <w:topLinePunct/>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szCs w:val="21"/>
                    </w:rPr>
                    <w:t>0.02</w:t>
                  </w:r>
                </w:p>
              </w:tc>
              <w:tc>
                <w:tcPr>
                  <w:tcW w:w="431" w:type="pct"/>
                  <w:tcBorders>
                    <w:tl2br w:val="nil"/>
                    <w:tr2bl w:val="nil"/>
                  </w:tcBorders>
                  <w:noWrap w:val="0"/>
                  <w:vAlign w:val="center"/>
                </w:tcPr>
                <w:p w14:paraId="34893918">
                  <w:pPr>
                    <w:topLinePunct/>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szCs w:val="21"/>
                    </w:rPr>
                    <w:t>设备维修</w:t>
                  </w:r>
                </w:p>
              </w:tc>
              <w:tc>
                <w:tcPr>
                  <w:tcW w:w="298" w:type="pct"/>
                  <w:tcBorders>
                    <w:tl2br w:val="nil"/>
                    <w:tr2bl w:val="nil"/>
                  </w:tcBorders>
                  <w:noWrap w:val="0"/>
                  <w:vAlign w:val="center"/>
                </w:tcPr>
                <w:p w14:paraId="6A25533D">
                  <w:pPr>
                    <w:topLinePunct/>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液态</w:t>
                  </w:r>
                </w:p>
              </w:tc>
              <w:tc>
                <w:tcPr>
                  <w:tcW w:w="528" w:type="pct"/>
                  <w:tcBorders>
                    <w:tl2br w:val="nil"/>
                    <w:tr2bl w:val="nil"/>
                  </w:tcBorders>
                  <w:noWrap w:val="0"/>
                  <w:vAlign w:val="center"/>
                </w:tcPr>
                <w:p w14:paraId="2DD95B36">
                  <w:pPr>
                    <w:topLinePunct/>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基础油和各种添加剂</w:t>
                  </w:r>
                </w:p>
              </w:tc>
              <w:tc>
                <w:tcPr>
                  <w:tcW w:w="384" w:type="pct"/>
                  <w:tcBorders>
                    <w:tl2br w:val="nil"/>
                    <w:tr2bl w:val="nil"/>
                  </w:tcBorders>
                  <w:noWrap w:val="0"/>
                  <w:vAlign w:val="center"/>
                </w:tcPr>
                <w:p w14:paraId="7D248AC9">
                  <w:pPr>
                    <w:topLinePunct w:val="0"/>
                    <w:adjustRightInd/>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矿物油类</w:t>
                  </w:r>
                </w:p>
                <w:p w14:paraId="71B0E1E4">
                  <w:pPr>
                    <w:topLinePunct w:val="0"/>
                    <w:adjustRightInd/>
                    <w:snapToGrid w:val="0"/>
                    <w:jc w:val="center"/>
                    <w:rPr>
                      <w:rFonts w:hint="default" w:ascii="Times New Roman" w:hAnsi="Times New Roman" w:eastAsia="宋体" w:cs="Times New Roman"/>
                      <w:color w:val="auto"/>
                      <w:szCs w:val="21"/>
                      <w:highlight w:val="none"/>
                    </w:rPr>
                  </w:pPr>
                </w:p>
              </w:tc>
              <w:tc>
                <w:tcPr>
                  <w:tcW w:w="311" w:type="pct"/>
                  <w:tcBorders>
                    <w:tl2br w:val="nil"/>
                    <w:tr2bl w:val="nil"/>
                  </w:tcBorders>
                  <w:noWrap w:val="0"/>
                  <w:vAlign w:val="center"/>
                </w:tcPr>
                <w:p w14:paraId="7524CB9E">
                  <w:pPr>
                    <w:topLinePunct/>
                    <w:adjustRightInd w:val="0"/>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6个月</w:t>
                  </w:r>
                </w:p>
              </w:tc>
              <w:tc>
                <w:tcPr>
                  <w:tcW w:w="347" w:type="pct"/>
                  <w:tcBorders>
                    <w:tl2br w:val="nil"/>
                    <w:tr2bl w:val="nil"/>
                  </w:tcBorders>
                  <w:noWrap w:val="0"/>
                  <w:vAlign w:val="center"/>
                </w:tcPr>
                <w:p w14:paraId="1993BC8A">
                  <w:pPr>
                    <w:topLinePunct/>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szCs w:val="21"/>
                    </w:rPr>
                    <w:t>T，I</w:t>
                  </w:r>
                </w:p>
              </w:tc>
              <w:tc>
                <w:tcPr>
                  <w:tcW w:w="680" w:type="pct"/>
                  <w:vMerge w:val="restart"/>
                  <w:tcBorders>
                    <w:tl2br w:val="nil"/>
                    <w:tr2bl w:val="nil"/>
                  </w:tcBorders>
                  <w:noWrap w:val="0"/>
                  <w:vAlign w:val="center"/>
                </w:tcPr>
                <w:p w14:paraId="6E440976">
                  <w:pPr>
                    <w:topLinePunct/>
                    <w:adjustRightInd w:val="0"/>
                    <w:snapToGrid w:val="0"/>
                    <w:jc w:val="center"/>
                    <w:rPr>
                      <w:rFonts w:hint="default" w:ascii="Times New Roman" w:hAnsi="Times New Roman" w:eastAsia="宋体" w:cs="Times New Roman"/>
                      <w:color w:val="auto"/>
                      <w:kern w:val="0"/>
                      <w:szCs w:val="21"/>
                      <w:lang w:eastAsia="zh-CN"/>
                    </w:rPr>
                  </w:pPr>
                  <w:r>
                    <w:rPr>
                      <w:rFonts w:hint="default" w:ascii="Times New Roman" w:hAnsi="Times New Roman" w:cs="Times New Roman"/>
                      <w:color w:val="auto"/>
                      <w:szCs w:val="21"/>
                    </w:rPr>
                    <w:t>产生的危险废物分类、分区暂存于危废暂存间（按GB18597-2023中要求设置防雨、防渗、防漏，并设置了设置相应标识、警示标志和标签），定期交由有资质单</w:t>
                  </w:r>
                  <w:r>
                    <w:rPr>
                      <w:rFonts w:hint="default" w:ascii="Times New Roman" w:hAnsi="Times New Roman" w:eastAsia="宋体" w:cs="Times New Roman"/>
                      <w:color w:val="auto"/>
                      <w:szCs w:val="21"/>
                    </w:rPr>
                    <w:t>位处置</w:t>
                  </w:r>
                  <w:r>
                    <w:rPr>
                      <w:rFonts w:hint="default" w:ascii="Times New Roman" w:hAnsi="Times New Roman" w:eastAsia="宋体" w:cs="Times New Roman"/>
                      <w:color w:val="auto"/>
                      <w:szCs w:val="21"/>
                      <w:lang w:eastAsia="zh-CN"/>
                    </w:rPr>
                    <w:t>，</w:t>
                  </w:r>
                  <w:r>
                    <w:rPr>
                      <w:rFonts w:hint="default" w:ascii="Times New Roman" w:hAnsi="Times New Roman" w:eastAsia="宋体" w:cs="Times New Roman"/>
                      <w:color w:val="auto"/>
                      <w:szCs w:val="21"/>
                    </w:rPr>
                    <w:t>按期办理危废转移联单</w:t>
                  </w:r>
                </w:p>
              </w:tc>
            </w:tr>
            <w:tr w14:paraId="7FAFDE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408" w:type="dxa"/>
                  <w:tcBorders>
                    <w:tl2br w:val="nil"/>
                    <w:tr2bl w:val="nil"/>
                  </w:tcBorders>
                  <w:noWrap w:val="0"/>
                  <w:vAlign w:val="center"/>
                </w:tcPr>
                <w:p w14:paraId="59B40442">
                  <w:pPr>
                    <w:snapToGrid w:val="0"/>
                    <w:jc w:val="center"/>
                    <w:rPr>
                      <w:rFonts w:hint="default" w:ascii="Times New Roman" w:hAnsi="Times New Roman" w:cs="Times New Roman"/>
                      <w:color w:val="auto"/>
                      <w:kern w:val="0"/>
                      <w:szCs w:val="21"/>
                    </w:rPr>
                  </w:pPr>
                  <w:r>
                    <w:rPr>
                      <w:rFonts w:hint="default" w:ascii="Times New Roman" w:hAnsi="Times New Roman" w:eastAsia="宋体" w:cs="Times New Roman"/>
                      <w:szCs w:val="21"/>
                      <w:highlight w:val="none"/>
                      <w:lang w:val="en-US" w:eastAsia="zh-CN"/>
                    </w:rPr>
                    <w:t>2</w:t>
                  </w:r>
                </w:p>
              </w:tc>
              <w:tc>
                <w:tcPr>
                  <w:tcW w:w="656" w:type="dxa"/>
                  <w:tcBorders>
                    <w:tl2br w:val="nil"/>
                    <w:tr2bl w:val="nil"/>
                  </w:tcBorders>
                  <w:noWrap w:val="0"/>
                  <w:vAlign w:val="center"/>
                </w:tcPr>
                <w:p w14:paraId="6BEF5C35">
                  <w:pPr>
                    <w:snapToGrid w:val="0"/>
                    <w:jc w:val="center"/>
                    <w:rPr>
                      <w:rFonts w:hint="default" w:ascii="Times New Roman" w:hAnsi="Times New Roman" w:cs="Times New Roman"/>
                      <w:color w:val="auto"/>
                      <w:szCs w:val="21"/>
                    </w:rPr>
                  </w:pPr>
                  <w:r>
                    <w:rPr>
                      <w:rFonts w:hint="default" w:ascii="Times New Roman" w:hAnsi="Times New Roman" w:eastAsia="宋体" w:cs="Times New Roman"/>
                      <w:szCs w:val="21"/>
                      <w:highlight w:val="none"/>
                    </w:rPr>
                    <w:t>废活性炭</w:t>
                  </w:r>
                </w:p>
              </w:tc>
              <w:tc>
                <w:tcPr>
                  <w:tcW w:w="650" w:type="dxa"/>
                  <w:tcBorders>
                    <w:tl2br w:val="nil"/>
                    <w:tr2bl w:val="nil"/>
                  </w:tcBorders>
                  <w:noWrap w:val="0"/>
                  <w:vAlign w:val="center"/>
                </w:tcPr>
                <w:p w14:paraId="389D2354">
                  <w:pPr>
                    <w:snapToGrid w:val="0"/>
                    <w:jc w:val="center"/>
                    <w:rPr>
                      <w:rFonts w:hint="default" w:ascii="Times New Roman" w:hAnsi="Times New Roman" w:cs="Times New Roman"/>
                      <w:color w:val="auto"/>
                      <w:szCs w:val="21"/>
                      <w:lang w:eastAsia="en-US"/>
                    </w:rPr>
                  </w:pPr>
                  <w:r>
                    <w:rPr>
                      <w:rFonts w:hint="default" w:ascii="Times New Roman" w:hAnsi="Times New Roman" w:eastAsia="宋体" w:cs="Times New Roman"/>
                      <w:szCs w:val="21"/>
                      <w:highlight w:val="none"/>
                    </w:rPr>
                    <w:t>HW49</w:t>
                  </w:r>
                </w:p>
              </w:tc>
              <w:tc>
                <w:tcPr>
                  <w:tcW w:w="855" w:type="dxa"/>
                  <w:tcBorders>
                    <w:tl2br w:val="nil"/>
                    <w:tr2bl w:val="nil"/>
                  </w:tcBorders>
                  <w:noWrap w:val="0"/>
                  <w:vAlign w:val="center"/>
                </w:tcPr>
                <w:p w14:paraId="73185943">
                  <w:pPr>
                    <w:snapToGrid w:val="0"/>
                    <w:jc w:val="center"/>
                    <w:rPr>
                      <w:rFonts w:hint="default" w:ascii="Times New Roman" w:hAnsi="Times New Roman" w:cs="Times New Roman"/>
                      <w:color w:val="auto"/>
                      <w:szCs w:val="21"/>
                    </w:rPr>
                  </w:pPr>
                  <w:r>
                    <w:rPr>
                      <w:rFonts w:hint="default" w:ascii="Times New Roman" w:hAnsi="Times New Roman" w:eastAsia="宋体" w:cs="Times New Roman"/>
                      <w:szCs w:val="21"/>
                      <w:highlight w:val="none"/>
                    </w:rPr>
                    <w:t>900-039-49</w:t>
                  </w:r>
                </w:p>
              </w:tc>
              <w:tc>
                <w:tcPr>
                  <w:tcW w:w="711" w:type="dxa"/>
                  <w:tcBorders>
                    <w:tl2br w:val="nil"/>
                    <w:tr2bl w:val="nil"/>
                  </w:tcBorders>
                  <w:noWrap w:val="0"/>
                  <w:vAlign w:val="center"/>
                </w:tcPr>
                <w:p w14:paraId="4E519D8A">
                  <w:pPr>
                    <w:snapToGrid w:val="0"/>
                    <w:jc w:val="center"/>
                    <w:rPr>
                      <w:rFonts w:hint="default" w:ascii="Times New Roman" w:hAnsi="Times New Roman" w:cs="Times New Roman"/>
                      <w:color w:val="auto"/>
                      <w:szCs w:val="21"/>
                      <w:lang w:val="en-US"/>
                    </w:rPr>
                  </w:pPr>
                  <w:r>
                    <w:rPr>
                      <w:rFonts w:hint="default" w:ascii="Times New Roman" w:hAnsi="Times New Roman" w:cs="Times New Roman"/>
                      <w:szCs w:val="21"/>
                      <w:highlight w:val="none"/>
                      <w:lang w:val="en-US" w:eastAsia="zh-CN"/>
                    </w:rPr>
                    <w:t>0.2442</w:t>
                  </w:r>
                </w:p>
              </w:tc>
              <w:tc>
                <w:tcPr>
                  <w:tcW w:w="702" w:type="dxa"/>
                  <w:tcBorders>
                    <w:tl2br w:val="nil"/>
                    <w:tr2bl w:val="nil"/>
                  </w:tcBorders>
                  <w:noWrap w:val="0"/>
                  <w:vAlign w:val="center"/>
                </w:tcPr>
                <w:p w14:paraId="5AB1F5FE">
                  <w:pPr>
                    <w:snapToGrid w:val="0"/>
                    <w:jc w:val="center"/>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废气处理</w:t>
                  </w:r>
                </w:p>
                <w:p w14:paraId="5E5BE9DE">
                  <w:pPr>
                    <w:snapToGrid w:val="0"/>
                    <w:jc w:val="center"/>
                    <w:rPr>
                      <w:rFonts w:hint="default" w:ascii="Times New Roman" w:hAnsi="Times New Roman" w:cs="Times New Roman"/>
                      <w:color w:val="auto"/>
                      <w:szCs w:val="21"/>
                    </w:rPr>
                  </w:pPr>
                  <w:r>
                    <w:rPr>
                      <w:rFonts w:hint="default" w:ascii="Times New Roman" w:hAnsi="Times New Roman" w:eastAsia="宋体" w:cs="Times New Roman"/>
                      <w:szCs w:val="21"/>
                      <w:highlight w:val="none"/>
                    </w:rPr>
                    <w:t>设施</w:t>
                  </w:r>
                </w:p>
              </w:tc>
              <w:tc>
                <w:tcPr>
                  <w:tcW w:w="485" w:type="dxa"/>
                  <w:tcBorders>
                    <w:tl2br w:val="nil"/>
                    <w:tr2bl w:val="nil"/>
                  </w:tcBorders>
                  <w:noWrap w:val="0"/>
                  <w:vAlign w:val="center"/>
                </w:tcPr>
                <w:p w14:paraId="5C8BB9B8">
                  <w:pPr>
                    <w:snapToGrid w:val="0"/>
                    <w:jc w:val="center"/>
                    <w:rPr>
                      <w:rFonts w:hint="default" w:ascii="Times New Roman" w:hAnsi="Times New Roman" w:cs="Times New Roman"/>
                      <w:color w:val="auto"/>
                      <w:kern w:val="0"/>
                      <w:szCs w:val="21"/>
                    </w:rPr>
                  </w:pPr>
                  <w:r>
                    <w:rPr>
                      <w:rFonts w:hint="default" w:ascii="Times New Roman" w:hAnsi="Times New Roman" w:eastAsia="宋体" w:cs="Times New Roman"/>
                      <w:szCs w:val="21"/>
                      <w:highlight w:val="none"/>
                    </w:rPr>
                    <w:t>固态</w:t>
                  </w:r>
                </w:p>
              </w:tc>
              <w:tc>
                <w:tcPr>
                  <w:tcW w:w="860" w:type="dxa"/>
                  <w:tcBorders>
                    <w:tl2br w:val="nil"/>
                    <w:tr2bl w:val="nil"/>
                  </w:tcBorders>
                  <w:noWrap w:val="0"/>
                  <w:vAlign w:val="center"/>
                </w:tcPr>
                <w:p w14:paraId="37E39CCD">
                  <w:pPr>
                    <w:snapToGrid w:val="0"/>
                    <w:jc w:val="center"/>
                    <w:rPr>
                      <w:rFonts w:hint="default" w:ascii="Times New Roman" w:hAnsi="Times New Roman" w:eastAsia="宋体" w:cs="Times New Roman"/>
                      <w:szCs w:val="21"/>
                      <w:highlight w:val="none"/>
                    </w:rPr>
                  </w:pPr>
                  <w:r>
                    <w:rPr>
                      <w:rFonts w:hint="default" w:ascii="Times New Roman" w:hAnsi="Times New Roman" w:eastAsia="宋体" w:cs="Times New Roman"/>
                      <w:szCs w:val="21"/>
                      <w:highlight w:val="none"/>
                    </w:rPr>
                    <w:t>活性炭、非</w:t>
                  </w:r>
                </w:p>
                <w:p w14:paraId="243597FE">
                  <w:pPr>
                    <w:snapToGrid w:val="0"/>
                    <w:jc w:val="center"/>
                    <w:rPr>
                      <w:rFonts w:hint="default" w:ascii="Times New Roman" w:hAnsi="Times New Roman" w:eastAsia="宋体" w:cs="Times New Roman"/>
                      <w:color w:val="auto"/>
                      <w:szCs w:val="21"/>
                    </w:rPr>
                  </w:pPr>
                  <w:r>
                    <w:rPr>
                      <w:rFonts w:hint="default" w:ascii="Times New Roman" w:hAnsi="Times New Roman" w:eastAsia="宋体" w:cs="Times New Roman"/>
                      <w:szCs w:val="21"/>
                      <w:highlight w:val="none"/>
                    </w:rPr>
                    <w:t>甲烷总烃</w:t>
                  </w:r>
                </w:p>
              </w:tc>
              <w:tc>
                <w:tcPr>
                  <w:tcW w:w="626" w:type="dxa"/>
                  <w:tcBorders>
                    <w:tl2br w:val="nil"/>
                    <w:tr2bl w:val="nil"/>
                  </w:tcBorders>
                  <w:noWrap w:val="0"/>
                  <w:vAlign w:val="center"/>
                </w:tcPr>
                <w:p w14:paraId="55A75793">
                  <w:pPr>
                    <w:snapToGrid w:val="0"/>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sz w:val="21"/>
                      <w:szCs w:val="21"/>
                      <w:highlight w:val="none"/>
                    </w:rPr>
                    <w:t>挥发性有机物</w:t>
                  </w:r>
                </w:p>
              </w:tc>
              <w:tc>
                <w:tcPr>
                  <w:tcW w:w="506" w:type="dxa"/>
                  <w:tcBorders>
                    <w:tl2br w:val="nil"/>
                    <w:tr2bl w:val="nil"/>
                  </w:tcBorders>
                  <w:noWrap w:val="0"/>
                  <w:vAlign w:val="center"/>
                </w:tcPr>
                <w:p w14:paraId="1ECBC049">
                  <w:pPr>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w:t>
                  </w:r>
                </w:p>
              </w:tc>
              <w:tc>
                <w:tcPr>
                  <w:tcW w:w="565" w:type="dxa"/>
                  <w:tcBorders>
                    <w:tl2br w:val="nil"/>
                    <w:tr2bl w:val="nil"/>
                  </w:tcBorders>
                  <w:noWrap w:val="0"/>
                  <w:vAlign w:val="center"/>
                </w:tcPr>
                <w:p w14:paraId="508C35BD">
                  <w:pPr>
                    <w:snapToGrid w:val="0"/>
                    <w:jc w:val="center"/>
                    <w:rPr>
                      <w:rFonts w:hint="default" w:ascii="Times New Roman" w:hAnsi="Times New Roman" w:cs="Times New Roman"/>
                      <w:color w:val="auto"/>
                      <w:szCs w:val="21"/>
                    </w:rPr>
                  </w:pPr>
                  <w:r>
                    <w:rPr>
                      <w:rFonts w:hint="default" w:ascii="Times New Roman" w:hAnsi="Times New Roman" w:eastAsia="宋体" w:cs="Times New Roman"/>
                      <w:szCs w:val="21"/>
                      <w:highlight w:val="none"/>
                    </w:rPr>
                    <w:t>T</w:t>
                  </w:r>
                </w:p>
              </w:tc>
              <w:tc>
                <w:tcPr>
                  <w:tcW w:w="680" w:type="pct"/>
                  <w:vMerge w:val="continue"/>
                  <w:tcBorders>
                    <w:tl2br w:val="nil"/>
                    <w:tr2bl w:val="nil"/>
                  </w:tcBorders>
                  <w:noWrap w:val="0"/>
                  <w:vAlign w:val="center"/>
                </w:tcPr>
                <w:p w14:paraId="164CE2F9">
                  <w:pPr>
                    <w:topLinePunct/>
                    <w:adjustRightInd w:val="0"/>
                    <w:snapToGrid w:val="0"/>
                    <w:jc w:val="center"/>
                    <w:rPr>
                      <w:rFonts w:hint="default" w:ascii="Times New Roman" w:hAnsi="Times New Roman" w:cs="Times New Roman"/>
                      <w:color w:val="auto"/>
                      <w:szCs w:val="21"/>
                    </w:rPr>
                  </w:pPr>
                </w:p>
              </w:tc>
            </w:tr>
          </w:tbl>
          <w:p w14:paraId="17F4563B">
            <w:pPr>
              <w:jc w:val="center"/>
              <w:rPr>
                <w:rFonts w:hint="default" w:ascii="Times New Roman" w:hAnsi="Times New Roman" w:cs="Times New Roman"/>
                <w:b/>
                <w:bCs/>
                <w:color w:val="auto"/>
                <w:szCs w:val="21"/>
              </w:rPr>
            </w:pPr>
          </w:p>
          <w:p w14:paraId="150B6B7F">
            <w:pPr>
              <w:jc w:val="center"/>
              <w:rPr>
                <w:rFonts w:hint="default" w:ascii="Times New Roman" w:hAnsi="Times New Roman" w:cs="Times New Roman"/>
                <w:b/>
                <w:bCs/>
                <w:color w:val="auto"/>
                <w:szCs w:val="21"/>
              </w:rPr>
            </w:pPr>
          </w:p>
          <w:p w14:paraId="2ED7063E">
            <w:pPr>
              <w:jc w:val="center"/>
              <w:rPr>
                <w:rFonts w:hint="default" w:ascii="Times New Roman" w:hAnsi="Times New Roman" w:cs="Times New Roman"/>
                <w:b/>
                <w:bCs/>
                <w:color w:val="auto"/>
                <w:szCs w:val="21"/>
              </w:rPr>
            </w:pPr>
            <w:r>
              <w:rPr>
                <w:rFonts w:hint="default" w:ascii="Times New Roman" w:hAnsi="Times New Roman" w:cs="Times New Roman"/>
                <w:b/>
                <w:bCs/>
                <w:color w:val="auto"/>
                <w:szCs w:val="21"/>
              </w:rPr>
              <w:t>表4-1</w:t>
            </w:r>
            <w:r>
              <w:rPr>
                <w:rFonts w:hint="default" w:ascii="Times New Roman" w:hAnsi="Times New Roman" w:cs="Times New Roman"/>
                <w:b/>
                <w:bCs/>
                <w:color w:val="auto"/>
                <w:szCs w:val="21"/>
                <w:lang w:val="en-US" w:eastAsia="zh-CN"/>
              </w:rPr>
              <w:t>2</w:t>
            </w:r>
            <w:r>
              <w:rPr>
                <w:rFonts w:hint="default" w:ascii="Times New Roman" w:hAnsi="Times New Roman" w:cs="Times New Roman"/>
                <w:b/>
                <w:bCs/>
                <w:color w:val="auto"/>
                <w:szCs w:val="21"/>
              </w:rPr>
              <w:t xml:space="preserve">  危险废物贮存场所（设施）基本情况一览表</w:t>
            </w:r>
          </w:p>
          <w:tbl>
            <w:tblPr>
              <w:tblStyle w:val="38"/>
              <w:tblW w:w="8183" w:type="dxa"/>
              <w:tblInd w:w="-5"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469"/>
              <w:gridCol w:w="1050"/>
              <w:gridCol w:w="1047"/>
              <w:gridCol w:w="1037"/>
              <w:gridCol w:w="778"/>
              <w:gridCol w:w="691"/>
              <w:gridCol w:w="613"/>
              <w:gridCol w:w="837"/>
              <w:gridCol w:w="766"/>
              <w:gridCol w:w="895"/>
            </w:tblGrid>
            <w:tr w14:paraId="110F0C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64" w:hRule="atLeast"/>
              </w:trPr>
              <w:tc>
                <w:tcPr>
                  <w:tcW w:w="286" w:type="pct"/>
                  <w:tcBorders>
                    <w:tl2br w:val="nil"/>
                    <w:tr2bl w:val="nil"/>
                  </w:tcBorders>
                  <w:noWrap w:val="0"/>
                  <w:vAlign w:val="center"/>
                </w:tcPr>
                <w:p w14:paraId="3AABE273">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序号</w:t>
                  </w:r>
                </w:p>
              </w:tc>
              <w:tc>
                <w:tcPr>
                  <w:tcW w:w="641" w:type="pct"/>
                  <w:tcBorders>
                    <w:tl2br w:val="nil"/>
                    <w:tr2bl w:val="nil"/>
                  </w:tcBorders>
                  <w:noWrap w:val="0"/>
                  <w:vAlign w:val="center"/>
                </w:tcPr>
                <w:p w14:paraId="63F705EB">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贮存场所（设施）</w:t>
                  </w:r>
                </w:p>
                <w:p w14:paraId="7FDE47FC">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名称</w:t>
                  </w:r>
                </w:p>
              </w:tc>
              <w:tc>
                <w:tcPr>
                  <w:tcW w:w="639" w:type="pct"/>
                  <w:tcBorders>
                    <w:tl2br w:val="nil"/>
                    <w:tr2bl w:val="nil"/>
                  </w:tcBorders>
                  <w:noWrap w:val="0"/>
                  <w:vAlign w:val="center"/>
                </w:tcPr>
                <w:p w14:paraId="7018E329">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危险废物名称</w:t>
                  </w:r>
                </w:p>
              </w:tc>
              <w:tc>
                <w:tcPr>
                  <w:tcW w:w="633" w:type="pct"/>
                  <w:tcBorders>
                    <w:tl2br w:val="nil"/>
                    <w:tr2bl w:val="nil"/>
                  </w:tcBorders>
                  <w:noWrap w:val="0"/>
                  <w:vAlign w:val="center"/>
                </w:tcPr>
                <w:p w14:paraId="38279893">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危险废物类别</w:t>
                  </w:r>
                </w:p>
              </w:tc>
              <w:tc>
                <w:tcPr>
                  <w:tcW w:w="475" w:type="pct"/>
                  <w:tcBorders>
                    <w:tl2br w:val="nil"/>
                    <w:tr2bl w:val="nil"/>
                  </w:tcBorders>
                  <w:noWrap w:val="0"/>
                  <w:vAlign w:val="center"/>
                </w:tcPr>
                <w:p w14:paraId="538A76B3">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危险废物代码</w:t>
                  </w:r>
                </w:p>
              </w:tc>
              <w:tc>
                <w:tcPr>
                  <w:tcW w:w="422" w:type="pct"/>
                  <w:tcBorders>
                    <w:tl2br w:val="nil"/>
                    <w:tr2bl w:val="nil"/>
                  </w:tcBorders>
                  <w:noWrap w:val="0"/>
                  <w:vAlign w:val="center"/>
                </w:tcPr>
                <w:p w14:paraId="73E95ECA">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位置</w:t>
                  </w:r>
                </w:p>
              </w:tc>
              <w:tc>
                <w:tcPr>
                  <w:tcW w:w="374" w:type="pct"/>
                  <w:tcBorders>
                    <w:tl2br w:val="nil"/>
                    <w:tr2bl w:val="nil"/>
                  </w:tcBorders>
                  <w:noWrap w:val="0"/>
                  <w:vAlign w:val="center"/>
                </w:tcPr>
                <w:p w14:paraId="74F55A08">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占地面积</w:t>
                  </w:r>
                </w:p>
              </w:tc>
              <w:tc>
                <w:tcPr>
                  <w:tcW w:w="511" w:type="pct"/>
                  <w:tcBorders>
                    <w:tl2br w:val="nil"/>
                    <w:tr2bl w:val="nil"/>
                  </w:tcBorders>
                  <w:noWrap w:val="0"/>
                  <w:vAlign w:val="center"/>
                </w:tcPr>
                <w:p w14:paraId="215DCCFE">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贮存方式</w:t>
                  </w:r>
                </w:p>
              </w:tc>
              <w:tc>
                <w:tcPr>
                  <w:tcW w:w="468" w:type="pct"/>
                  <w:tcBorders>
                    <w:tl2br w:val="nil"/>
                    <w:tr2bl w:val="nil"/>
                  </w:tcBorders>
                  <w:noWrap w:val="0"/>
                  <w:vAlign w:val="center"/>
                </w:tcPr>
                <w:p w14:paraId="2E3019A5">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贮存</w:t>
                  </w:r>
                </w:p>
                <w:p w14:paraId="6B47E959">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能力</w:t>
                  </w:r>
                </w:p>
              </w:tc>
              <w:tc>
                <w:tcPr>
                  <w:tcW w:w="546" w:type="pct"/>
                  <w:tcBorders>
                    <w:tl2br w:val="nil"/>
                    <w:tr2bl w:val="nil"/>
                  </w:tcBorders>
                  <w:noWrap w:val="0"/>
                  <w:vAlign w:val="center"/>
                </w:tcPr>
                <w:p w14:paraId="215DFDFB">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贮存</w:t>
                  </w:r>
                </w:p>
                <w:p w14:paraId="316974BF">
                  <w:pPr>
                    <w:pStyle w:val="141"/>
                    <w:ind w:firstLine="0" w:firstLineChars="0"/>
                    <w:jc w:val="center"/>
                    <w:rPr>
                      <w:rFonts w:hint="default" w:ascii="Times New Roman" w:hAnsi="Times New Roman" w:eastAsia="宋体" w:cs="Times New Roman"/>
                      <w:color w:val="auto"/>
                      <w:sz w:val="19"/>
                      <w:szCs w:val="19"/>
                      <w:lang w:val="en-US" w:eastAsia="zh-CN"/>
                    </w:rPr>
                  </w:pPr>
                  <w:r>
                    <w:rPr>
                      <w:rFonts w:hint="default" w:ascii="Times New Roman" w:hAnsi="Times New Roman" w:eastAsia="宋体" w:cs="Times New Roman"/>
                      <w:color w:val="auto"/>
                      <w:sz w:val="19"/>
                      <w:szCs w:val="19"/>
                      <w:lang w:val="en-US" w:eastAsia="zh-CN"/>
                    </w:rPr>
                    <w:t>周期</w:t>
                  </w:r>
                </w:p>
              </w:tc>
            </w:tr>
            <w:tr w14:paraId="4078BDD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286" w:type="pct"/>
                  <w:tcBorders>
                    <w:tl2br w:val="nil"/>
                    <w:tr2bl w:val="nil"/>
                  </w:tcBorders>
                  <w:noWrap w:val="0"/>
                  <w:vAlign w:val="center"/>
                </w:tcPr>
                <w:p w14:paraId="42FF2425">
                  <w:pPr>
                    <w:topLinePunct/>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1</w:t>
                  </w:r>
                </w:p>
              </w:tc>
              <w:tc>
                <w:tcPr>
                  <w:tcW w:w="641" w:type="pct"/>
                  <w:tcBorders>
                    <w:tl2br w:val="nil"/>
                    <w:tr2bl w:val="nil"/>
                  </w:tcBorders>
                  <w:noWrap w:val="0"/>
                  <w:vAlign w:val="center"/>
                </w:tcPr>
                <w:p w14:paraId="204E74E9">
                  <w:pPr>
                    <w:topLinePunct/>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危废暂存间</w:t>
                  </w:r>
                </w:p>
              </w:tc>
              <w:tc>
                <w:tcPr>
                  <w:tcW w:w="639" w:type="pct"/>
                  <w:tcBorders>
                    <w:tl2br w:val="nil"/>
                    <w:tr2bl w:val="nil"/>
                  </w:tcBorders>
                  <w:noWrap w:val="0"/>
                  <w:vAlign w:val="center"/>
                </w:tcPr>
                <w:p w14:paraId="11D036E4">
                  <w:pPr>
                    <w:topLinePunct/>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szCs w:val="21"/>
                    </w:rPr>
                    <w:t>废机油</w:t>
                  </w:r>
                </w:p>
              </w:tc>
              <w:tc>
                <w:tcPr>
                  <w:tcW w:w="633" w:type="pct"/>
                  <w:tcBorders>
                    <w:tl2br w:val="nil"/>
                    <w:tr2bl w:val="nil"/>
                  </w:tcBorders>
                  <w:noWrap w:val="0"/>
                  <w:vAlign w:val="center"/>
                </w:tcPr>
                <w:p w14:paraId="0F64CC1F">
                  <w:pPr>
                    <w:topLinePunct/>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szCs w:val="21"/>
                      <w:lang w:eastAsia="en-US"/>
                    </w:rPr>
                    <w:t>HW08</w:t>
                  </w:r>
                </w:p>
              </w:tc>
              <w:tc>
                <w:tcPr>
                  <w:tcW w:w="475" w:type="pct"/>
                  <w:tcBorders>
                    <w:tl2br w:val="nil"/>
                    <w:tr2bl w:val="nil"/>
                  </w:tcBorders>
                  <w:noWrap w:val="0"/>
                  <w:vAlign w:val="center"/>
                </w:tcPr>
                <w:p w14:paraId="47E80D84">
                  <w:pPr>
                    <w:topLinePunct/>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900-214-08</w:t>
                  </w:r>
                </w:p>
              </w:tc>
              <w:tc>
                <w:tcPr>
                  <w:tcW w:w="422" w:type="pct"/>
                  <w:vMerge w:val="restart"/>
                  <w:tcBorders>
                    <w:tl2br w:val="nil"/>
                    <w:tr2bl w:val="nil"/>
                  </w:tcBorders>
                  <w:noWrap w:val="0"/>
                  <w:vAlign w:val="center"/>
                </w:tcPr>
                <w:p w14:paraId="7CE17FC3">
                  <w:pPr>
                    <w:topLinePunct/>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厂房</w:t>
                  </w:r>
                </w:p>
                <w:p w14:paraId="339EB878">
                  <w:pPr>
                    <w:topLinePunct/>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危废暂存间</w:t>
                  </w:r>
                </w:p>
              </w:tc>
              <w:tc>
                <w:tcPr>
                  <w:tcW w:w="374" w:type="pct"/>
                  <w:vMerge w:val="restart"/>
                  <w:tcBorders>
                    <w:tl2br w:val="nil"/>
                    <w:tr2bl w:val="nil"/>
                  </w:tcBorders>
                  <w:noWrap w:val="0"/>
                  <w:vAlign w:val="center"/>
                </w:tcPr>
                <w:p w14:paraId="786F2C96">
                  <w:pPr>
                    <w:topLinePunct/>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5</w:t>
                  </w:r>
                  <w:r>
                    <w:rPr>
                      <w:rFonts w:hint="default" w:ascii="Times New Roman" w:hAnsi="Times New Roman" w:cs="Times New Roman"/>
                      <w:color w:val="auto"/>
                      <w:szCs w:val="21"/>
                    </w:rPr>
                    <w:t>m</w:t>
                  </w:r>
                  <w:r>
                    <w:rPr>
                      <w:rFonts w:hint="default" w:ascii="Times New Roman" w:hAnsi="Times New Roman" w:cs="Times New Roman"/>
                      <w:color w:val="auto"/>
                      <w:szCs w:val="21"/>
                      <w:vertAlign w:val="superscript"/>
                    </w:rPr>
                    <w:t>2</w:t>
                  </w:r>
                </w:p>
              </w:tc>
              <w:tc>
                <w:tcPr>
                  <w:tcW w:w="511" w:type="pct"/>
                  <w:tcBorders>
                    <w:tl2br w:val="nil"/>
                    <w:tr2bl w:val="nil"/>
                  </w:tcBorders>
                  <w:noWrap w:val="0"/>
                  <w:vAlign w:val="center"/>
                </w:tcPr>
                <w:p w14:paraId="341F38DA">
                  <w:pPr>
                    <w:topLinePunct/>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桶装</w:t>
                  </w:r>
                </w:p>
              </w:tc>
              <w:tc>
                <w:tcPr>
                  <w:tcW w:w="468" w:type="pct"/>
                  <w:tcBorders>
                    <w:tl2br w:val="nil"/>
                    <w:tr2bl w:val="nil"/>
                  </w:tcBorders>
                  <w:noWrap w:val="0"/>
                  <w:vAlign w:val="center"/>
                </w:tcPr>
                <w:p w14:paraId="1BED5B16">
                  <w:pPr>
                    <w:topLinePunct/>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szCs w:val="21"/>
                    </w:rPr>
                    <w:t>0.2</w:t>
                  </w:r>
                </w:p>
              </w:tc>
              <w:tc>
                <w:tcPr>
                  <w:tcW w:w="546" w:type="pct"/>
                  <w:tcBorders>
                    <w:tl2br w:val="nil"/>
                    <w:tr2bl w:val="nil"/>
                  </w:tcBorders>
                  <w:noWrap w:val="0"/>
                  <w:vAlign w:val="center"/>
                </w:tcPr>
                <w:p w14:paraId="5B8532E3">
                  <w:pPr>
                    <w:topLinePunct/>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6个月</w:t>
                  </w:r>
                </w:p>
              </w:tc>
            </w:tr>
            <w:tr w14:paraId="68DA311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trPr>
              <w:tc>
                <w:tcPr>
                  <w:tcW w:w="286" w:type="pct"/>
                  <w:tcBorders>
                    <w:tl2br w:val="nil"/>
                    <w:tr2bl w:val="nil"/>
                  </w:tcBorders>
                  <w:noWrap w:val="0"/>
                  <w:vAlign w:val="center"/>
                </w:tcPr>
                <w:p w14:paraId="0BD48F0A">
                  <w:pPr>
                    <w:topLinePunct/>
                    <w:adjustRightInd w:val="0"/>
                    <w:snapToGrid w:val="0"/>
                    <w:jc w:val="center"/>
                    <w:rPr>
                      <w:rFonts w:hint="default" w:ascii="Times New Roman" w:hAnsi="Times New Roman" w:eastAsia="宋体" w:cs="Times New Roman"/>
                      <w:color w:val="auto"/>
                      <w:kern w:val="0"/>
                      <w:szCs w:val="21"/>
                      <w:lang w:val="en-US" w:eastAsia="zh-CN"/>
                    </w:rPr>
                  </w:pPr>
                  <w:r>
                    <w:rPr>
                      <w:rFonts w:hint="default" w:ascii="Times New Roman" w:hAnsi="Times New Roman" w:cs="Times New Roman"/>
                      <w:color w:val="auto"/>
                      <w:kern w:val="0"/>
                      <w:szCs w:val="21"/>
                      <w:lang w:val="en-US" w:eastAsia="zh-CN"/>
                    </w:rPr>
                    <w:t>2</w:t>
                  </w:r>
                </w:p>
              </w:tc>
              <w:tc>
                <w:tcPr>
                  <w:tcW w:w="641" w:type="pct"/>
                  <w:tcBorders>
                    <w:tl2br w:val="nil"/>
                    <w:tr2bl w:val="nil"/>
                  </w:tcBorders>
                  <w:noWrap w:val="0"/>
                  <w:vAlign w:val="center"/>
                </w:tcPr>
                <w:p w14:paraId="19488E0D">
                  <w:pPr>
                    <w:topLinePunct/>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危废暂存间</w:t>
                  </w:r>
                </w:p>
              </w:tc>
              <w:tc>
                <w:tcPr>
                  <w:tcW w:w="639" w:type="pct"/>
                  <w:tcBorders>
                    <w:tl2br w:val="nil"/>
                    <w:tr2bl w:val="nil"/>
                  </w:tcBorders>
                  <w:noWrap w:val="0"/>
                  <w:vAlign w:val="center"/>
                </w:tcPr>
                <w:p w14:paraId="72223EAB">
                  <w:pPr>
                    <w:topLinePunct/>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废活性炭</w:t>
                  </w:r>
                </w:p>
              </w:tc>
              <w:tc>
                <w:tcPr>
                  <w:tcW w:w="633" w:type="pct"/>
                  <w:tcBorders>
                    <w:tl2br w:val="nil"/>
                    <w:tr2bl w:val="nil"/>
                  </w:tcBorders>
                  <w:noWrap w:val="0"/>
                  <w:vAlign w:val="center"/>
                </w:tcPr>
                <w:p w14:paraId="316CBFD6">
                  <w:pPr>
                    <w:topLinePunct/>
                    <w:adjustRightInd w:val="0"/>
                    <w:snapToGrid w:val="0"/>
                    <w:jc w:val="center"/>
                    <w:rPr>
                      <w:rFonts w:hint="default" w:ascii="Times New Roman" w:hAnsi="Times New Roman" w:eastAsia="宋体" w:cs="Times New Roman"/>
                      <w:color w:val="auto"/>
                      <w:kern w:val="0"/>
                      <w:szCs w:val="21"/>
                      <w:lang w:val="en-US" w:eastAsia="zh-CN"/>
                    </w:rPr>
                  </w:pPr>
                  <w:r>
                    <w:rPr>
                      <w:rFonts w:hint="default" w:ascii="Times New Roman" w:hAnsi="Times New Roman" w:eastAsia="宋体" w:cs="Times New Roman"/>
                      <w:color w:val="auto"/>
                      <w:kern w:val="0"/>
                      <w:szCs w:val="21"/>
                      <w:lang w:eastAsia="en-US"/>
                    </w:rPr>
                    <w:t>HW</w:t>
                  </w:r>
                  <w:r>
                    <w:rPr>
                      <w:rFonts w:hint="default" w:ascii="Times New Roman" w:hAnsi="Times New Roman" w:eastAsia="宋体" w:cs="Times New Roman"/>
                      <w:color w:val="auto"/>
                      <w:kern w:val="0"/>
                      <w:szCs w:val="21"/>
                      <w:lang w:val="en-US" w:eastAsia="zh-CN"/>
                    </w:rPr>
                    <w:t>49</w:t>
                  </w:r>
                </w:p>
              </w:tc>
              <w:tc>
                <w:tcPr>
                  <w:tcW w:w="475" w:type="pct"/>
                  <w:tcBorders>
                    <w:tl2br w:val="nil"/>
                    <w:tr2bl w:val="nil"/>
                  </w:tcBorders>
                  <w:noWrap w:val="0"/>
                  <w:vAlign w:val="center"/>
                </w:tcPr>
                <w:p w14:paraId="0B7D6582">
                  <w:pPr>
                    <w:topLinePunct/>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900-039-49</w:t>
                  </w:r>
                </w:p>
              </w:tc>
              <w:tc>
                <w:tcPr>
                  <w:tcW w:w="422" w:type="pct"/>
                  <w:vMerge w:val="continue"/>
                  <w:tcBorders>
                    <w:tl2br w:val="nil"/>
                    <w:tr2bl w:val="nil"/>
                  </w:tcBorders>
                  <w:noWrap w:val="0"/>
                  <w:vAlign w:val="center"/>
                </w:tcPr>
                <w:p w14:paraId="2DEF5090">
                  <w:pPr>
                    <w:topLinePunct/>
                    <w:adjustRightInd w:val="0"/>
                    <w:snapToGrid w:val="0"/>
                    <w:jc w:val="center"/>
                    <w:rPr>
                      <w:rFonts w:hint="default" w:ascii="Times New Roman" w:hAnsi="Times New Roman" w:eastAsia="宋体" w:cs="Times New Roman"/>
                      <w:color w:val="auto"/>
                      <w:kern w:val="0"/>
                      <w:szCs w:val="21"/>
                    </w:rPr>
                  </w:pPr>
                </w:p>
              </w:tc>
              <w:tc>
                <w:tcPr>
                  <w:tcW w:w="374" w:type="pct"/>
                  <w:vMerge w:val="continue"/>
                  <w:tcBorders>
                    <w:tl2br w:val="nil"/>
                    <w:tr2bl w:val="nil"/>
                  </w:tcBorders>
                  <w:noWrap w:val="0"/>
                  <w:vAlign w:val="center"/>
                </w:tcPr>
                <w:p w14:paraId="0F2C51A5">
                  <w:pPr>
                    <w:topLinePunct/>
                    <w:adjustRightInd w:val="0"/>
                    <w:snapToGrid w:val="0"/>
                    <w:jc w:val="center"/>
                    <w:rPr>
                      <w:rFonts w:hint="default" w:ascii="Times New Roman" w:hAnsi="Times New Roman" w:eastAsia="宋体" w:cs="Times New Roman"/>
                      <w:color w:val="auto"/>
                      <w:kern w:val="0"/>
                      <w:szCs w:val="21"/>
                    </w:rPr>
                  </w:pPr>
                </w:p>
              </w:tc>
              <w:tc>
                <w:tcPr>
                  <w:tcW w:w="511" w:type="pct"/>
                  <w:tcBorders>
                    <w:tl2br w:val="nil"/>
                    <w:tr2bl w:val="nil"/>
                  </w:tcBorders>
                  <w:noWrap w:val="0"/>
                  <w:vAlign w:val="center"/>
                </w:tcPr>
                <w:p w14:paraId="2AA06005">
                  <w:pPr>
                    <w:topLinePunct/>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密封袋装</w:t>
                  </w:r>
                </w:p>
              </w:tc>
              <w:tc>
                <w:tcPr>
                  <w:tcW w:w="468" w:type="pct"/>
                  <w:tcBorders>
                    <w:tl2br w:val="nil"/>
                    <w:tr2bl w:val="nil"/>
                  </w:tcBorders>
                  <w:noWrap w:val="0"/>
                  <w:vAlign w:val="center"/>
                </w:tcPr>
                <w:p w14:paraId="5C405F58">
                  <w:pPr>
                    <w:topLinePunct/>
                    <w:adjustRightInd w:val="0"/>
                    <w:snapToGrid w:val="0"/>
                    <w:jc w:val="center"/>
                    <w:rPr>
                      <w:rFonts w:hint="default" w:ascii="Times New Roman" w:hAnsi="Times New Roman" w:eastAsia="宋体" w:cs="Times New Roman"/>
                      <w:color w:val="auto"/>
                      <w:kern w:val="0"/>
                      <w:szCs w:val="21"/>
                      <w:lang w:val="en-US" w:eastAsia="zh-CN"/>
                    </w:rPr>
                  </w:pPr>
                  <w:r>
                    <w:rPr>
                      <w:rFonts w:hint="default" w:ascii="Times New Roman" w:hAnsi="Times New Roman" w:cs="Times New Roman"/>
                      <w:color w:val="auto"/>
                      <w:kern w:val="0"/>
                      <w:szCs w:val="21"/>
                      <w:lang w:val="en-US" w:eastAsia="zh-CN"/>
                    </w:rPr>
                    <w:t>0.5</w:t>
                  </w:r>
                </w:p>
              </w:tc>
              <w:tc>
                <w:tcPr>
                  <w:tcW w:w="546" w:type="pct"/>
                  <w:tcBorders>
                    <w:tl2br w:val="nil"/>
                    <w:tr2bl w:val="nil"/>
                  </w:tcBorders>
                  <w:noWrap w:val="0"/>
                  <w:vAlign w:val="center"/>
                </w:tcPr>
                <w:p w14:paraId="62079F93">
                  <w:pPr>
                    <w:topLinePunct/>
                    <w:adjustRightInd w:val="0"/>
                    <w:snapToGrid w:val="0"/>
                    <w:jc w:val="center"/>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不超过1年</w:t>
                  </w:r>
                </w:p>
              </w:tc>
            </w:tr>
          </w:tbl>
          <w:p w14:paraId="01BBE97D">
            <w:pPr>
              <w:widowControl/>
              <w:spacing w:line="520" w:lineRule="exact"/>
              <w:ind w:firstLine="482" w:firstLineChars="200"/>
              <w:jc w:val="left"/>
              <w:rPr>
                <w:rFonts w:hint="default" w:ascii="Times New Roman" w:hAnsi="Times New Roman" w:cs="Times New Roman"/>
                <w:b/>
                <w:color w:val="auto"/>
              </w:rPr>
            </w:pPr>
            <w:r>
              <w:rPr>
                <w:rFonts w:hint="default" w:ascii="Times New Roman" w:hAnsi="Times New Roman" w:cs="Times New Roman"/>
                <w:b/>
                <w:color w:val="auto"/>
                <w:kern w:val="0"/>
                <w:sz w:val="24"/>
                <w:lang w:bidi="ar"/>
              </w:rPr>
              <w:t>一般工业固体废物的储存提出以下要求：</w:t>
            </w:r>
          </w:p>
          <w:p w14:paraId="4097EE81">
            <w:pPr>
              <w:widowControl/>
              <w:spacing w:line="520" w:lineRule="exact"/>
              <w:ind w:firstLine="480" w:firstLineChars="200"/>
              <w:jc w:val="left"/>
              <w:rPr>
                <w:rFonts w:hint="default" w:ascii="Times New Roman" w:hAnsi="Times New Roman" w:cs="Times New Roman"/>
                <w:color w:val="auto"/>
                <w:kern w:val="0"/>
                <w:sz w:val="24"/>
                <w:lang w:bidi="ar"/>
              </w:rPr>
            </w:pPr>
            <w:r>
              <w:rPr>
                <w:rFonts w:hint="default" w:ascii="Times New Roman" w:hAnsi="Times New Roman" w:cs="Times New Roman"/>
                <w:color w:val="auto"/>
                <w:kern w:val="0"/>
                <w:sz w:val="24"/>
                <w:lang w:bidi="ar"/>
              </w:rPr>
              <w:t>根据《一般工业固体废物贮存和填埋污染控制标准》（GB18599-2020）中的适用范围可知，项目一般固体废物储存间，其贮存过程应满足相应防渗漏、防雨淋、防扬尘等环境保护措施。”因此，项目一般固体废物储存间必须采取防扬散、防流失、防渗漏或者其他防止污染环境的措施必须符合国家环境保护标准，并对未处理的固体废物做出妥善处理，安全存放</w:t>
            </w:r>
            <w:r>
              <w:rPr>
                <w:rFonts w:hint="default" w:ascii="Times New Roman" w:hAnsi="Times New Roman" w:cs="Times New Roman"/>
                <w:color w:val="auto"/>
                <w:kern w:val="0"/>
                <w:sz w:val="24"/>
                <w:lang w:eastAsia="zh-CN" w:bidi="ar"/>
              </w:rPr>
              <w:t>，</w:t>
            </w:r>
            <w:r>
              <w:rPr>
                <w:rFonts w:hint="default" w:ascii="Times New Roman" w:hAnsi="Times New Roman" w:eastAsia="宋体" w:cs="Times New Roman"/>
                <w:b w:val="0"/>
                <w:bCs/>
                <w:color w:val="auto"/>
                <w:sz w:val="24"/>
                <w:lang w:eastAsia="zh-CN"/>
              </w:rPr>
              <w:t>产生的一般</w:t>
            </w:r>
            <w:r>
              <w:rPr>
                <w:rFonts w:hint="default" w:ascii="Times New Roman" w:hAnsi="Times New Roman" w:eastAsia="宋体" w:cs="Times New Roman"/>
                <w:b w:val="0"/>
                <w:bCs/>
                <w:color w:val="auto"/>
                <w:sz w:val="24"/>
                <w:lang w:val="en-US" w:eastAsia="zh-CN"/>
              </w:rPr>
              <w:t>固</w:t>
            </w:r>
            <w:r>
              <w:rPr>
                <w:rFonts w:hint="default" w:ascii="Times New Roman" w:hAnsi="Times New Roman" w:eastAsia="宋体" w:cs="Times New Roman"/>
                <w:b w:val="0"/>
                <w:bCs/>
                <w:color w:val="auto"/>
                <w:sz w:val="24"/>
                <w:lang w:eastAsia="zh-CN"/>
              </w:rPr>
              <w:t>废不得</w:t>
            </w:r>
            <w:r>
              <w:rPr>
                <w:rFonts w:hint="default" w:ascii="Times New Roman" w:hAnsi="Times New Roman" w:eastAsia="宋体" w:cs="Times New Roman"/>
                <w:b w:val="0"/>
                <w:bCs/>
                <w:color w:val="auto"/>
                <w:sz w:val="24"/>
                <w:lang w:val="en-US" w:eastAsia="zh-CN"/>
              </w:rPr>
              <w:t>二</w:t>
            </w:r>
            <w:r>
              <w:rPr>
                <w:rFonts w:hint="default" w:ascii="Times New Roman" w:hAnsi="Times New Roman" w:eastAsia="宋体" w:cs="Times New Roman"/>
                <w:b w:val="0"/>
                <w:bCs/>
                <w:color w:val="auto"/>
                <w:sz w:val="24"/>
                <w:lang w:eastAsia="zh-CN"/>
              </w:rPr>
              <w:t>次污染</w:t>
            </w:r>
            <w:r>
              <w:rPr>
                <w:rFonts w:hint="default" w:ascii="Times New Roman" w:hAnsi="Times New Roman" w:cs="Times New Roman"/>
                <w:color w:val="auto"/>
                <w:kern w:val="0"/>
                <w:sz w:val="24"/>
                <w:lang w:bidi="ar"/>
              </w:rPr>
              <w:t>。对暂时不利用或者不能回收利用的一般工业固体废物，必须配套建设防雨淋、防渗漏、易识别等符合环境保护标准和管理要求的贮存设施或场所，以及足够的流转空间，按国家环境保护的技术和管理要求，有专人看管，建立便于核查的进、出物料的台账记录和固体废物明细表。一般固体废物储存间按《环境保护图形标志 固体废物贮存（处置）场》（</w:t>
            </w:r>
            <w:r>
              <w:rPr>
                <w:rStyle w:val="44"/>
                <w:rFonts w:hint="default" w:ascii="Times New Roman" w:hAnsi="Times New Roman" w:cs="Times New Roman"/>
                <w:i w:val="0"/>
                <w:color w:val="auto"/>
                <w:kern w:val="2"/>
                <w:sz w:val="24"/>
                <w:szCs w:val="24"/>
                <w:lang w:eastAsia="zh-CN"/>
              </w:rPr>
              <w:t>GB15562.2</w:t>
            </w:r>
            <w:r>
              <w:rPr>
                <w:rStyle w:val="44"/>
                <w:rFonts w:hint="default" w:ascii="Times New Roman" w:hAnsi="Times New Roman" w:cs="Times New Roman"/>
                <w:i w:val="0"/>
                <w:color w:val="auto"/>
                <w:kern w:val="2"/>
                <w:sz w:val="24"/>
                <w:szCs w:val="24"/>
                <w:lang w:val="en-US" w:eastAsia="zh-CN"/>
              </w:rPr>
              <w:t>-</w:t>
            </w:r>
            <w:r>
              <w:rPr>
                <w:rStyle w:val="44"/>
                <w:rFonts w:hint="default" w:ascii="Times New Roman" w:hAnsi="Times New Roman" w:cs="Times New Roman"/>
                <w:i w:val="0"/>
                <w:color w:val="auto"/>
                <w:kern w:val="2"/>
                <w:sz w:val="24"/>
                <w:szCs w:val="24"/>
                <w:lang w:eastAsia="zh-CN"/>
              </w:rPr>
              <w:t>1995，2023年修改单</w:t>
            </w:r>
            <w:r>
              <w:rPr>
                <w:rFonts w:hint="default" w:ascii="Times New Roman" w:hAnsi="Times New Roman" w:cs="Times New Roman"/>
                <w:color w:val="auto"/>
                <w:kern w:val="0"/>
                <w:sz w:val="24"/>
                <w:lang w:bidi="ar"/>
              </w:rPr>
              <w:t xml:space="preserve">）设置环境保护图形标志。 </w:t>
            </w:r>
          </w:p>
          <w:p w14:paraId="572696A7">
            <w:pPr>
              <w:widowControl/>
              <w:spacing w:line="520" w:lineRule="exact"/>
              <w:ind w:firstLine="482" w:firstLineChars="200"/>
              <w:jc w:val="left"/>
              <w:rPr>
                <w:rFonts w:hint="default" w:ascii="Times New Roman" w:hAnsi="Times New Roman" w:cs="Times New Roman"/>
                <w:b/>
                <w:color w:val="auto"/>
              </w:rPr>
            </w:pPr>
            <w:r>
              <w:rPr>
                <w:rFonts w:hint="default" w:ascii="Times New Roman" w:hAnsi="Times New Roman" w:cs="Times New Roman"/>
                <w:b/>
                <w:color w:val="auto"/>
                <w:kern w:val="0"/>
                <w:sz w:val="24"/>
                <w:lang w:bidi="ar"/>
              </w:rPr>
              <w:t>危险固体废物的储存提出以下要求：</w:t>
            </w:r>
          </w:p>
          <w:p w14:paraId="26F42383">
            <w:pPr>
              <w:widowControl/>
              <w:spacing w:line="520" w:lineRule="exact"/>
              <w:ind w:firstLine="480" w:firstLineChars="200"/>
              <w:jc w:val="left"/>
              <w:rPr>
                <w:rFonts w:hint="default" w:ascii="Times New Roman" w:hAnsi="Times New Roman" w:eastAsia="宋体" w:cs="Times New Roman"/>
                <w:color w:val="auto"/>
                <w:lang w:eastAsia="zh-CN"/>
              </w:rPr>
            </w:pPr>
            <w:r>
              <w:rPr>
                <w:rFonts w:hint="default" w:ascii="Times New Roman" w:hAnsi="Times New Roman" w:cs="Times New Roman"/>
                <w:bCs/>
                <w:color w:val="auto"/>
                <w:kern w:val="0"/>
                <w:sz w:val="24"/>
                <w:lang w:bidi="ar"/>
              </w:rPr>
              <w:t>对于危险废物规范化管理，企业严格按照《关于&lt;印发</w:t>
            </w:r>
            <w:bookmarkStart w:id="22" w:name="OLE_LINK14"/>
            <w:r>
              <w:rPr>
                <w:rFonts w:hint="default" w:ascii="Times New Roman" w:hAnsi="Times New Roman" w:cs="Times New Roman"/>
                <w:bCs/>
                <w:color w:val="auto"/>
                <w:kern w:val="0"/>
                <w:sz w:val="24"/>
                <w:lang w:bidi="ar"/>
              </w:rPr>
              <w:t>危险废物规范化管理 指标体系</w:t>
            </w:r>
            <w:bookmarkEnd w:id="22"/>
            <w:r>
              <w:rPr>
                <w:rFonts w:hint="default" w:ascii="Times New Roman" w:hAnsi="Times New Roman" w:cs="Times New Roman"/>
                <w:bCs/>
                <w:color w:val="auto"/>
                <w:kern w:val="0"/>
                <w:sz w:val="24"/>
                <w:lang w:bidi="ar"/>
              </w:rPr>
              <w:t>&gt;的通知》（环办[2015]99号）的要求执行。具体要求如下：</w:t>
            </w:r>
          </w:p>
          <w:p w14:paraId="091FECFD">
            <w:pPr>
              <w:widowControl/>
              <w:spacing w:line="520" w:lineRule="exact"/>
              <w:ind w:firstLine="480" w:firstLineChars="200"/>
              <w:jc w:val="left"/>
              <w:rPr>
                <w:rFonts w:hint="default" w:ascii="Times New Roman" w:hAnsi="Times New Roman" w:eastAsia="宋体" w:cs="Times New Roman"/>
                <w:color w:val="auto"/>
                <w:lang w:eastAsia="zh-CN"/>
              </w:rPr>
            </w:pPr>
            <w:r>
              <w:rPr>
                <w:rFonts w:hint="default" w:ascii="Times New Roman" w:hAnsi="Times New Roman" w:cs="Times New Roman"/>
                <w:color w:val="auto"/>
                <w:kern w:val="0"/>
                <w:sz w:val="24"/>
                <w:lang w:bidi="ar"/>
              </w:rPr>
              <w:t>①按照危险废物特性分类进行收集，并设置危险废物识别标志。包括收集、贮存、运输、利用、处置危险废物的设施、场所，必须设置危险废物识别标志。</w:t>
            </w:r>
          </w:p>
          <w:p w14:paraId="22154BC6">
            <w:pPr>
              <w:widowControl/>
              <w:spacing w:line="520" w:lineRule="exact"/>
              <w:ind w:firstLine="480" w:firstLineChars="200"/>
              <w:jc w:val="left"/>
              <w:rPr>
                <w:rFonts w:hint="default" w:ascii="Times New Roman" w:hAnsi="Times New Roman" w:cs="Times New Roman"/>
                <w:color w:val="auto"/>
              </w:rPr>
            </w:pPr>
            <w:r>
              <w:rPr>
                <w:rFonts w:hint="default" w:ascii="Times New Roman" w:hAnsi="Times New Roman" w:cs="Times New Roman"/>
                <w:color w:val="auto"/>
                <w:kern w:val="0"/>
                <w:sz w:val="24"/>
                <w:lang w:bidi="ar"/>
              </w:rPr>
              <w:t>②建立危险废物管理计划。危险废物管理计划包括减少危险废物产生量和危害性的措施，以及危险废物贮存、利用、处置措施。报所在地县级以上地方人民政府环境保护行政主管部门备案。危险废物管理计划内容有重大改变的，应当及时申报。</w:t>
            </w:r>
          </w:p>
          <w:p w14:paraId="43053EC1">
            <w:pPr>
              <w:widowControl/>
              <w:spacing w:line="520" w:lineRule="exact"/>
              <w:ind w:firstLine="480" w:firstLineChars="200"/>
              <w:jc w:val="left"/>
              <w:rPr>
                <w:rFonts w:hint="default" w:ascii="Times New Roman" w:hAnsi="Times New Roman" w:eastAsia="宋体" w:cs="Times New Roman"/>
                <w:color w:val="auto"/>
                <w:lang w:eastAsia="zh-CN"/>
              </w:rPr>
            </w:pPr>
            <w:r>
              <w:rPr>
                <w:rFonts w:hint="default" w:ascii="Times New Roman" w:hAnsi="Times New Roman" w:cs="Times New Roman"/>
                <w:color w:val="auto"/>
                <w:kern w:val="0"/>
                <w:sz w:val="24"/>
                <w:lang w:bidi="ar"/>
              </w:rPr>
              <w:t>③如实地向所在地县级以上地方人民政府环境保护行政主管部门申报危险废物的种类、产生量、流向、贮存、处置等有关资料，申报事项有重大改变的，应当及时申报。</w:t>
            </w:r>
          </w:p>
          <w:p w14:paraId="60CEFF7D">
            <w:pPr>
              <w:widowControl/>
              <w:spacing w:line="520" w:lineRule="exact"/>
              <w:ind w:firstLine="480" w:firstLineChars="200"/>
              <w:jc w:val="left"/>
              <w:rPr>
                <w:rFonts w:hint="default" w:ascii="Times New Roman" w:hAnsi="Times New Roman" w:cs="Times New Roman"/>
                <w:color w:val="auto"/>
              </w:rPr>
            </w:pPr>
            <w:r>
              <w:rPr>
                <w:rFonts w:hint="default" w:ascii="Times New Roman" w:hAnsi="Times New Roman" w:cs="Times New Roman"/>
                <w:color w:val="auto"/>
                <w:kern w:val="0"/>
                <w:sz w:val="24"/>
                <w:lang w:bidi="ar"/>
              </w:rPr>
              <w:t>④在转移危险废物前，向环保部门报批危险废物转移计划，并得到批准，转移时，按照《危险废物转移管理办法》有关规定，如实填写转移单中接收单位栏目，并加盖公章，转移联单保存齐全，并与危险废物经营情况记录簿同期保存。</w:t>
            </w:r>
          </w:p>
          <w:p w14:paraId="42B2D8F8">
            <w:pPr>
              <w:widowControl/>
              <w:spacing w:line="520" w:lineRule="exact"/>
              <w:ind w:firstLine="480" w:firstLineChars="200"/>
              <w:jc w:val="left"/>
              <w:rPr>
                <w:rFonts w:hint="default" w:ascii="Times New Roman" w:hAnsi="Times New Roman" w:eastAsia="宋体" w:cs="Times New Roman"/>
                <w:color w:val="auto"/>
                <w:lang w:eastAsia="zh-CN"/>
              </w:rPr>
            </w:pPr>
            <w:r>
              <w:rPr>
                <w:rFonts w:hint="default" w:ascii="Times New Roman" w:hAnsi="Times New Roman" w:cs="Times New Roman"/>
                <w:color w:val="auto"/>
                <w:kern w:val="0"/>
                <w:sz w:val="24"/>
                <w:lang w:bidi="ar"/>
              </w:rPr>
              <w:t>⑤转移的危险废物，全部提供或委托给持危险废物经营许可证的单位从事收集、贮存、利用、处置的活动，须签订书面合同，明确环境污染防治责任。</w:t>
            </w:r>
          </w:p>
          <w:p w14:paraId="184E9B88">
            <w:pPr>
              <w:widowControl/>
              <w:spacing w:line="520" w:lineRule="exact"/>
              <w:ind w:firstLine="480" w:firstLineChars="200"/>
              <w:jc w:val="left"/>
              <w:rPr>
                <w:rFonts w:hint="default" w:ascii="Times New Roman" w:hAnsi="Times New Roman" w:eastAsia="宋体" w:cs="Times New Roman"/>
                <w:color w:val="auto"/>
                <w:lang w:eastAsia="zh-CN"/>
              </w:rPr>
            </w:pPr>
            <w:r>
              <w:rPr>
                <w:rFonts w:hint="default" w:ascii="Times New Roman" w:hAnsi="Times New Roman" w:cs="Times New Roman"/>
                <w:color w:val="auto"/>
                <w:kern w:val="0"/>
                <w:sz w:val="24"/>
                <w:lang w:bidi="ar"/>
              </w:rPr>
              <w:t>⑥制定了意外事故的防范措施和应急预案，向所在地县级以上地方人民政府环境保护行政主管部门备案，并且按照预案要求每年组织应急演练。</w:t>
            </w:r>
          </w:p>
          <w:p w14:paraId="6967AED6">
            <w:pPr>
              <w:widowControl/>
              <w:spacing w:line="520" w:lineRule="exact"/>
              <w:ind w:firstLine="480" w:firstLineChars="200"/>
              <w:jc w:val="left"/>
              <w:rPr>
                <w:rFonts w:hint="default" w:ascii="Times New Roman" w:hAnsi="Times New Roman" w:eastAsia="宋体" w:cs="Times New Roman"/>
                <w:color w:val="auto"/>
                <w:lang w:eastAsia="zh-CN"/>
              </w:rPr>
            </w:pPr>
            <w:r>
              <w:rPr>
                <w:rFonts w:hint="default" w:ascii="Times New Roman" w:hAnsi="Times New Roman" w:cs="Times New Roman"/>
                <w:color w:val="auto"/>
                <w:kern w:val="0"/>
                <w:sz w:val="24"/>
                <w:lang w:bidi="ar"/>
              </w:rPr>
              <w:t>⑦危险废物产生单位应当对本单位工作人员进行培训。</w:t>
            </w:r>
          </w:p>
          <w:p w14:paraId="0CE52BA9">
            <w:pPr>
              <w:widowControl/>
              <w:spacing w:line="520" w:lineRule="exact"/>
              <w:ind w:firstLine="480" w:firstLineChars="200"/>
              <w:jc w:val="left"/>
              <w:rPr>
                <w:rFonts w:hint="default" w:ascii="Times New Roman" w:hAnsi="Times New Roman" w:cs="Times New Roman"/>
                <w:color w:val="auto"/>
              </w:rPr>
            </w:pPr>
            <w:r>
              <w:rPr>
                <w:rFonts w:hint="default" w:ascii="Times New Roman" w:hAnsi="Times New Roman" w:cs="Times New Roman"/>
                <w:color w:val="auto"/>
                <w:kern w:val="0"/>
                <w:sz w:val="24"/>
                <w:lang w:bidi="ar"/>
              </w:rPr>
              <w:t>⑧危险废物应分类收集、贮存危险废物，不得混合贮存性质不相容且未经安全性处置的危险废物，装载危险废物的容器完好无损；不得将危险废物混入非危险废物中贮存。</w:t>
            </w:r>
          </w:p>
          <w:p w14:paraId="6C6EE60C">
            <w:pPr>
              <w:widowControl/>
              <w:spacing w:line="520" w:lineRule="exact"/>
              <w:ind w:firstLine="480" w:firstLineChars="200"/>
              <w:jc w:val="left"/>
              <w:rPr>
                <w:rFonts w:hint="default" w:ascii="Times New Roman" w:hAnsi="Times New Roman" w:eastAsia="宋体" w:cs="Times New Roman"/>
                <w:color w:val="auto"/>
                <w:lang w:eastAsia="zh-CN"/>
              </w:rPr>
            </w:pPr>
            <w:r>
              <w:rPr>
                <w:rFonts w:hint="default" w:ascii="Times New Roman" w:hAnsi="Times New Roman" w:cs="Times New Roman"/>
                <w:color w:val="auto"/>
                <w:kern w:val="0"/>
                <w:sz w:val="24"/>
                <w:lang w:bidi="ar"/>
              </w:rPr>
              <w:t>⑨建立危险废物贮存台账，并如实记载收集、贮存危险废物的类别、去向和有无事故等事项。</w:t>
            </w:r>
          </w:p>
          <w:p w14:paraId="0C154E08">
            <w:pPr>
              <w:widowControl/>
              <w:spacing w:line="520" w:lineRule="exact"/>
              <w:ind w:firstLine="480" w:firstLineChars="200"/>
              <w:jc w:val="left"/>
              <w:rPr>
                <w:rFonts w:hint="default" w:ascii="Times New Roman" w:hAnsi="Times New Roman" w:cs="Times New Roman"/>
                <w:color w:val="auto"/>
                <w:kern w:val="0"/>
                <w:sz w:val="24"/>
                <w:lang w:bidi="ar"/>
              </w:rPr>
            </w:pPr>
            <w:r>
              <w:rPr>
                <w:rFonts w:hint="default" w:ascii="Times New Roman" w:hAnsi="Times New Roman" w:cs="Times New Roman"/>
                <w:color w:val="auto"/>
                <w:kern w:val="0"/>
                <w:sz w:val="24"/>
                <w:lang w:bidi="ar"/>
              </w:rPr>
              <w:t>⑩依法进行环境影响评价，完成“三同时”验收。</w:t>
            </w:r>
          </w:p>
          <w:p w14:paraId="1D4077C6">
            <w:pPr>
              <w:pStyle w:val="19"/>
              <w:wordWrap w:val="0"/>
              <w:topLinePunct/>
              <w:snapToGrid/>
              <w:spacing w:before="0" w:after="0" w:line="520" w:lineRule="exact"/>
              <w:ind w:right="0" w:firstLine="480" w:firstLineChars="200"/>
              <w:rPr>
                <w:rFonts w:hint="default" w:ascii="Times New Roman" w:hAnsi="Times New Roman" w:cs="Times New Roman"/>
                <w:color w:val="auto"/>
                <w:sz w:val="24"/>
                <w:szCs w:val="24"/>
                <w:lang w:bidi="ar"/>
              </w:rPr>
            </w:pPr>
            <w:r>
              <w:rPr>
                <w:rFonts w:hint="default" w:ascii="Times New Roman" w:hAnsi="Times New Roman" w:cs="Times New Roman"/>
                <w:color w:val="auto"/>
                <w:sz w:val="24"/>
                <w:szCs w:val="24"/>
                <w:lang w:bidi="ar"/>
              </w:rPr>
              <w:t>总之，按照上述规定对固废进行妥善处置后，在加强管理，并在落实好各项污染防治措施和固体废物综合利用等安全处置措施的前提下，本项目产生的固体废物对周围环境的影响较小。</w:t>
            </w:r>
          </w:p>
          <w:p w14:paraId="54BDBCEF">
            <w:pPr>
              <w:pStyle w:val="19"/>
              <w:wordWrap w:val="0"/>
              <w:topLinePunct/>
              <w:snapToGrid/>
              <w:spacing w:before="0" w:after="0" w:line="520" w:lineRule="exact"/>
              <w:ind w:right="0" w:firstLine="482" w:firstLineChars="200"/>
              <w:rPr>
                <w:rFonts w:hint="default" w:ascii="Times New Roman" w:hAnsi="Times New Roman" w:eastAsia="宋体" w:cs="Times New Roman"/>
                <w:b/>
                <w:bCs/>
                <w:color w:val="auto"/>
                <w:sz w:val="24"/>
                <w:szCs w:val="24"/>
                <w:lang w:bidi="ar"/>
              </w:rPr>
            </w:pPr>
            <w:r>
              <w:rPr>
                <w:rFonts w:hint="default" w:ascii="Times New Roman" w:hAnsi="Times New Roman" w:eastAsia="宋体" w:cs="Times New Roman"/>
                <w:b/>
                <w:bCs/>
                <w:color w:val="auto"/>
                <w:sz w:val="24"/>
                <w:szCs w:val="24"/>
                <w:lang w:bidi="ar"/>
              </w:rPr>
              <w:t>5、生态</w:t>
            </w:r>
          </w:p>
          <w:p w14:paraId="3953E430">
            <w:pPr>
              <w:pStyle w:val="19"/>
              <w:wordWrap w:val="0"/>
              <w:topLinePunct/>
              <w:snapToGrid/>
              <w:spacing w:before="0" w:after="0" w:line="520" w:lineRule="exact"/>
              <w:ind w:right="0" w:firstLine="480" w:firstLineChars="200"/>
              <w:rPr>
                <w:rFonts w:hint="default" w:ascii="Times New Roman" w:hAnsi="Times New Roman" w:cs="Times New Roman"/>
                <w:b/>
                <w:bCs/>
                <w:color w:val="auto"/>
                <w:sz w:val="28"/>
                <w:szCs w:val="28"/>
              </w:rPr>
            </w:pPr>
            <w:r>
              <w:rPr>
                <w:rFonts w:hint="default" w:ascii="Times New Roman" w:hAnsi="Times New Roman" w:eastAsia="宋体" w:cs="Times New Roman"/>
                <w:color w:val="auto"/>
                <w:sz w:val="24"/>
                <w:szCs w:val="24"/>
                <w:lang w:bidi="ar"/>
              </w:rPr>
              <w:t>根据生态环境部办公厅2020年12月24日印发的《</w:t>
            </w:r>
            <w:r>
              <w:rPr>
                <w:rFonts w:hint="default" w:ascii="Times New Roman" w:hAnsi="Times New Roman" w:eastAsia="宋体" w:cs="Times New Roman"/>
                <w:color w:val="auto"/>
                <w:sz w:val="24"/>
                <w:szCs w:val="24"/>
                <w:lang w:bidi="ar"/>
              </w:rPr>
              <w:fldChar w:fldCharType="begin"/>
            </w:r>
            <w:r>
              <w:rPr>
                <w:rFonts w:hint="default" w:ascii="Times New Roman" w:hAnsi="Times New Roman" w:eastAsia="宋体" w:cs="Times New Roman"/>
                <w:color w:val="auto"/>
                <w:sz w:val="24"/>
                <w:szCs w:val="24"/>
                <w:lang w:bidi="ar"/>
              </w:rPr>
              <w:instrText xml:space="preserve"> HYPERLINK "http://www.gepresearch.com/uploads/soft/210104/1_1746581341.pdf" \t "http://www.gepresearch.com/76/_blank" </w:instrText>
            </w:r>
            <w:r>
              <w:rPr>
                <w:rFonts w:hint="default" w:ascii="Times New Roman" w:hAnsi="Times New Roman" w:eastAsia="宋体" w:cs="Times New Roman"/>
                <w:color w:val="auto"/>
                <w:sz w:val="24"/>
                <w:szCs w:val="24"/>
                <w:lang w:bidi="ar"/>
              </w:rPr>
              <w:fldChar w:fldCharType="separate"/>
            </w:r>
            <w:r>
              <w:rPr>
                <w:rFonts w:hint="default" w:ascii="Times New Roman" w:hAnsi="Times New Roman" w:eastAsia="宋体" w:cs="Times New Roman"/>
                <w:color w:val="auto"/>
                <w:sz w:val="24"/>
                <w:szCs w:val="24"/>
                <w:lang w:bidi="ar"/>
              </w:rPr>
              <w:t>建设项目环境影响报告表编制技术指南（污染影响类）（试行）</w:t>
            </w:r>
            <w:r>
              <w:rPr>
                <w:rFonts w:hint="default" w:ascii="Times New Roman" w:hAnsi="Times New Roman" w:eastAsia="宋体" w:cs="Times New Roman"/>
                <w:color w:val="auto"/>
                <w:sz w:val="24"/>
                <w:szCs w:val="24"/>
                <w:lang w:bidi="ar"/>
              </w:rPr>
              <w:fldChar w:fldCharType="end"/>
            </w:r>
            <w:r>
              <w:rPr>
                <w:rFonts w:hint="default" w:ascii="Times New Roman" w:hAnsi="Times New Roman" w:eastAsia="宋体" w:cs="Times New Roman"/>
                <w:color w:val="auto"/>
                <w:sz w:val="24"/>
                <w:szCs w:val="24"/>
                <w:lang w:bidi="ar"/>
              </w:rPr>
              <w:t>》中</w:t>
            </w:r>
            <w:r>
              <w:rPr>
                <w:rFonts w:hint="default" w:ascii="Times New Roman" w:hAnsi="Times New Roman" w:cs="Times New Roman"/>
                <w:color w:val="auto"/>
                <w:sz w:val="24"/>
              </w:rPr>
              <w:t>具体编制要求“产业园区外建设项目新增用地且用地范围内有生态环境敏感的，应明确环保措施”，本项目位于产业园区，因此不需生态环境保护措施。</w:t>
            </w:r>
          </w:p>
          <w:bookmarkEnd w:id="13"/>
          <w:bookmarkEnd w:id="14"/>
          <w:bookmarkEnd w:id="15"/>
          <w:p w14:paraId="16CE4B18">
            <w:pPr>
              <w:keepNext w:val="0"/>
              <w:keepLines w:val="0"/>
              <w:pageBreakBefore w:val="0"/>
              <w:kinsoku/>
              <w:wordWrap/>
              <w:overflowPunct/>
              <w:topLinePunct w:val="0"/>
              <w:autoSpaceDE w:val="0"/>
              <w:autoSpaceDN w:val="0"/>
              <w:bidi w:val="0"/>
              <w:adjustRightInd w:val="0"/>
              <w:snapToGrid w:val="0"/>
              <w:spacing w:line="360" w:lineRule="auto"/>
              <w:ind w:firstLine="482" w:firstLineChars="200"/>
              <w:jc w:val="left"/>
              <w:textAlignment w:val="auto"/>
              <w:rPr>
                <w:rFonts w:hint="default" w:ascii="Times New Roman" w:hAnsi="Times New Roman" w:cs="Times New Roman"/>
                <w:b/>
                <w:bCs/>
                <w:color w:val="auto"/>
                <w:kern w:val="0"/>
                <w:sz w:val="24"/>
                <w:u w:val="none"/>
                <w:lang w:val="en-GB"/>
              </w:rPr>
            </w:pPr>
            <w:r>
              <w:rPr>
                <w:rFonts w:hint="default" w:ascii="Times New Roman" w:hAnsi="Times New Roman" w:cs="Times New Roman"/>
                <w:b/>
                <w:bCs/>
                <w:color w:val="auto"/>
                <w:kern w:val="0"/>
                <w:sz w:val="24"/>
                <w:u w:val="none"/>
                <w:lang w:val="en-GB"/>
              </w:rPr>
              <w:t>（六）环境风险分析</w:t>
            </w:r>
          </w:p>
          <w:p w14:paraId="46F7C30D">
            <w:pPr>
              <w:autoSpaceDE w:val="0"/>
              <w:autoSpaceDN w:val="0"/>
              <w:adjustRightInd w:val="0"/>
              <w:snapToGrid w:val="0"/>
              <w:spacing w:line="360" w:lineRule="auto"/>
              <w:ind w:firstLine="482" w:firstLineChars="200"/>
              <w:rPr>
                <w:rFonts w:hint="default" w:ascii="Times New Roman" w:hAnsi="Times New Roman" w:cs="Times New Roman"/>
                <w:b/>
                <w:bCs/>
                <w:color w:val="auto"/>
                <w:kern w:val="0"/>
                <w:sz w:val="24"/>
              </w:rPr>
            </w:pPr>
            <w:r>
              <w:rPr>
                <w:rFonts w:hint="default" w:ascii="Times New Roman" w:hAnsi="Times New Roman" w:cs="Times New Roman"/>
                <w:b/>
                <w:bCs/>
                <w:color w:val="auto"/>
                <w:kern w:val="0"/>
                <w:sz w:val="24"/>
              </w:rPr>
              <w:t>（1）风险调查</w:t>
            </w:r>
          </w:p>
          <w:p w14:paraId="47598286">
            <w:pPr>
              <w:autoSpaceDE w:val="0"/>
              <w:autoSpaceDN w:val="0"/>
              <w:adjustRightInd w:val="0"/>
              <w:snapToGrid w:val="0"/>
              <w:spacing w:line="360" w:lineRule="auto"/>
              <w:ind w:firstLine="480" w:firstLineChars="200"/>
              <w:rPr>
                <w:rFonts w:hint="default" w:ascii="Times New Roman" w:hAnsi="Times New Roman" w:cs="Times New Roman"/>
                <w:color w:val="auto"/>
                <w:kern w:val="0"/>
                <w:sz w:val="24"/>
              </w:rPr>
            </w:pPr>
            <w:r>
              <w:rPr>
                <w:rFonts w:hint="default" w:ascii="Times New Roman" w:hAnsi="Times New Roman" w:eastAsia="宋体" w:cs="Times New Roman"/>
                <w:sz w:val="24"/>
                <w:szCs w:val="24"/>
              </w:rPr>
              <w:t>本项目涉及的环境风险物质包括橡胶石蜡油、机油、废机油、废活性炭。矿物油类物质泄漏易污染土壤、地下水与地表水，遇明火可引发火灾；废活性炭吸附有机污染物，高温下可释放挥发性有机废气，火灾工况产生有毒烟气。经核算，项目厂区危险物质数量与临界量比值</w:t>
            </w:r>
            <w:r>
              <w:rPr>
                <w:rStyle w:val="41"/>
                <w:rFonts w:hint="default" w:ascii="Times New Roman" w:hAnsi="Times New Roman" w:eastAsia="宋体" w:cs="Times New Roman"/>
                <w:color w:val="000000"/>
                <w:sz w:val="24"/>
                <w:szCs w:val="24"/>
              </w:rPr>
              <w:t>Q＜1</w:t>
            </w:r>
            <w:r>
              <w:rPr>
                <w:rFonts w:hint="default" w:ascii="Times New Roman" w:hAnsi="Times New Roman" w:eastAsia="宋体" w:cs="Times New Roman"/>
                <w:sz w:val="24"/>
                <w:szCs w:val="24"/>
              </w:rPr>
              <w:t>，根据《建设项目环境风险评价技术导则》（HJ169-2018），项目环境风险潜势为Ⅰ，环境风险评价工作等级为</w:t>
            </w:r>
            <w:r>
              <w:rPr>
                <w:rStyle w:val="41"/>
                <w:rFonts w:hint="default" w:ascii="Times New Roman" w:hAnsi="Times New Roman" w:eastAsia="宋体" w:cs="Times New Roman"/>
                <w:color w:val="000000"/>
                <w:sz w:val="24"/>
                <w:szCs w:val="24"/>
              </w:rPr>
              <w:t>简单分析</w:t>
            </w:r>
            <w:r>
              <w:rPr>
                <w:rFonts w:hint="default" w:ascii="Times New Roman" w:hAnsi="Times New Roman" w:cs="Times New Roman"/>
                <w:color w:val="auto"/>
                <w:kern w:val="0"/>
                <w:sz w:val="24"/>
              </w:rPr>
              <w:t>。</w:t>
            </w:r>
          </w:p>
          <w:p w14:paraId="103FD343">
            <w:pPr>
              <w:pStyle w:val="140"/>
              <w:spacing w:before="147"/>
              <w:rPr>
                <w:rFonts w:hint="default" w:ascii="Times New Roman" w:hAnsi="Times New Roman" w:cs="Times New Roman"/>
                <w:b/>
                <w:bCs w:val="0"/>
                <w:color w:val="auto"/>
                <w:kern w:val="2"/>
                <w:sz w:val="21"/>
              </w:rPr>
            </w:pPr>
            <w:r>
              <w:rPr>
                <w:rFonts w:hint="default" w:ascii="Times New Roman" w:hAnsi="Times New Roman" w:cs="Times New Roman"/>
                <w:b/>
                <w:bCs w:val="0"/>
                <w:color w:val="auto"/>
                <w:kern w:val="2"/>
                <w:sz w:val="21"/>
              </w:rPr>
              <w:t>表4-1</w:t>
            </w:r>
            <w:r>
              <w:rPr>
                <w:rFonts w:hint="default" w:ascii="Times New Roman" w:hAnsi="Times New Roman" w:cs="Times New Roman"/>
                <w:b/>
                <w:bCs w:val="0"/>
                <w:color w:val="auto"/>
                <w:kern w:val="2"/>
                <w:sz w:val="21"/>
                <w:lang w:val="en-US" w:eastAsia="zh-CN"/>
              </w:rPr>
              <w:t>3</w:t>
            </w:r>
            <w:r>
              <w:rPr>
                <w:rFonts w:hint="default" w:ascii="Times New Roman" w:hAnsi="Times New Roman" w:cs="Times New Roman"/>
                <w:b/>
                <w:bCs w:val="0"/>
                <w:color w:val="auto"/>
                <w:kern w:val="2"/>
                <w:sz w:val="21"/>
              </w:rPr>
              <w:t xml:space="preserve"> 主要危险物质情况表</w:t>
            </w:r>
          </w:p>
          <w:tbl>
            <w:tblPr>
              <w:tblStyle w:val="38"/>
              <w:tblW w:w="8100" w:type="dxa"/>
              <w:tblInd w:w="-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350"/>
              <w:gridCol w:w="2007"/>
              <w:gridCol w:w="949"/>
              <w:gridCol w:w="1266"/>
              <w:gridCol w:w="1390"/>
              <w:gridCol w:w="1138"/>
            </w:tblGrid>
            <w:tr w14:paraId="37819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4" w:hRule="atLeast"/>
              </w:trPr>
              <w:tc>
                <w:tcPr>
                  <w:tcW w:w="1350" w:type="dxa"/>
                  <w:tcBorders>
                    <w:tl2br w:val="nil"/>
                    <w:tr2bl w:val="nil"/>
                  </w:tcBorders>
                  <w:shd w:val="clear" w:color="auto" w:fill="auto"/>
                  <w:noWrap/>
                  <w:vAlign w:val="center"/>
                </w:tcPr>
                <w:p w14:paraId="5EA28BC4">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物料名称</w:t>
                  </w:r>
                </w:p>
              </w:tc>
              <w:tc>
                <w:tcPr>
                  <w:tcW w:w="2007" w:type="dxa"/>
                  <w:tcBorders>
                    <w:tl2br w:val="nil"/>
                    <w:tr2bl w:val="nil"/>
                  </w:tcBorders>
                  <w:shd w:val="clear" w:color="auto" w:fill="auto"/>
                  <w:noWrap/>
                  <w:vAlign w:val="center"/>
                </w:tcPr>
                <w:p w14:paraId="5E66B035">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物质特性</w:t>
                  </w:r>
                </w:p>
              </w:tc>
              <w:tc>
                <w:tcPr>
                  <w:tcW w:w="949" w:type="dxa"/>
                  <w:tcBorders>
                    <w:tl2br w:val="nil"/>
                    <w:tr2bl w:val="nil"/>
                  </w:tcBorders>
                  <w:shd w:val="clear" w:color="auto" w:fill="auto"/>
                  <w:noWrap/>
                  <w:vAlign w:val="center"/>
                </w:tcPr>
                <w:p w14:paraId="1EE385B0">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厂区最大储存量（t）</w:t>
                  </w:r>
                </w:p>
              </w:tc>
              <w:tc>
                <w:tcPr>
                  <w:tcW w:w="1266" w:type="dxa"/>
                  <w:tcBorders>
                    <w:tl2br w:val="nil"/>
                    <w:tr2bl w:val="nil"/>
                  </w:tcBorders>
                  <w:shd w:val="clear" w:color="auto" w:fill="auto"/>
                  <w:noWrap/>
                  <w:vAlign w:val="center"/>
                </w:tcPr>
                <w:p w14:paraId="5E77CC72">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储存方式及位置</w:t>
                  </w:r>
                </w:p>
              </w:tc>
              <w:tc>
                <w:tcPr>
                  <w:tcW w:w="1390" w:type="dxa"/>
                  <w:tcBorders>
                    <w:tl2br w:val="nil"/>
                    <w:tr2bl w:val="nil"/>
                  </w:tcBorders>
                  <w:shd w:val="clear" w:color="auto" w:fill="auto"/>
                  <w:noWrap/>
                  <w:vAlign w:val="center"/>
                </w:tcPr>
                <w:p w14:paraId="0667CA6C">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临界量（t）</w:t>
                  </w:r>
                </w:p>
              </w:tc>
              <w:tc>
                <w:tcPr>
                  <w:tcW w:w="1138" w:type="dxa"/>
                  <w:tcBorders>
                    <w:tl2br w:val="nil"/>
                    <w:tr2bl w:val="nil"/>
                  </w:tcBorders>
                  <w:shd w:val="clear" w:color="auto" w:fill="auto"/>
                  <w:noWrap/>
                  <w:vAlign w:val="center"/>
                </w:tcPr>
                <w:p w14:paraId="24033DB7">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q/Q</w:t>
                  </w:r>
                </w:p>
              </w:tc>
            </w:tr>
            <w:tr w14:paraId="74C0E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4" w:hRule="atLeast"/>
              </w:trPr>
              <w:tc>
                <w:tcPr>
                  <w:tcW w:w="1350" w:type="dxa"/>
                  <w:tcBorders>
                    <w:tl2br w:val="nil"/>
                    <w:tr2bl w:val="nil"/>
                  </w:tcBorders>
                  <w:shd w:val="clear" w:color="auto" w:fill="auto"/>
                  <w:noWrap/>
                  <w:vAlign w:val="center"/>
                </w:tcPr>
                <w:p w14:paraId="6B40EFD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橡胶石蜡油</w:t>
                  </w:r>
                </w:p>
              </w:tc>
              <w:tc>
                <w:tcPr>
                  <w:tcW w:w="2007" w:type="dxa"/>
                  <w:tcBorders>
                    <w:tl2br w:val="nil"/>
                    <w:tr2bl w:val="nil"/>
                  </w:tcBorders>
                  <w:shd w:val="clear" w:color="auto" w:fill="auto"/>
                  <w:noWrap/>
                  <w:vAlign w:val="center"/>
                </w:tcPr>
                <w:p w14:paraId="62AB2E2D">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石油烃混合物，可燃，泄漏易污染土壤、地表水及地下水，不属于《危险化学品目录》所列危险化学品</w:t>
                  </w:r>
                </w:p>
              </w:tc>
              <w:tc>
                <w:tcPr>
                  <w:tcW w:w="949" w:type="dxa"/>
                  <w:tcBorders>
                    <w:tl2br w:val="nil"/>
                    <w:tr2bl w:val="nil"/>
                  </w:tcBorders>
                  <w:shd w:val="clear" w:color="auto" w:fill="auto"/>
                  <w:noWrap/>
                  <w:vAlign w:val="center"/>
                </w:tcPr>
                <w:p w14:paraId="539AAD79">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15</w:t>
                  </w:r>
                </w:p>
              </w:tc>
              <w:tc>
                <w:tcPr>
                  <w:tcW w:w="1266" w:type="dxa"/>
                  <w:tcBorders>
                    <w:tl2br w:val="nil"/>
                    <w:tr2bl w:val="nil"/>
                  </w:tcBorders>
                  <w:shd w:val="clear" w:color="auto" w:fill="auto"/>
                  <w:noWrap/>
                  <w:vAlign w:val="center"/>
                </w:tcPr>
                <w:p w14:paraId="7FFE03F0">
                  <w:pPr>
                    <w:jc w:val="center"/>
                    <w:rPr>
                      <w:rFonts w:hint="default" w:ascii="Times New Roman" w:hAnsi="Times New Roman" w:eastAsia="宋体" w:cs="Times New Roman"/>
                      <w:color w:val="auto"/>
                      <w:szCs w:val="21"/>
                      <w:lang w:val="en-US"/>
                    </w:rPr>
                  </w:pPr>
                  <w:r>
                    <w:rPr>
                      <w:rFonts w:hint="default" w:ascii="Times New Roman" w:hAnsi="Times New Roman" w:eastAsia="宋体" w:cs="Times New Roman"/>
                      <w:color w:val="auto"/>
                      <w:szCs w:val="21"/>
                      <w:lang w:val="en-US" w:eastAsia="zh-CN"/>
                    </w:rPr>
                    <w:t>储罐</w:t>
                  </w:r>
                </w:p>
              </w:tc>
              <w:tc>
                <w:tcPr>
                  <w:tcW w:w="1390" w:type="dxa"/>
                  <w:tcBorders>
                    <w:tl2br w:val="nil"/>
                    <w:tr2bl w:val="nil"/>
                  </w:tcBorders>
                  <w:shd w:val="clear" w:color="auto" w:fill="auto"/>
                  <w:noWrap/>
                  <w:vAlign w:val="center"/>
                </w:tcPr>
                <w:p w14:paraId="2FE16277">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2500</w:t>
                  </w:r>
                </w:p>
              </w:tc>
              <w:tc>
                <w:tcPr>
                  <w:tcW w:w="1138" w:type="dxa"/>
                  <w:tcBorders>
                    <w:tl2br w:val="nil"/>
                    <w:tr2bl w:val="nil"/>
                  </w:tcBorders>
                  <w:shd w:val="clear" w:color="auto" w:fill="auto"/>
                  <w:noWrap/>
                  <w:vAlign w:val="center"/>
                </w:tcPr>
                <w:p w14:paraId="0B00392C">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0.006</w:t>
                  </w:r>
                </w:p>
              </w:tc>
            </w:tr>
            <w:tr w14:paraId="6C57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4" w:hRule="atLeast"/>
              </w:trPr>
              <w:tc>
                <w:tcPr>
                  <w:tcW w:w="1350" w:type="dxa"/>
                  <w:tcBorders>
                    <w:tl2br w:val="nil"/>
                    <w:tr2bl w:val="nil"/>
                  </w:tcBorders>
                  <w:shd w:val="clear" w:color="auto" w:fill="auto"/>
                  <w:noWrap/>
                  <w:vAlign w:val="center"/>
                </w:tcPr>
                <w:p w14:paraId="2722611C">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机油</w:t>
                  </w:r>
                </w:p>
              </w:tc>
              <w:tc>
                <w:tcPr>
                  <w:tcW w:w="2007" w:type="dxa"/>
                  <w:tcBorders>
                    <w:tl2br w:val="nil"/>
                    <w:tr2bl w:val="nil"/>
                  </w:tcBorders>
                  <w:shd w:val="clear" w:color="auto" w:fill="auto"/>
                  <w:noWrap/>
                  <w:vAlign w:val="center"/>
                </w:tcPr>
                <w:p w14:paraId="516621E0">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矿物润滑油，可燃，泄漏易污染土壤、水体</w:t>
                  </w:r>
                </w:p>
              </w:tc>
              <w:tc>
                <w:tcPr>
                  <w:tcW w:w="949" w:type="dxa"/>
                  <w:tcBorders>
                    <w:tl2br w:val="nil"/>
                    <w:tr2bl w:val="nil"/>
                  </w:tcBorders>
                  <w:shd w:val="clear" w:color="auto" w:fill="auto"/>
                  <w:noWrap/>
                  <w:vAlign w:val="center"/>
                </w:tcPr>
                <w:p w14:paraId="3AE7C6AB">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0.04</w:t>
                  </w:r>
                </w:p>
              </w:tc>
              <w:tc>
                <w:tcPr>
                  <w:tcW w:w="1266" w:type="dxa"/>
                  <w:tcBorders>
                    <w:tl2br w:val="nil"/>
                    <w:tr2bl w:val="nil"/>
                  </w:tcBorders>
                  <w:shd w:val="clear" w:color="auto" w:fill="auto"/>
                  <w:noWrap/>
                  <w:vAlign w:val="center"/>
                </w:tcPr>
                <w:p w14:paraId="15A33D1E">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桶装，原料仓库</w:t>
                  </w:r>
                </w:p>
              </w:tc>
              <w:tc>
                <w:tcPr>
                  <w:tcW w:w="1390" w:type="dxa"/>
                  <w:tcBorders>
                    <w:tl2br w:val="nil"/>
                    <w:tr2bl w:val="nil"/>
                  </w:tcBorders>
                  <w:shd w:val="clear" w:color="auto" w:fill="auto"/>
                  <w:noWrap/>
                  <w:vAlign w:val="center"/>
                </w:tcPr>
                <w:p w14:paraId="30C35D2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2500</w:t>
                  </w:r>
                </w:p>
              </w:tc>
              <w:tc>
                <w:tcPr>
                  <w:tcW w:w="1138" w:type="dxa"/>
                  <w:tcBorders>
                    <w:tl2br w:val="nil"/>
                    <w:tr2bl w:val="nil"/>
                  </w:tcBorders>
                  <w:shd w:val="clear" w:color="auto" w:fill="auto"/>
                  <w:noWrap/>
                  <w:vAlign w:val="center"/>
                </w:tcPr>
                <w:p w14:paraId="77B3FB20">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0.000016</w:t>
                  </w:r>
                </w:p>
              </w:tc>
            </w:tr>
            <w:tr w14:paraId="1138F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4" w:hRule="atLeast"/>
              </w:trPr>
              <w:tc>
                <w:tcPr>
                  <w:tcW w:w="1350" w:type="dxa"/>
                  <w:tcBorders>
                    <w:tl2br w:val="nil"/>
                    <w:tr2bl w:val="nil"/>
                  </w:tcBorders>
                  <w:shd w:val="clear" w:color="auto" w:fill="auto"/>
                  <w:noWrap/>
                  <w:vAlign w:val="center"/>
                </w:tcPr>
                <w:p w14:paraId="13556934">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废机油</w:t>
                  </w:r>
                </w:p>
              </w:tc>
              <w:tc>
                <w:tcPr>
                  <w:tcW w:w="2007" w:type="dxa"/>
                  <w:tcBorders>
                    <w:tl2br w:val="nil"/>
                    <w:tr2bl w:val="nil"/>
                  </w:tcBorders>
                  <w:shd w:val="clear" w:color="auto" w:fill="auto"/>
                  <w:noWrap/>
                  <w:vAlign w:val="center"/>
                </w:tcPr>
                <w:p w14:paraId="63534849">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HW08危险废物，可燃，具有毒性，泄漏易污染土壤、地下水</w:t>
                  </w:r>
                </w:p>
              </w:tc>
              <w:tc>
                <w:tcPr>
                  <w:tcW w:w="949" w:type="dxa"/>
                  <w:tcBorders>
                    <w:tl2br w:val="nil"/>
                    <w:tr2bl w:val="nil"/>
                  </w:tcBorders>
                  <w:shd w:val="clear" w:color="auto" w:fill="auto"/>
                  <w:noWrap/>
                  <w:vAlign w:val="center"/>
                </w:tcPr>
                <w:p w14:paraId="41CCAF3F">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0.02</w:t>
                  </w:r>
                </w:p>
              </w:tc>
              <w:tc>
                <w:tcPr>
                  <w:tcW w:w="1266" w:type="dxa"/>
                  <w:tcBorders>
                    <w:tl2br w:val="nil"/>
                    <w:tr2bl w:val="nil"/>
                  </w:tcBorders>
                  <w:shd w:val="clear" w:color="auto" w:fill="auto"/>
                  <w:noWrap/>
                  <w:vAlign w:val="center"/>
                </w:tcPr>
                <w:p w14:paraId="458EEE68">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密闭桶装，危险废物暂存间</w:t>
                  </w:r>
                </w:p>
              </w:tc>
              <w:tc>
                <w:tcPr>
                  <w:tcW w:w="1390" w:type="dxa"/>
                  <w:tcBorders>
                    <w:tl2br w:val="nil"/>
                    <w:tr2bl w:val="nil"/>
                  </w:tcBorders>
                  <w:shd w:val="clear" w:color="auto" w:fill="auto"/>
                  <w:noWrap/>
                  <w:vAlign w:val="center"/>
                </w:tcPr>
                <w:p w14:paraId="200DB2E4">
                  <w:pPr>
                    <w:jc w:val="center"/>
                    <w:rPr>
                      <w:rFonts w:hint="default" w:ascii="Times New Roman" w:hAnsi="Times New Roman" w:eastAsia="宋体" w:cs="Times New Roman"/>
                      <w:color w:val="auto"/>
                      <w:szCs w:val="21"/>
                      <w:lang w:val="en-US"/>
                    </w:rPr>
                  </w:pPr>
                  <w:r>
                    <w:rPr>
                      <w:rFonts w:hint="default" w:ascii="Times New Roman" w:hAnsi="Times New Roman" w:cs="Times New Roman"/>
                      <w:color w:val="auto"/>
                      <w:szCs w:val="21"/>
                      <w:lang w:val="en-US" w:eastAsia="zh-CN"/>
                    </w:rPr>
                    <w:t>50</w:t>
                  </w:r>
                </w:p>
              </w:tc>
              <w:tc>
                <w:tcPr>
                  <w:tcW w:w="1138" w:type="dxa"/>
                  <w:tcBorders>
                    <w:tl2br w:val="nil"/>
                    <w:tr2bl w:val="nil"/>
                  </w:tcBorders>
                  <w:shd w:val="clear" w:color="auto" w:fill="auto"/>
                  <w:noWrap/>
                  <w:vAlign w:val="center"/>
                </w:tcPr>
                <w:p w14:paraId="632D0964">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0.000</w:t>
                  </w:r>
                  <w:r>
                    <w:rPr>
                      <w:rFonts w:hint="default" w:ascii="Times New Roman" w:hAnsi="Times New Roman" w:cs="Times New Roman"/>
                      <w:color w:val="auto"/>
                      <w:szCs w:val="21"/>
                      <w:lang w:val="en-US" w:eastAsia="zh-CN"/>
                    </w:rPr>
                    <w:t>4</w:t>
                  </w:r>
                </w:p>
              </w:tc>
            </w:tr>
            <w:tr w14:paraId="70BDA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4" w:hRule="atLeast"/>
              </w:trPr>
              <w:tc>
                <w:tcPr>
                  <w:tcW w:w="1350" w:type="dxa"/>
                  <w:tcBorders>
                    <w:tl2br w:val="nil"/>
                    <w:tr2bl w:val="nil"/>
                  </w:tcBorders>
                  <w:shd w:val="clear" w:color="auto" w:fill="auto"/>
                  <w:noWrap/>
                  <w:vAlign w:val="center"/>
                </w:tcPr>
                <w:p w14:paraId="39D087DA">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废活性炭</w:t>
                  </w:r>
                </w:p>
              </w:tc>
              <w:tc>
                <w:tcPr>
                  <w:tcW w:w="2007" w:type="dxa"/>
                  <w:tcBorders>
                    <w:tl2br w:val="nil"/>
                    <w:tr2bl w:val="nil"/>
                  </w:tcBorders>
                  <w:shd w:val="clear" w:color="auto" w:fill="auto"/>
                  <w:noWrap/>
                  <w:vAlign w:val="center"/>
                </w:tcPr>
                <w:p w14:paraId="2E13AE0C">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HW49危险废物，吸附有机污染物，高温下释放</w:t>
                  </w:r>
                  <w:r>
                    <w:rPr>
                      <w:rFonts w:hint="default" w:ascii="Times New Roman" w:hAnsi="Times New Roman" w:cs="Times New Roman"/>
                      <w:color w:val="auto"/>
                      <w:szCs w:val="21"/>
                      <w:highlight w:val="none"/>
                      <w:lang w:val="en-US" w:eastAsia="zh-CN"/>
                    </w:rPr>
                    <w:t>非甲烷总烃/VOCs</w:t>
                  </w:r>
                  <w:r>
                    <w:rPr>
                      <w:rFonts w:hint="default" w:ascii="Times New Roman" w:hAnsi="Times New Roman" w:eastAsia="宋体" w:cs="Times New Roman"/>
                      <w:color w:val="auto"/>
                      <w:szCs w:val="21"/>
                      <w:highlight w:val="none"/>
                      <w:lang w:val="en-US" w:eastAsia="zh-CN"/>
                    </w:rPr>
                    <w:t>，火灾产生有毒烟气</w:t>
                  </w:r>
                </w:p>
              </w:tc>
              <w:tc>
                <w:tcPr>
                  <w:tcW w:w="949" w:type="dxa"/>
                  <w:tcBorders>
                    <w:tl2br w:val="nil"/>
                    <w:tr2bl w:val="nil"/>
                  </w:tcBorders>
                  <w:shd w:val="clear" w:color="auto" w:fill="auto"/>
                  <w:noWrap/>
                  <w:vAlign w:val="center"/>
                </w:tcPr>
                <w:p w14:paraId="23DD48E3">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0.2</w:t>
                  </w:r>
                </w:p>
              </w:tc>
              <w:tc>
                <w:tcPr>
                  <w:tcW w:w="1266" w:type="dxa"/>
                  <w:tcBorders>
                    <w:tl2br w:val="nil"/>
                    <w:tr2bl w:val="nil"/>
                  </w:tcBorders>
                  <w:shd w:val="clear" w:color="auto" w:fill="auto"/>
                  <w:noWrap/>
                  <w:vAlign w:val="center"/>
                </w:tcPr>
                <w:p w14:paraId="5692326C">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密封袋装，危险废物暂存间</w:t>
                  </w:r>
                </w:p>
              </w:tc>
              <w:tc>
                <w:tcPr>
                  <w:tcW w:w="1390" w:type="dxa"/>
                  <w:tcBorders>
                    <w:tl2br w:val="nil"/>
                    <w:tr2bl w:val="nil"/>
                  </w:tcBorders>
                  <w:shd w:val="clear" w:color="auto" w:fill="auto"/>
                  <w:noWrap/>
                  <w:vAlign w:val="center"/>
                </w:tcPr>
                <w:p w14:paraId="40C08CE3">
                  <w:pPr>
                    <w:jc w:val="center"/>
                    <w:rPr>
                      <w:rFonts w:hint="default" w:ascii="Times New Roman" w:hAnsi="Times New Roman" w:eastAsia="宋体" w:cs="Times New Roman"/>
                      <w:color w:val="auto"/>
                      <w:szCs w:val="21"/>
                      <w:highlight w:val="none"/>
                      <w:lang w:val="en-US"/>
                    </w:rPr>
                  </w:pPr>
                  <w:r>
                    <w:rPr>
                      <w:rFonts w:hint="default" w:ascii="Times New Roman" w:hAnsi="Times New Roman" w:cs="Times New Roman"/>
                      <w:color w:val="auto"/>
                      <w:szCs w:val="21"/>
                      <w:highlight w:val="none"/>
                      <w:lang w:val="en-US" w:eastAsia="zh-CN"/>
                    </w:rPr>
                    <w:t>50</w:t>
                  </w:r>
                </w:p>
              </w:tc>
              <w:tc>
                <w:tcPr>
                  <w:tcW w:w="1138" w:type="dxa"/>
                  <w:tcBorders>
                    <w:tl2br w:val="nil"/>
                    <w:tr2bl w:val="nil"/>
                  </w:tcBorders>
                  <w:shd w:val="clear" w:color="auto" w:fill="auto"/>
                  <w:noWrap/>
                  <w:vAlign w:val="center"/>
                </w:tcPr>
                <w:p w14:paraId="4E2AAA79">
                  <w:pPr>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lang w:val="en-US" w:eastAsia="zh-CN"/>
                    </w:rPr>
                    <w:t>0.00</w:t>
                  </w:r>
                  <w:r>
                    <w:rPr>
                      <w:rFonts w:hint="default" w:ascii="Times New Roman" w:hAnsi="Times New Roman" w:cs="Times New Roman"/>
                      <w:color w:val="auto"/>
                      <w:szCs w:val="21"/>
                      <w:highlight w:val="none"/>
                      <w:lang w:val="en-US" w:eastAsia="zh-CN"/>
                    </w:rPr>
                    <w:t>4</w:t>
                  </w:r>
                </w:p>
              </w:tc>
            </w:tr>
            <w:tr w14:paraId="1D857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4" w:hRule="atLeast"/>
              </w:trPr>
              <w:tc>
                <w:tcPr>
                  <w:tcW w:w="1350" w:type="dxa"/>
                  <w:tcBorders>
                    <w:tl2br w:val="nil"/>
                    <w:tr2bl w:val="nil"/>
                  </w:tcBorders>
                  <w:shd w:val="clear" w:color="auto" w:fill="auto"/>
                  <w:noWrap/>
                  <w:vAlign w:val="center"/>
                </w:tcPr>
                <w:p w14:paraId="3666C81A">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合计</w:t>
                  </w:r>
                </w:p>
              </w:tc>
              <w:tc>
                <w:tcPr>
                  <w:tcW w:w="2007" w:type="dxa"/>
                  <w:tcBorders>
                    <w:tl2br w:val="nil"/>
                    <w:tr2bl w:val="nil"/>
                  </w:tcBorders>
                  <w:shd w:val="clear" w:color="auto" w:fill="auto"/>
                  <w:noWrap/>
                  <w:vAlign w:val="center"/>
                </w:tcPr>
                <w:p w14:paraId="01B028ED">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w:t>
                  </w:r>
                </w:p>
              </w:tc>
              <w:tc>
                <w:tcPr>
                  <w:tcW w:w="949" w:type="dxa"/>
                  <w:tcBorders>
                    <w:tl2br w:val="nil"/>
                    <w:tr2bl w:val="nil"/>
                  </w:tcBorders>
                  <w:shd w:val="clear" w:color="auto" w:fill="auto"/>
                  <w:noWrap/>
                  <w:vAlign w:val="center"/>
                </w:tcPr>
                <w:p w14:paraId="39184A49">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w:t>
                  </w:r>
                </w:p>
              </w:tc>
              <w:tc>
                <w:tcPr>
                  <w:tcW w:w="1266" w:type="dxa"/>
                  <w:tcBorders>
                    <w:tl2br w:val="nil"/>
                    <w:tr2bl w:val="nil"/>
                  </w:tcBorders>
                  <w:shd w:val="clear" w:color="auto" w:fill="auto"/>
                  <w:noWrap/>
                  <w:vAlign w:val="center"/>
                </w:tcPr>
                <w:p w14:paraId="5BFD3F56">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w:t>
                  </w:r>
                </w:p>
              </w:tc>
              <w:tc>
                <w:tcPr>
                  <w:tcW w:w="1390" w:type="dxa"/>
                  <w:tcBorders>
                    <w:tl2br w:val="nil"/>
                    <w:tr2bl w:val="nil"/>
                  </w:tcBorders>
                  <w:shd w:val="clear" w:color="auto" w:fill="auto"/>
                  <w:noWrap/>
                  <w:vAlign w:val="center"/>
                </w:tcPr>
                <w:p w14:paraId="0E656B3A">
                  <w:pPr>
                    <w:jc w:val="center"/>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lang w:val="en-US" w:eastAsia="zh-CN"/>
                    </w:rPr>
                    <w:t>—</w:t>
                  </w:r>
                </w:p>
              </w:tc>
              <w:tc>
                <w:tcPr>
                  <w:tcW w:w="1138" w:type="dxa"/>
                  <w:tcBorders>
                    <w:tl2br w:val="nil"/>
                    <w:tr2bl w:val="nil"/>
                  </w:tcBorders>
                  <w:shd w:val="clear" w:color="auto" w:fill="auto"/>
                  <w:noWrap/>
                  <w:vAlign w:val="center"/>
                </w:tcPr>
                <w:p w14:paraId="1B66C089">
                  <w:pPr>
                    <w:jc w:val="center"/>
                    <w:rPr>
                      <w:rFonts w:hint="default" w:ascii="Times New Roman" w:hAnsi="Times New Roman" w:eastAsia="宋体" w:cs="Times New Roman"/>
                      <w:color w:val="auto"/>
                      <w:szCs w:val="21"/>
                    </w:rPr>
                  </w:pPr>
                  <w:r>
                    <w:rPr>
                      <w:rFonts w:hint="default" w:ascii="Times New Roman" w:hAnsi="Times New Roman" w:cs="Times New Roman"/>
                      <w:color w:val="auto"/>
                      <w:szCs w:val="21"/>
                      <w:lang w:val="en-US" w:eastAsia="zh-CN"/>
                    </w:rPr>
                    <w:t>0.010416</w:t>
                  </w:r>
                </w:p>
              </w:tc>
            </w:tr>
          </w:tbl>
          <w:p w14:paraId="431AD8B1">
            <w:pPr>
              <w:autoSpaceDE w:val="0"/>
              <w:autoSpaceDN w:val="0"/>
              <w:adjustRightInd w:val="0"/>
              <w:snapToGrid w:val="0"/>
              <w:spacing w:line="360" w:lineRule="auto"/>
              <w:jc w:val="center"/>
              <w:rPr>
                <w:rFonts w:hint="default" w:ascii="Times New Roman" w:hAnsi="Times New Roman" w:cs="Times New Roman"/>
                <w:b/>
                <w:bCs/>
                <w:color w:val="auto"/>
                <w:kern w:val="0"/>
                <w:sz w:val="24"/>
              </w:rPr>
            </w:pPr>
          </w:p>
          <w:p w14:paraId="572A2AEF">
            <w:pPr>
              <w:autoSpaceDE w:val="0"/>
              <w:autoSpaceDN w:val="0"/>
              <w:adjustRightInd w:val="0"/>
              <w:snapToGrid w:val="0"/>
              <w:spacing w:line="360" w:lineRule="auto"/>
              <w:ind w:firstLine="482" w:firstLineChars="200"/>
              <w:rPr>
                <w:rFonts w:hint="default" w:ascii="Times New Roman" w:hAnsi="Times New Roman" w:eastAsia="宋体" w:cs="Times New Roman"/>
                <w:b/>
                <w:bCs/>
                <w:color w:val="auto"/>
                <w:kern w:val="0"/>
                <w:sz w:val="24"/>
              </w:rPr>
            </w:pPr>
            <w:r>
              <w:rPr>
                <w:rFonts w:hint="default" w:ascii="Times New Roman" w:hAnsi="Times New Roman" w:eastAsia="宋体" w:cs="Times New Roman"/>
                <w:b/>
                <w:bCs/>
                <w:color w:val="auto"/>
                <w:kern w:val="0"/>
                <w:sz w:val="24"/>
                <w:lang w:eastAsia="zh-CN"/>
              </w:rPr>
              <w:t>（</w:t>
            </w:r>
            <w:r>
              <w:rPr>
                <w:rFonts w:hint="default" w:ascii="Times New Roman" w:hAnsi="Times New Roman" w:eastAsia="宋体" w:cs="Times New Roman"/>
                <w:b/>
                <w:bCs/>
                <w:color w:val="auto"/>
                <w:kern w:val="0"/>
                <w:sz w:val="24"/>
                <w:lang w:val="en-US" w:eastAsia="zh-CN"/>
              </w:rPr>
              <w:t>2</w:t>
            </w:r>
            <w:r>
              <w:rPr>
                <w:rFonts w:hint="default" w:ascii="Times New Roman" w:hAnsi="Times New Roman" w:eastAsia="宋体" w:cs="Times New Roman"/>
                <w:b/>
                <w:bCs/>
                <w:color w:val="auto"/>
                <w:kern w:val="0"/>
                <w:sz w:val="24"/>
                <w:lang w:eastAsia="zh-CN"/>
              </w:rPr>
              <w:t>）</w:t>
            </w:r>
            <w:r>
              <w:rPr>
                <w:rFonts w:hint="default" w:ascii="Times New Roman" w:hAnsi="Times New Roman" w:eastAsia="宋体" w:cs="Times New Roman"/>
                <w:b/>
                <w:bCs/>
                <w:color w:val="auto"/>
                <w:kern w:val="0"/>
                <w:sz w:val="24"/>
              </w:rPr>
              <w:t>环境风险分析</w:t>
            </w:r>
          </w:p>
          <w:p w14:paraId="76285D67">
            <w:pPr>
              <w:numPr>
                <w:ilvl w:val="0"/>
                <w:numId w:val="0"/>
              </w:numPr>
              <w:autoSpaceDE w:val="0"/>
              <w:autoSpaceDN w:val="0"/>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①地表水风险分析</w:t>
            </w:r>
            <w:r>
              <w:rPr>
                <w:rFonts w:hint="default" w:ascii="Times New Roman" w:hAnsi="Times New Roman" w:cs="Times New Roman"/>
                <w:sz w:val="24"/>
                <w:szCs w:val="24"/>
                <w:lang w:val="en-US" w:eastAsia="zh-CN"/>
              </w:rPr>
              <w:t>：</w:t>
            </w:r>
            <w:r>
              <w:rPr>
                <w:rFonts w:hint="default" w:ascii="Times New Roman" w:hAnsi="Times New Roman" w:eastAsia="宋体" w:cs="Times New Roman"/>
                <w:sz w:val="24"/>
                <w:szCs w:val="24"/>
                <w:lang w:val="en-US" w:eastAsia="zh-CN"/>
              </w:rPr>
              <w:t xml:space="preserve"> 厂区橡胶石蜡油、机油、废机油等矿物油类物质若发生泄漏，管控不当可随地面径流、雨水管网污染地表水体，形成油膜，抑制水体复氧，造成水质恶化，破坏水生生态；危险物质引发火灾时，产生大量消防废水，若未有效收集，携带油品、燃烧污染物进入周边地表水体，造成次生水污染。</w:t>
            </w:r>
          </w:p>
          <w:p w14:paraId="59AC33A5">
            <w:pPr>
              <w:autoSpaceDE w:val="0"/>
              <w:autoSpaceDN w:val="0"/>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②大气环境风险分析</w:t>
            </w:r>
            <w:r>
              <w:rPr>
                <w:rFonts w:hint="default" w:ascii="Times New Roman" w:hAnsi="Times New Roman" w:cs="Times New Roman"/>
                <w:sz w:val="24"/>
                <w:szCs w:val="24"/>
                <w:lang w:val="en-US" w:eastAsia="zh-CN"/>
              </w:rPr>
              <w:t>：</w:t>
            </w:r>
            <w:r>
              <w:rPr>
                <w:rFonts w:hint="default" w:ascii="Times New Roman" w:hAnsi="Times New Roman" w:eastAsia="宋体" w:cs="Times New Roman"/>
                <w:sz w:val="24"/>
                <w:szCs w:val="24"/>
                <w:lang w:val="en-US" w:eastAsia="zh-CN"/>
              </w:rPr>
              <w:t xml:space="preserve"> 若发生火灾事故，橡胶石蜡油、矿物油、有机附着物燃烧将产生碳氢化合物、一氧化碳、烟尘等污染物，造成区域大气污染；废活性炭受热后会释放吸附的挥发性有机物，加剧大气环境影响。</w:t>
            </w:r>
          </w:p>
          <w:p w14:paraId="6644500A">
            <w:pPr>
              <w:autoSpaceDE w:val="0"/>
              <w:autoSpaceDN w:val="0"/>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③地下水、土壤风险分析</w:t>
            </w:r>
            <w:r>
              <w:rPr>
                <w:rFonts w:hint="default" w:ascii="Times New Roman" w:hAnsi="Times New Roman" w:cs="Times New Roman"/>
                <w:sz w:val="24"/>
                <w:szCs w:val="24"/>
                <w:lang w:val="en-US" w:eastAsia="zh-CN"/>
              </w:rPr>
              <w:t>：</w:t>
            </w:r>
            <w:r>
              <w:rPr>
                <w:rFonts w:hint="default" w:ascii="Times New Roman" w:hAnsi="Times New Roman" w:eastAsia="宋体" w:cs="Times New Roman"/>
                <w:sz w:val="24"/>
                <w:szCs w:val="24"/>
                <w:lang w:val="en-US" w:eastAsia="zh-CN"/>
              </w:rPr>
              <w:t>矿物油类物料一旦发生泄漏，如储存区域防渗失效，油品渗入土壤，造成土壤污染；长期下渗可进一步污染地下水。火灾产生的消防废水若漫流下渗，同样存在土壤及地下水污染风险。</w:t>
            </w:r>
          </w:p>
          <w:p w14:paraId="0F970FF8">
            <w:pPr>
              <w:autoSpaceDE w:val="0"/>
              <w:autoSpaceDN w:val="0"/>
              <w:adjustRightInd w:val="0"/>
              <w:snapToGrid w:val="0"/>
              <w:spacing w:line="360" w:lineRule="auto"/>
              <w:ind w:firstLine="482" w:firstLineChars="200"/>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（3）环境风险防范措施及应急要求</w:t>
            </w:r>
          </w:p>
          <w:p w14:paraId="78203EC0">
            <w:pPr>
              <w:autoSpaceDE w:val="0"/>
              <w:autoSpaceDN w:val="0"/>
              <w:adjustRightInd w:val="0"/>
              <w:snapToGrid w:val="0"/>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①橡胶石蜡油、机油、废机油等矿物油储存区域地面采用防渗混凝土硬化，设置防渗托盘、应急收集沟；危废暂存间严格按照GB18597-2023要求防渗、防雨、防泄漏。物料发生泄漏时，泄漏物料截留在收集设施内，及时回收处置，避免扩散。</w:t>
            </w:r>
          </w:p>
          <w:p w14:paraId="65A4476E">
            <w:pPr>
              <w:autoSpaceDE w:val="0"/>
              <w:autoSpaceDN w:val="0"/>
              <w:adjustRightInd w:val="0"/>
              <w:snapToGrid w:val="0"/>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②矿物油类原料仓库、危废暂存间严禁明火，远离热源、电气火花，设置禁烟标识。</w:t>
            </w:r>
          </w:p>
          <w:p w14:paraId="25F5995A">
            <w:pPr>
              <w:autoSpaceDE w:val="0"/>
              <w:autoSpaceDN w:val="0"/>
              <w:adjustRightInd w:val="0"/>
              <w:snapToGrid w:val="0"/>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③生产设备配套接油盘，防止设备润滑油滴漏；车间地面及时清理散落油品，采用吸油毡、沙土吸附收集；定期开展设备巡检，及时堵漏；发生较大泄漏时，利用沙袋构筑临时围堰，收集泄漏油品，防止油品漫流污染土壤。沾染油品的吸油毡、沙土按HW08危险废物规范收集处置。</w:t>
            </w:r>
          </w:p>
          <w:p w14:paraId="161788B4">
            <w:pPr>
              <w:autoSpaceDE w:val="0"/>
              <w:autoSpaceDN w:val="0"/>
              <w:adjustRightInd w:val="0"/>
              <w:snapToGrid w:val="0"/>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④厂区按规范配套干粉灭火器、消防沙等消防器材，合理布置消防设施，及时处置初期火灾。</w:t>
            </w:r>
          </w:p>
          <w:p w14:paraId="228BBAE8">
            <w:pPr>
              <w:autoSpaceDE w:val="0"/>
              <w:autoSpaceDN w:val="0"/>
              <w:adjustRightInd w:val="0"/>
              <w:snapToGrid w:val="0"/>
              <w:spacing w:line="360" w:lineRule="auto"/>
              <w:ind w:firstLine="480" w:firstLineChars="200"/>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⑤厂区优化平面布局，严格执行防火规范；建立安全生产管理制度，定期开展员工安全、环境风险培训，规范操作流程，降低事故发生概率。</w:t>
            </w:r>
          </w:p>
          <w:p w14:paraId="3FD56EF8">
            <w:pPr>
              <w:autoSpaceDE w:val="0"/>
              <w:autoSpaceDN w:val="0"/>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⑥配套事故应急收集池，确保火灾消防废水、事故泄漏废水全部截留，严禁未经处理外排。</w:t>
            </w:r>
          </w:p>
          <w:p w14:paraId="356E3737">
            <w:pPr>
              <w:autoSpaceDE w:val="0"/>
              <w:autoSpaceDN w:val="0"/>
              <w:adjustRightInd w:val="0"/>
              <w:snapToGrid w:val="0"/>
              <w:spacing w:line="360" w:lineRule="auto"/>
              <w:ind w:firstLine="482" w:firstLineChars="200"/>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（4）分析结论</w:t>
            </w:r>
          </w:p>
          <w:p w14:paraId="1D733049">
            <w:pPr>
              <w:autoSpaceDE w:val="0"/>
              <w:autoSpaceDN w:val="0"/>
              <w:adjustRightInd w:val="0"/>
              <w:snapToGrid w:val="0"/>
              <w:spacing w:line="360" w:lineRule="auto"/>
              <w:ind w:firstLine="480" w:firstLineChars="200"/>
              <w:rPr>
                <w:rFonts w:hint="default" w:ascii="Times New Roman" w:hAnsi="Times New Roman" w:cs="Times New Roman"/>
                <w:color w:val="000000"/>
                <w:sz w:val="24"/>
                <w:szCs w:val="24"/>
              </w:rPr>
            </w:pPr>
            <w:r>
              <w:rPr>
                <w:rFonts w:hint="default" w:ascii="Times New Roman" w:hAnsi="Times New Roman" w:eastAsia="宋体" w:cs="Times New Roman"/>
                <w:sz w:val="24"/>
                <w:szCs w:val="24"/>
                <w:lang w:val="en-US" w:eastAsia="zh-CN"/>
              </w:rPr>
              <w:t>本项目涉及风险物质为橡胶石蜡油、机油、废机油、废活性炭，厂区储存规模较小，危险物质总量与临界量比值Q=</w:t>
            </w:r>
            <w:r>
              <w:rPr>
                <w:rFonts w:hint="default" w:ascii="Times New Roman" w:hAnsi="Times New Roman" w:cs="Times New Roman"/>
                <w:sz w:val="24"/>
                <w:szCs w:val="24"/>
                <w:lang w:val="en-US" w:eastAsia="zh-CN"/>
              </w:rPr>
              <w:t>0.010416</w:t>
            </w:r>
            <w:r>
              <w:rPr>
                <w:rFonts w:hint="default" w:ascii="Times New Roman" w:hAnsi="Times New Roman" w:eastAsia="宋体" w:cs="Times New Roman"/>
                <w:sz w:val="24"/>
                <w:szCs w:val="24"/>
                <w:lang w:val="en-US" w:eastAsia="zh-CN"/>
              </w:rPr>
              <w:t>＜1，环境风险潜势为Ⅰ，潜在环境风险较小。项目落实防渗、防泄漏、防火、事故废水收集、应急物资配备等各项风险防范措施后，可有效降低事故发生概率。如突发泄漏、火灾等事故，企业可通过现有应急物资及时处置，控制污染范围。在严格落实各项环境风险防控措施、强化日常环境管理的前提下，本项目环境风险总体可接受。</w:t>
            </w:r>
          </w:p>
          <w:p w14:paraId="471E1F98">
            <w:pPr>
              <w:pStyle w:val="140"/>
              <w:spacing w:before="147"/>
              <w:rPr>
                <w:rFonts w:hint="default" w:ascii="Times New Roman" w:hAnsi="Times New Roman" w:cs="Times New Roman"/>
                <w:b/>
                <w:bCs w:val="0"/>
                <w:color w:val="auto"/>
                <w:kern w:val="2"/>
                <w:sz w:val="21"/>
              </w:rPr>
            </w:pPr>
            <w:r>
              <w:rPr>
                <w:rFonts w:hint="default" w:ascii="Times New Roman" w:hAnsi="Times New Roman" w:cs="Times New Roman"/>
                <w:b/>
                <w:bCs w:val="0"/>
                <w:color w:val="auto"/>
                <w:kern w:val="2"/>
                <w:sz w:val="21"/>
              </w:rPr>
              <w:t>表4-1</w:t>
            </w:r>
            <w:r>
              <w:rPr>
                <w:rFonts w:hint="default" w:ascii="Times New Roman" w:hAnsi="Times New Roman" w:cs="Times New Roman"/>
                <w:b/>
                <w:bCs w:val="0"/>
                <w:color w:val="auto"/>
                <w:kern w:val="2"/>
                <w:sz w:val="21"/>
                <w:lang w:val="en-US" w:eastAsia="zh-CN"/>
              </w:rPr>
              <w:t>4</w:t>
            </w:r>
            <w:r>
              <w:rPr>
                <w:rFonts w:hint="default" w:ascii="Times New Roman" w:hAnsi="Times New Roman" w:cs="Times New Roman"/>
                <w:b/>
                <w:bCs w:val="0"/>
                <w:color w:val="auto"/>
                <w:kern w:val="2"/>
                <w:sz w:val="21"/>
              </w:rPr>
              <w:t xml:space="preserve">  建设项目环境风险简单分析内容表</w:t>
            </w:r>
          </w:p>
          <w:tbl>
            <w:tblPr>
              <w:tblStyle w:val="38"/>
              <w:tblW w:w="0" w:type="auto"/>
              <w:tblInd w:w="-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36"/>
              <w:gridCol w:w="5104"/>
            </w:tblGrid>
            <w:tr w14:paraId="67392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736" w:type="dxa"/>
                  <w:tcBorders>
                    <w:tl2br w:val="nil"/>
                    <w:tr2bl w:val="nil"/>
                  </w:tcBorders>
                  <w:noWrap w:val="0"/>
                  <w:vAlign w:val="center"/>
                </w:tcPr>
                <w:p w14:paraId="646D5F8B">
                  <w:pPr>
                    <w:spacing w:beforeLines="0" w:afterLine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项目</w:t>
                  </w:r>
                </w:p>
              </w:tc>
              <w:tc>
                <w:tcPr>
                  <w:tcW w:w="5104" w:type="dxa"/>
                  <w:tcBorders>
                    <w:tl2br w:val="nil"/>
                    <w:tr2bl w:val="nil"/>
                  </w:tcBorders>
                  <w:noWrap w:val="0"/>
                  <w:vAlign w:val="center"/>
                </w:tcPr>
                <w:p w14:paraId="12F3336B">
                  <w:pPr>
                    <w:spacing w:beforeLines="0" w:afterLine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内容</w:t>
                  </w:r>
                </w:p>
              </w:tc>
            </w:tr>
            <w:tr w14:paraId="50118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736" w:type="dxa"/>
                  <w:tcBorders>
                    <w:tl2br w:val="nil"/>
                    <w:tr2bl w:val="nil"/>
                  </w:tcBorders>
                  <w:noWrap w:val="0"/>
                  <w:vAlign w:val="center"/>
                </w:tcPr>
                <w:p w14:paraId="64F488D6">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建设项目名称</w:t>
                  </w:r>
                </w:p>
              </w:tc>
              <w:tc>
                <w:tcPr>
                  <w:tcW w:w="5104" w:type="dxa"/>
                  <w:tcBorders>
                    <w:tl2br w:val="nil"/>
                    <w:tr2bl w:val="nil"/>
                  </w:tcBorders>
                  <w:noWrap w:val="0"/>
                  <w:vAlign w:val="center"/>
                </w:tcPr>
                <w:p w14:paraId="20D55337">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lang w:eastAsia="zh-CN"/>
                    </w:rPr>
                    <w:t>湖南新辉塑胶有限公司热塑性聚氨酯弹性体生产项目</w:t>
                  </w:r>
                </w:p>
              </w:tc>
            </w:tr>
            <w:tr w14:paraId="5CF4C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736" w:type="dxa"/>
                  <w:tcBorders>
                    <w:tl2br w:val="nil"/>
                    <w:tr2bl w:val="nil"/>
                  </w:tcBorders>
                  <w:noWrap w:val="0"/>
                  <w:vAlign w:val="center"/>
                </w:tcPr>
                <w:p w14:paraId="5285A14E">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建设地点</w:t>
                  </w:r>
                </w:p>
              </w:tc>
              <w:tc>
                <w:tcPr>
                  <w:tcW w:w="5104" w:type="dxa"/>
                  <w:tcBorders>
                    <w:tl2br w:val="nil"/>
                    <w:tr2bl w:val="nil"/>
                  </w:tcBorders>
                  <w:noWrap w:val="0"/>
                  <w:vAlign w:val="center"/>
                </w:tcPr>
                <w:p w14:paraId="7AC41A87">
                  <w:pPr>
                    <w:spacing w:beforeLines="0" w:afterLines="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湖</w:t>
                  </w:r>
                  <w:r>
                    <w:rPr>
                      <w:rFonts w:hint="default" w:ascii="Times New Roman" w:hAnsi="Times New Roman" w:eastAsia="宋体" w:cs="Times New Roman"/>
                      <w:color w:val="000000"/>
                      <w:sz w:val="21"/>
                      <w:szCs w:val="21"/>
                      <w:lang w:eastAsia="zh-CN"/>
                    </w:rPr>
                    <w:t>永州市东安县白牙市镇工业园金源路3号厂房1楼</w:t>
                  </w:r>
                </w:p>
              </w:tc>
            </w:tr>
            <w:tr w14:paraId="15BD8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736" w:type="dxa"/>
                  <w:tcBorders>
                    <w:tl2br w:val="nil"/>
                    <w:tr2bl w:val="nil"/>
                  </w:tcBorders>
                  <w:noWrap w:val="0"/>
                  <w:vAlign w:val="center"/>
                </w:tcPr>
                <w:p w14:paraId="758676DE">
                  <w:pPr>
                    <w:spacing w:beforeLines="0" w:afterLine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地理坐标</w:t>
                  </w:r>
                </w:p>
              </w:tc>
              <w:tc>
                <w:tcPr>
                  <w:tcW w:w="5104" w:type="dxa"/>
                  <w:tcBorders>
                    <w:tl2br w:val="nil"/>
                    <w:tr2bl w:val="nil"/>
                  </w:tcBorders>
                  <w:noWrap w:val="0"/>
                  <w:vAlign w:val="center"/>
                </w:tcPr>
                <w:p w14:paraId="13A38970">
                  <w:pPr>
                    <w:spacing w:beforeLines="0" w:afterLines="0"/>
                    <w:jc w:val="center"/>
                    <w:rPr>
                      <w:rFonts w:hint="default" w:ascii="Times New Roman" w:hAnsi="Times New Roman" w:cs="Times New Roman"/>
                      <w:color w:val="000000"/>
                      <w:sz w:val="21"/>
                      <w:szCs w:val="21"/>
                    </w:rPr>
                  </w:pPr>
                  <w:r>
                    <w:rPr>
                      <w:rFonts w:hint="default" w:ascii="Times New Roman" w:hAnsi="Times New Roman" w:cs="Times New Roman"/>
                      <w:color w:val="auto"/>
                      <w:sz w:val="21"/>
                      <w:szCs w:val="21"/>
                      <w:u w:val="none"/>
                    </w:rPr>
                    <w:t>东经</w:t>
                  </w:r>
                  <w:r>
                    <w:rPr>
                      <w:rFonts w:hint="default" w:ascii="Times New Roman" w:hAnsi="Times New Roman" w:cs="Times New Roman"/>
                      <w:color w:val="auto"/>
                      <w:sz w:val="21"/>
                      <w:szCs w:val="21"/>
                      <w:u w:val="none"/>
                      <w:lang w:eastAsia="zh-CN"/>
                    </w:rPr>
                    <w:t>111.329699°</w:t>
                  </w:r>
                  <w:r>
                    <w:rPr>
                      <w:rFonts w:hint="default" w:ascii="Times New Roman" w:hAnsi="Times New Roman" w:cs="Times New Roman"/>
                      <w:color w:val="auto"/>
                      <w:sz w:val="21"/>
                      <w:szCs w:val="21"/>
                      <w:u w:val="none"/>
                    </w:rPr>
                    <w:t>，北纬</w:t>
                  </w:r>
                  <w:r>
                    <w:rPr>
                      <w:rFonts w:hint="default" w:ascii="Times New Roman" w:hAnsi="Times New Roman" w:cs="Times New Roman"/>
                      <w:color w:val="auto"/>
                      <w:sz w:val="21"/>
                      <w:szCs w:val="21"/>
                      <w:u w:val="none"/>
                      <w:lang w:eastAsia="zh-CN"/>
                    </w:rPr>
                    <w:t>26.405285°</w:t>
                  </w:r>
                </w:p>
              </w:tc>
            </w:tr>
            <w:tr w14:paraId="38D20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736" w:type="dxa"/>
                  <w:tcBorders>
                    <w:tl2br w:val="nil"/>
                    <w:tr2bl w:val="nil"/>
                  </w:tcBorders>
                  <w:noWrap w:val="0"/>
                  <w:vAlign w:val="center"/>
                </w:tcPr>
                <w:p w14:paraId="037B254A">
                  <w:pPr>
                    <w:spacing w:beforeLines="0" w:afterLine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主要危险物质及分布</w:t>
                  </w:r>
                </w:p>
              </w:tc>
              <w:tc>
                <w:tcPr>
                  <w:tcW w:w="5104" w:type="dxa"/>
                  <w:tcBorders>
                    <w:tl2br w:val="nil"/>
                    <w:tr2bl w:val="nil"/>
                  </w:tcBorders>
                  <w:noWrap w:val="0"/>
                  <w:vAlign w:val="top"/>
                </w:tcPr>
                <w:p w14:paraId="1C420CC9">
                  <w:pPr>
                    <w:spacing w:beforeLines="0" w:afterLines="0"/>
                    <w:jc w:val="both"/>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橡胶石蜡油、机油、废机油、废活性炭；橡胶石蜡油、机油存放于原料仓库；废机油、废活性炭分区存放于危险废物暂存间</w:t>
                  </w:r>
                </w:p>
              </w:tc>
            </w:tr>
            <w:tr w14:paraId="747B5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736" w:type="dxa"/>
                  <w:tcBorders>
                    <w:tl2br w:val="nil"/>
                    <w:tr2bl w:val="nil"/>
                  </w:tcBorders>
                  <w:noWrap w:val="0"/>
                  <w:vAlign w:val="center"/>
                </w:tcPr>
                <w:p w14:paraId="52B8863C">
                  <w:pPr>
                    <w:spacing w:beforeLines="0" w:afterLine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环境影响途径及危害后果（大气、地表水、地下水等）</w:t>
                  </w:r>
                </w:p>
              </w:tc>
              <w:tc>
                <w:tcPr>
                  <w:tcW w:w="5104" w:type="dxa"/>
                  <w:tcBorders>
                    <w:tl2br w:val="nil"/>
                    <w:tr2bl w:val="nil"/>
                  </w:tcBorders>
                  <w:noWrap w:val="0"/>
                  <w:vAlign w:val="top"/>
                </w:tcPr>
                <w:p w14:paraId="555AD85D">
                  <w:pPr>
                    <w:spacing w:beforeLines="0" w:afterLines="0"/>
                    <w:jc w:val="both"/>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橡胶石蜡油、机油、废机油发生泄漏，可污染土壤、地下水，随雨水径流污染地表水体；发生火灾时，油品及有机物燃烧产生一氧化碳、烟尘、挥发性有机物，污染大气；火灾产生消防废水，若收集不当引发次生地表水、地下水污染。</w:t>
                  </w:r>
                </w:p>
              </w:tc>
            </w:tr>
            <w:tr w14:paraId="228B1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736" w:type="dxa"/>
                  <w:tcBorders>
                    <w:tl2br w:val="nil"/>
                    <w:tr2bl w:val="nil"/>
                  </w:tcBorders>
                  <w:noWrap w:val="0"/>
                  <w:vAlign w:val="center"/>
                </w:tcPr>
                <w:p w14:paraId="2FF35275">
                  <w:pPr>
                    <w:spacing w:beforeLines="0" w:afterLine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风险防范措施要求</w:t>
                  </w:r>
                </w:p>
              </w:tc>
              <w:tc>
                <w:tcPr>
                  <w:tcW w:w="5104" w:type="dxa"/>
                  <w:tcBorders>
                    <w:tl2br w:val="nil"/>
                    <w:tr2bl w:val="nil"/>
                  </w:tcBorders>
                  <w:noWrap w:val="0"/>
                  <w:vAlign w:val="top"/>
                </w:tcPr>
                <w:p w14:paraId="76258351">
                  <w:pPr>
                    <w:numPr>
                      <w:ilvl w:val="0"/>
                      <w:numId w:val="10"/>
                    </w:numPr>
                    <w:spacing w:beforeLines="0" w:afterLines="0"/>
                    <w:jc w:val="both"/>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原料仓库、危废暂存间做好防渗处理，设置防渗托盘、应急收集设施；</w:t>
                  </w:r>
                </w:p>
                <w:p w14:paraId="3F815F52">
                  <w:pPr>
                    <w:numPr>
                      <w:ilvl w:val="0"/>
                      <w:numId w:val="10"/>
                    </w:numPr>
                    <w:spacing w:beforeLines="0" w:afterLines="0"/>
                    <w:ind w:left="0" w:leftChars="0" w:firstLine="0" w:firstLineChars="0"/>
                    <w:jc w:val="both"/>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储存区域远离火源热源，厂区配备消防沙、干粉灭火器、吸油毡等应急物资；</w:t>
                  </w:r>
                </w:p>
                <w:p w14:paraId="5833BEB6">
                  <w:pPr>
                    <w:numPr>
                      <w:ilvl w:val="0"/>
                      <w:numId w:val="10"/>
                    </w:numPr>
                    <w:spacing w:beforeLines="0" w:afterLines="0"/>
                    <w:ind w:left="0" w:leftChars="0" w:firstLine="0" w:firstLineChars="0"/>
                    <w:jc w:val="both"/>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加强设备巡检，及时处置油品泄漏；</w:t>
                  </w:r>
                </w:p>
                <w:p w14:paraId="6AD8E44C">
                  <w:pPr>
                    <w:numPr>
                      <w:ilvl w:val="0"/>
                      <w:numId w:val="10"/>
                    </w:numPr>
                    <w:spacing w:beforeLines="0" w:afterLines="0"/>
                    <w:ind w:left="0" w:leftChars="0" w:firstLine="0" w:firstLineChars="0"/>
                    <w:jc w:val="both"/>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设置事故应急收集设施，确保事故废水全部截留，杜绝直排；</w:t>
                  </w:r>
                </w:p>
                <w:p w14:paraId="0404EFF5">
                  <w:pPr>
                    <w:numPr>
                      <w:ilvl w:val="0"/>
                      <w:numId w:val="0"/>
                    </w:numPr>
                    <w:spacing w:beforeLines="0" w:afterLines="0"/>
                    <w:ind w:leftChars="0"/>
                    <w:jc w:val="both"/>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5.建立环境风险应急管理制度，定期开展员工培训。</w:t>
                  </w:r>
                </w:p>
              </w:tc>
            </w:tr>
            <w:tr w14:paraId="3CDF9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736" w:type="dxa"/>
                  <w:tcBorders>
                    <w:tl2br w:val="nil"/>
                    <w:tr2bl w:val="nil"/>
                  </w:tcBorders>
                  <w:noWrap w:val="0"/>
                  <w:vAlign w:val="center"/>
                </w:tcPr>
                <w:p w14:paraId="6B23A317">
                  <w:pPr>
                    <w:spacing w:beforeLines="0" w:afterLine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填表说明（列出项目相关信息及评价说明）</w:t>
                  </w:r>
                </w:p>
              </w:tc>
              <w:tc>
                <w:tcPr>
                  <w:tcW w:w="5104" w:type="dxa"/>
                  <w:tcBorders>
                    <w:tl2br w:val="nil"/>
                    <w:tr2bl w:val="nil"/>
                  </w:tcBorders>
                  <w:noWrap w:val="0"/>
                  <w:vAlign w:val="top"/>
                </w:tcPr>
                <w:p w14:paraId="6BCE7FFD">
                  <w:pPr>
                    <w:spacing w:beforeLines="0" w:afterLines="0"/>
                    <w:jc w:val="both"/>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本项目涉及橡胶石蜡油、机油、废机油、废活性炭等风险物质，危险物质数量与临界量比值Q＜1，环境风险潜势为Ⅰ，开展环境风险简单分析。项目落实防渗、防泄漏、防火、事故废水收集等风险防控措施，加强日常环境管理，事故发生概率较低，环境风险处于可接受水平。</w:t>
                  </w:r>
                </w:p>
              </w:tc>
            </w:tr>
          </w:tbl>
          <w:p w14:paraId="7F181BF9">
            <w:pPr>
              <w:autoSpaceDE w:val="0"/>
              <w:autoSpaceDN w:val="0"/>
              <w:adjustRightInd w:val="0"/>
              <w:snapToGrid w:val="0"/>
              <w:spacing w:line="520" w:lineRule="exact"/>
              <w:ind w:firstLine="482" w:firstLineChars="200"/>
              <w:jc w:val="left"/>
              <w:rPr>
                <w:rFonts w:hint="default" w:ascii="Times New Roman" w:hAnsi="Times New Roman" w:cs="Times New Roman"/>
                <w:b/>
                <w:bCs/>
                <w:color w:val="auto"/>
                <w:kern w:val="0"/>
                <w:sz w:val="24"/>
                <w:u w:val="none"/>
                <w:lang w:val="en-GB"/>
              </w:rPr>
            </w:pPr>
            <w:r>
              <w:rPr>
                <w:rFonts w:hint="default" w:ascii="Times New Roman" w:hAnsi="Times New Roman" w:cs="Times New Roman"/>
                <w:b/>
                <w:bCs/>
                <w:color w:val="auto"/>
                <w:kern w:val="0"/>
                <w:sz w:val="24"/>
                <w:u w:val="none"/>
                <w:lang w:val="en-GB"/>
              </w:rPr>
              <w:t>（七）环保投资估算</w:t>
            </w:r>
          </w:p>
          <w:p w14:paraId="75C373E2">
            <w:pPr>
              <w:widowControl/>
              <w:adjustRightInd w:val="0"/>
              <w:spacing w:line="460" w:lineRule="exact"/>
              <w:ind w:firstLine="480" w:firstLineChars="200"/>
              <w:jc w:val="left"/>
              <w:rPr>
                <w:rFonts w:hint="default" w:ascii="Times New Roman" w:hAnsi="Times New Roman" w:cs="Times New Roman"/>
                <w:color w:val="auto"/>
                <w:kern w:val="0"/>
                <w:sz w:val="24"/>
                <w:u w:val="none"/>
              </w:rPr>
            </w:pPr>
            <w:r>
              <w:rPr>
                <w:rFonts w:hint="default" w:ascii="Times New Roman" w:hAnsi="Times New Roman" w:cs="Times New Roman"/>
                <w:color w:val="auto"/>
                <w:kern w:val="0"/>
                <w:sz w:val="24"/>
                <w:u w:val="none"/>
              </w:rPr>
              <w:t>项目总投资</w:t>
            </w:r>
            <w:r>
              <w:rPr>
                <w:rFonts w:hint="default" w:ascii="Times New Roman" w:hAnsi="Times New Roman" w:cs="Times New Roman"/>
                <w:color w:val="auto"/>
                <w:kern w:val="0"/>
                <w:sz w:val="24"/>
                <w:u w:val="none"/>
                <w:lang w:val="en-US" w:eastAsia="zh-CN"/>
              </w:rPr>
              <w:t>100</w:t>
            </w:r>
            <w:r>
              <w:rPr>
                <w:rFonts w:hint="default" w:ascii="Times New Roman" w:hAnsi="Times New Roman" w:cs="Times New Roman"/>
                <w:color w:val="auto"/>
                <w:kern w:val="0"/>
                <w:sz w:val="24"/>
                <w:u w:val="none"/>
              </w:rPr>
              <w:t>万元，其中环保投资为</w:t>
            </w:r>
            <w:r>
              <w:rPr>
                <w:rFonts w:hint="default" w:ascii="Times New Roman" w:hAnsi="Times New Roman" w:cs="Times New Roman"/>
                <w:color w:val="auto"/>
                <w:kern w:val="0"/>
                <w:sz w:val="24"/>
                <w:u w:val="none"/>
                <w:lang w:val="en-US" w:eastAsia="zh-CN"/>
              </w:rPr>
              <w:t>22.2</w:t>
            </w:r>
            <w:r>
              <w:rPr>
                <w:rFonts w:hint="default" w:ascii="Times New Roman" w:hAnsi="Times New Roman" w:cs="Times New Roman"/>
                <w:color w:val="auto"/>
                <w:kern w:val="0"/>
                <w:sz w:val="24"/>
                <w:u w:val="none"/>
              </w:rPr>
              <w:t>万元，占工程总投资比例为</w:t>
            </w:r>
            <w:r>
              <w:rPr>
                <w:rFonts w:hint="default" w:ascii="Times New Roman" w:hAnsi="Times New Roman" w:cs="Times New Roman"/>
                <w:color w:val="auto"/>
                <w:kern w:val="0"/>
                <w:sz w:val="24"/>
                <w:u w:val="none"/>
                <w:lang w:val="en-US" w:eastAsia="zh-CN"/>
              </w:rPr>
              <w:t>22.2</w:t>
            </w:r>
            <w:r>
              <w:rPr>
                <w:rFonts w:hint="default" w:ascii="Times New Roman" w:hAnsi="Times New Roman" w:cs="Times New Roman"/>
                <w:color w:val="auto"/>
                <w:kern w:val="0"/>
                <w:sz w:val="24"/>
                <w:u w:val="none"/>
              </w:rPr>
              <w:t>%。环保投资情况详见表4-</w:t>
            </w:r>
            <w:r>
              <w:rPr>
                <w:rFonts w:hint="default" w:ascii="Times New Roman" w:hAnsi="Times New Roman" w:cs="Times New Roman"/>
                <w:color w:val="auto"/>
                <w:kern w:val="0"/>
                <w:sz w:val="24"/>
                <w:u w:val="none"/>
                <w:lang w:val="en-US" w:eastAsia="zh-CN"/>
              </w:rPr>
              <w:t>15</w:t>
            </w:r>
            <w:r>
              <w:rPr>
                <w:rFonts w:hint="default" w:ascii="Times New Roman" w:hAnsi="Times New Roman" w:cs="Times New Roman"/>
                <w:color w:val="auto"/>
                <w:kern w:val="0"/>
                <w:sz w:val="24"/>
                <w:u w:val="none"/>
              </w:rPr>
              <w:t>。</w:t>
            </w:r>
          </w:p>
          <w:p w14:paraId="4A581B8B">
            <w:pPr>
              <w:rPr>
                <w:rFonts w:hint="default" w:ascii="Times New Roman" w:hAnsi="Times New Roman" w:cs="Times New Roman"/>
              </w:rPr>
            </w:pPr>
          </w:p>
          <w:p w14:paraId="43ED270E">
            <w:pPr>
              <w:pStyle w:val="140"/>
              <w:spacing w:before="147"/>
              <w:rPr>
                <w:rFonts w:hint="default" w:ascii="Times New Roman" w:hAnsi="Times New Roman" w:cs="Times New Roman"/>
                <w:color w:val="auto"/>
                <w:sz w:val="21"/>
                <w:szCs w:val="22"/>
                <w:u w:val="none"/>
              </w:rPr>
            </w:pPr>
            <w:r>
              <w:rPr>
                <w:rFonts w:hint="default" w:ascii="Times New Roman" w:hAnsi="Times New Roman" w:cs="Times New Roman"/>
                <w:color w:val="auto"/>
                <w:sz w:val="21"/>
                <w:szCs w:val="22"/>
                <w:u w:val="none"/>
              </w:rPr>
              <w:t>表4-</w:t>
            </w:r>
            <w:r>
              <w:rPr>
                <w:rFonts w:hint="default" w:ascii="Times New Roman" w:hAnsi="Times New Roman" w:cs="Times New Roman"/>
                <w:color w:val="auto"/>
                <w:sz w:val="21"/>
                <w:szCs w:val="22"/>
                <w:u w:val="none"/>
                <w:lang w:val="en-US" w:eastAsia="zh-CN"/>
              </w:rPr>
              <w:t>15</w:t>
            </w:r>
            <w:r>
              <w:rPr>
                <w:rFonts w:hint="default" w:ascii="Times New Roman" w:hAnsi="Times New Roman" w:cs="Times New Roman"/>
                <w:color w:val="auto"/>
                <w:sz w:val="21"/>
                <w:szCs w:val="22"/>
                <w:u w:val="none"/>
              </w:rPr>
              <w:t xml:space="preserve"> 环保投资一览表</w:t>
            </w:r>
          </w:p>
          <w:tbl>
            <w:tblPr>
              <w:tblStyle w:val="38"/>
              <w:tblW w:w="4954"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85" w:type="dxa"/>
                <w:bottom w:w="0" w:type="dxa"/>
                <w:right w:w="85" w:type="dxa"/>
              </w:tblCellMar>
            </w:tblPr>
            <w:tblGrid>
              <w:gridCol w:w="715"/>
              <w:gridCol w:w="716"/>
              <w:gridCol w:w="1528"/>
              <w:gridCol w:w="2572"/>
              <w:gridCol w:w="911"/>
              <w:gridCol w:w="1633"/>
            </w:tblGrid>
            <w:tr w14:paraId="03BD2D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85" w:type="dxa"/>
                  <w:bottom w:w="0" w:type="dxa"/>
                  <w:right w:w="85" w:type="dxa"/>
                </w:tblCellMar>
              </w:tblPrEx>
              <w:trPr>
                <w:trHeight w:val="454" w:hRule="atLeast"/>
                <w:jc w:val="center"/>
              </w:trPr>
              <w:tc>
                <w:tcPr>
                  <w:tcW w:w="715" w:type="dxa"/>
                  <w:noWrap w:val="0"/>
                  <w:vAlign w:val="center"/>
                </w:tcPr>
                <w:p w14:paraId="481CCC71">
                  <w:pPr>
                    <w:pStyle w:val="145"/>
                    <w:rPr>
                      <w:rFonts w:hint="default" w:ascii="Times New Roman" w:hAnsi="Times New Roman" w:cs="Times New Roman"/>
                      <w:color w:val="auto"/>
                    </w:rPr>
                  </w:pPr>
                  <w:r>
                    <w:rPr>
                      <w:rFonts w:hint="default" w:ascii="Times New Roman" w:hAnsi="Times New Roman" w:cs="Times New Roman"/>
                      <w:color w:val="auto"/>
                    </w:rPr>
                    <w:t>阶段</w:t>
                  </w:r>
                </w:p>
              </w:tc>
              <w:tc>
                <w:tcPr>
                  <w:tcW w:w="2245" w:type="dxa"/>
                  <w:gridSpan w:val="2"/>
                  <w:noWrap w:val="0"/>
                  <w:vAlign w:val="center"/>
                </w:tcPr>
                <w:p w14:paraId="6A56A841">
                  <w:pPr>
                    <w:pStyle w:val="145"/>
                    <w:rPr>
                      <w:rFonts w:hint="default" w:ascii="Times New Roman" w:hAnsi="Times New Roman" w:cs="Times New Roman"/>
                      <w:color w:val="auto"/>
                    </w:rPr>
                  </w:pPr>
                  <w:r>
                    <w:rPr>
                      <w:rFonts w:hint="default" w:ascii="Times New Roman" w:hAnsi="Times New Roman" w:cs="Times New Roman"/>
                      <w:color w:val="auto"/>
                    </w:rPr>
                    <w:t>类别</w:t>
                  </w:r>
                </w:p>
              </w:tc>
              <w:tc>
                <w:tcPr>
                  <w:tcW w:w="2573" w:type="dxa"/>
                  <w:noWrap w:val="0"/>
                  <w:vAlign w:val="center"/>
                </w:tcPr>
                <w:p w14:paraId="6BBED49C">
                  <w:pPr>
                    <w:pStyle w:val="145"/>
                    <w:rPr>
                      <w:rFonts w:hint="default" w:ascii="Times New Roman" w:hAnsi="Times New Roman" w:cs="Times New Roman"/>
                      <w:color w:val="auto"/>
                    </w:rPr>
                  </w:pPr>
                  <w:r>
                    <w:rPr>
                      <w:rFonts w:hint="default" w:ascii="Times New Roman" w:hAnsi="Times New Roman" w:cs="Times New Roman"/>
                      <w:color w:val="auto"/>
                    </w:rPr>
                    <w:t>环境保护措施/设施</w:t>
                  </w:r>
                </w:p>
              </w:tc>
              <w:tc>
                <w:tcPr>
                  <w:tcW w:w="911" w:type="dxa"/>
                  <w:noWrap w:val="0"/>
                  <w:vAlign w:val="center"/>
                </w:tcPr>
                <w:p w14:paraId="4D7B59DE">
                  <w:pPr>
                    <w:pStyle w:val="145"/>
                    <w:rPr>
                      <w:rFonts w:hint="default" w:ascii="Times New Roman" w:hAnsi="Times New Roman" w:cs="Times New Roman"/>
                      <w:color w:val="auto"/>
                    </w:rPr>
                  </w:pPr>
                  <w:r>
                    <w:rPr>
                      <w:rFonts w:hint="default" w:ascii="Times New Roman" w:hAnsi="Times New Roman" w:cs="Times New Roman"/>
                      <w:color w:val="auto"/>
                    </w:rPr>
                    <w:t>数量</w:t>
                  </w:r>
                </w:p>
              </w:tc>
              <w:tc>
                <w:tcPr>
                  <w:tcW w:w="1634" w:type="dxa"/>
                  <w:noWrap w:val="0"/>
                  <w:vAlign w:val="center"/>
                </w:tcPr>
                <w:p w14:paraId="29927A63">
                  <w:pPr>
                    <w:pStyle w:val="145"/>
                    <w:rPr>
                      <w:rFonts w:hint="default" w:ascii="Times New Roman" w:hAnsi="Times New Roman" w:cs="Times New Roman"/>
                      <w:color w:val="auto"/>
                    </w:rPr>
                  </w:pPr>
                  <w:r>
                    <w:rPr>
                      <w:rFonts w:hint="default" w:ascii="Times New Roman" w:hAnsi="Times New Roman" w:cs="Times New Roman"/>
                      <w:color w:val="auto"/>
                    </w:rPr>
                    <w:t>投资估算（万元）</w:t>
                  </w:r>
                </w:p>
              </w:tc>
            </w:tr>
            <w:tr w14:paraId="124449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85" w:type="dxa"/>
                  <w:bottom w:w="0" w:type="dxa"/>
                  <w:right w:w="85" w:type="dxa"/>
                </w:tblCellMar>
              </w:tblPrEx>
              <w:trPr>
                <w:trHeight w:val="454" w:hRule="atLeast"/>
                <w:jc w:val="center"/>
              </w:trPr>
              <w:tc>
                <w:tcPr>
                  <w:tcW w:w="715" w:type="dxa"/>
                  <w:vMerge w:val="restart"/>
                  <w:noWrap w:val="0"/>
                  <w:vAlign w:val="center"/>
                </w:tcPr>
                <w:p w14:paraId="7AD751E3">
                  <w:pPr>
                    <w:pStyle w:val="145"/>
                    <w:rPr>
                      <w:rFonts w:hint="default" w:ascii="Times New Roman" w:hAnsi="Times New Roman" w:cs="Times New Roman"/>
                      <w:color w:val="auto"/>
                    </w:rPr>
                  </w:pPr>
                  <w:r>
                    <w:rPr>
                      <w:rFonts w:hint="default" w:ascii="Times New Roman" w:hAnsi="Times New Roman" w:cs="Times New Roman"/>
                      <w:color w:val="auto"/>
                    </w:rPr>
                    <w:t>营运期</w:t>
                  </w:r>
                </w:p>
              </w:tc>
              <w:tc>
                <w:tcPr>
                  <w:tcW w:w="716" w:type="dxa"/>
                  <w:vMerge w:val="restart"/>
                  <w:noWrap w:val="0"/>
                  <w:vAlign w:val="center"/>
                </w:tcPr>
                <w:p w14:paraId="53D98288">
                  <w:pPr>
                    <w:pStyle w:val="145"/>
                    <w:rPr>
                      <w:rFonts w:hint="default" w:ascii="Times New Roman" w:hAnsi="Times New Roman" w:cs="Times New Roman"/>
                      <w:color w:val="auto"/>
                    </w:rPr>
                  </w:pPr>
                  <w:r>
                    <w:rPr>
                      <w:rFonts w:hint="default" w:ascii="Times New Roman" w:hAnsi="Times New Roman" w:cs="Times New Roman"/>
                      <w:color w:val="auto"/>
                    </w:rPr>
                    <w:t>废气</w:t>
                  </w:r>
                </w:p>
              </w:tc>
              <w:tc>
                <w:tcPr>
                  <w:tcW w:w="1529" w:type="dxa"/>
                  <w:noWrap w:val="0"/>
                  <w:vAlign w:val="center"/>
                </w:tcPr>
                <w:p w14:paraId="3331F7D9">
                  <w:pPr>
                    <w:pStyle w:val="145"/>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注塑废气</w:t>
                  </w:r>
                </w:p>
              </w:tc>
              <w:tc>
                <w:tcPr>
                  <w:tcW w:w="2573" w:type="dxa"/>
                  <w:noWrap w:val="0"/>
                  <w:vAlign w:val="center"/>
                </w:tcPr>
                <w:p w14:paraId="45C1D77C">
                  <w:pPr>
                    <w:pStyle w:val="145"/>
                    <w:rPr>
                      <w:rFonts w:hint="default" w:ascii="Times New Roman" w:hAnsi="Times New Roman" w:cs="Times New Roman"/>
                      <w:color w:val="auto"/>
                    </w:rPr>
                  </w:pPr>
                  <w:r>
                    <w:rPr>
                      <w:rFonts w:hint="default" w:ascii="Times New Roman" w:hAnsi="Times New Roman" w:eastAsia="宋体" w:cs="Times New Roman"/>
                      <w:color w:val="auto"/>
                      <w:szCs w:val="21"/>
                      <w:u w:val="none"/>
                      <w:lang w:val="en-US" w:eastAsia="zh-CN"/>
                    </w:rPr>
                    <w:t>集气</w:t>
                  </w:r>
                  <w:r>
                    <w:rPr>
                      <w:rFonts w:hint="default" w:ascii="Times New Roman" w:hAnsi="Times New Roman" w:cs="Times New Roman"/>
                      <w:color w:val="auto"/>
                      <w:szCs w:val="21"/>
                      <w:u w:val="none"/>
                      <w:lang w:val="en-US" w:eastAsia="zh-CN"/>
                    </w:rPr>
                    <w:t>罩</w:t>
                  </w:r>
                  <w:r>
                    <w:rPr>
                      <w:rFonts w:hint="default" w:ascii="Times New Roman" w:hAnsi="Times New Roman" w:eastAsia="宋体" w:cs="Times New Roman"/>
                      <w:color w:val="auto"/>
                      <w:szCs w:val="21"/>
                      <w:u w:val="none"/>
                      <w:lang w:val="en-US" w:eastAsia="zh-CN"/>
                    </w:rPr>
                    <w:t>+二级活性炭吸附+15m排气筒DA001</w:t>
                  </w:r>
                </w:p>
              </w:tc>
              <w:tc>
                <w:tcPr>
                  <w:tcW w:w="911" w:type="dxa"/>
                  <w:noWrap w:val="0"/>
                  <w:vAlign w:val="center"/>
                </w:tcPr>
                <w:p w14:paraId="1F344469">
                  <w:pPr>
                    <w:pStyle w:val="145"/>
                    <w:rPr>
                      <w:rFonts w:hint="default" w:ascii="Times New Roman" w:hAnsi="Times New Roman" w:cs="Times New Roman"/>
                      <w:color w:val="auto"/>
                    </w:rPr>
                  </w:pPr>
                  <w:r>
                    <w:rPr>
                      <w:rFonts w:hint="default" w:ascii="Times New Roman" w:hAnsi="Times New Roman" w:cs="Times New Roman"/>
                      <w:color w:val="auto"/>
                    </w:rPr>
                    <w:t>1套</w:t>
                  </w:r>
                </w:p>
              </w:tc>
              <w:tc>
                <w:tcPr>
                  <w:tcW w:w="1634" w:type="dxa"/>
                  <w:noWrap w:val="0"/>
                  <w:vAlign w:val="center"/>
                </w:tcPr>
                <w:p w14:paraId="450B0CA3">
                  <w:pPr>
                    <w:pStyle w:val="145"/>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15</w:t>
                  </w:r>
                </w:p>
              </w:tc>
            </w:tr>
            <w:tr w14:paraId="44E94D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85" w:type="dxa"/>
                  <w:bottom w:w="0" w:type="dxa"/>
                  <w:right w:w="85" w:type="dxa"/>
                </w:tblCellMar>
              </w:tblPrEx>
              <w:trPr>
                <w:trHeight w:val="454" w:hRule="atLeast"/>
                <w:jc w:val="center"/>
              </w:trPr>
              <w:tc>
                <w:tcPr>
                  <w:tcW w:w="715" w:type="dxa"/>
                  <w:vMerge w:val="continue"/>
                  <w:noWrap w:val="0"/>
                  <w:vAlign w:val="center"/>
                </w:tcPr>
                <w:p w14:paraId="26FB7F61">
                  <w:pPr>
                    <w:pStyle w:val="145"/>
                    <w:rPr>
                      <w:rFonts w:hint="default" w:ascii="Times New Roman" w:hAnsi="Times New Roman" w:cs="Times New Roman"/>
                      <w:color w:val="auto"/>
                    </w:rPr>
                  </w:pPr>
                </w:p>
              </w:tc>
              <w:tc>
                <w:tcPr>
                  <w:tcW w:w="716" w:type="dxa"/>
                  <w:vMerge w:val="continue"/>
                  <w:noWrap w:val="0"/>
                  <w:vAlign w:val="center"/>
                </w:tcPr>
                <w:p w14:paraId="16569F01">
                  <w:pPr>
                    <w:pStyle w:val="145"/>
                    <w:rPr>
                      <w:rFonts w:hint="default" w:ascii="Times New Roman" w:hAnsi="Times New Roman" w:cs="Times New Roman"/>
                      <w:color w:val="auto"/>
                    </w:rPr>
                  </w:pPr>
                </w:p>
              </w:tc>
              <w:tc>
                <w:tcPr>
                  <w:tcW w:w="1529" w:type="dxa"/>
                  <w:noWrap w:val="0"/>
                  <w:vAlign w:val="center"/>
                </w:tcPr>
                <w:p w14:paraId="23F292F3">
                  <w:pPr>
                    <w:pStyle w:val="145"/>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混合</w:t>
                  </w:r>
                  <w:r>
                    <w:rPr>
                      <w:rFonts w:hint="default" w:ascii="Times New Roman" w:hAnsi="Times New Roman" w:eastAsia="宋体" w:cs="Times New Roman"/>
                      <w:color w:val="auto"/>
                      <w:lang w:val="en-US" w:eastAsia="zh-CN"/>
                    </w:rPr>
                    <w:t>、破碎粉尘</w:t>
                  </w:r>
                </w:p>
              </w:tc>
              <w:tc>
                <w:tcPr>
                  <w:tcW w:w="2573" w:type="dxa"/>
                  <w:noWrap w:val="0"/>
                  <w:vAlign w:val="center"/>
                </w:tcPr>
                <w:p w14:paraId="3626274A">
                  <w:pPr>
                    <w:pStyle w:val="145"/>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车间管控、自然通风</w:t>
                  </w:r>
                </w:p>
              </w:tc>
              <w:tc>
                <w:tcPr>
                  <w:tcW w:w="911" w:type="dxa"/>
                  <w:noWrap w:val="0"/>
                  <w:vAlign w:val="center"/>
                </w:tcPr>
                <w:p w14:paraId="6A24DEEF">
                  <w:pPr>
                    <w:pStyle w:val="145"/>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c>
                <w:tcPr>
                  <w:tcW w:w="1634" w:type="dxa"/>
                  <w:noWrap w:val="0"/>
                  <w:vAlign w:val="center"/>
                </w:tcPr>
                <w:p w14:paraId="6AF7181E">
                  <w:pPr>
                    <w:pStyle w:val="145"/>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w:t>
                  </w:r>
                </w:p>
              </w:tc>
            </w:tr>
            <w:tr w14:paraId="523067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85" w:type="dxa"/>
                  <w:bottom w:w="0" w:type="dxa"/>
                  <w:right w:w="85" w:type="dxa"/>
                </w:tblCellMar>
              </w:tblPrEx>
              <w:trPr>
                <w:trHeight w:val="454" w:hRule="atLeast"/>
                <w:jc w:val="center"/>
              </w:trPr>
              <w:tc>
                <w:tcPr>
                  <w:tcW w:w="715" w:type="dxa"/>
                  <w:vMerge w:val="continue"/>
                  <w:noWrap w:val="0"/>
                  <w:vAlign w:val="center"/>
                </w:tcPr>
                <w:p w14:paraId="19279361">
                  <w:pPr>
                    <w:pStyle w:val="145"/>
                    <w:rPr>
                      <w:rFonts w:hint="default" w:ascii="Times New Roman" w:hAnsi="Times New Roman" w:cs="Times New Roman"/>
                      <w:color w:val="auto"/>
                    </w:rPr>
                  </w:pPr>
                </w:p>
              </w:tc>
              <w:tc>
                <w:tcPr>
                  <w:tcW w:w="716" w:type="dxa"/>
                  <w:vMerge w:val="restart"/>
                  <w:noWrap w:val="0"/>
                  <w:vAlign w:val="center"/>
                </w:tcPr>
                <w:p w14:paraId="02F4D84C">
                  <w:pPr>
                    <w:pStyle w:val="145"/>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废水</w:t>
                  </w:r>
                </w:p>
              </w:tc>
              <w:tc>
                <w:tcPr>
                  <w:tcW w:w="1529" w:type="dxa"/>
                  <w:noWrap w:val="0"/>
                  <w:vAlign w:val="center"/>
                </w:tcPr>
                <w:p w14:paraId="72949C90">
                  <w:pPr>
                    <w:pStyle w:val="145"/>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生活污水</w:t>
                  </w:r>
                </w:p>
              </w:tc>
              <w:tc>
                <w:tcPr>
                  <w:tcW w:w="2573" w:type="dxa"/>
                  <w:noWrap w:val="0"/>
                  <w:vAlign w:val="center"/>
                </w:tcPr>
                <w:p w14:paraId="40231601">
                  <w:pPr>
                    <w:pStyle w:val="145"/>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化粪池</w:t>
                  </w:r>
                </w:p>
              </w:tc>
              <w:tc>
                <w:tcPr>
                  <w:tcW w:w="911" w:type="dxa"/>
                  <w:noWrap w:val="0"/>
                  <w:vAlign w:val="center"/>
                </w:tcPr>
                <w:p w14:paraId="61830237">
                  <w:pPr>
                    <w:pStyle w:val="145"/>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1套</w:t>
                  </w:r>
                </w:p>
              </w:tc>
              <w:tc>
                <w:tcPr>
                  <w:tcW w:w="1634" w:type="dxa"/>
                  <w:noWrap w:val="0"/>
                  <w:vAlign w:val="center"/>
                </w:tcPr>
                <w:p w14:paraId="65311E2B">
                  <w:pPr>
                    <w:pStyle w:val="145"/>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依托现有</w:t>
                  </w:r>
                </w:p>
              </w:tc>
            </w:tr>
            <w:tr w14:paraId="02BCBF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85" w:type="dxa"/>
                  <w:bottom w:w="0" w:type="dxa"/>
                  <w:right w:w="85" w:type="dxa"/>
                </w:tblCellMar>
              </w:tblPrEx>
              <w:trPr>
                <w:trHeight w:val="454" w:hRule="atLeast"/>
                <w:jc w:val="center"/>
              </w:trPr>
              <w:tc>
                <w:tcPr>
                  <w:tcW w:w="715" w:type="dxa"/>
                  <w:vMerge w:val="continue"/>
                  <w:noWrap w:val="0"/>
                  <w:vAlign w:val="center"/>
                </w:tcPr>
                <w:p w14:paraId="194855F0">
                  <w:pPr>
                    <w:pStyle w:val="145"/>
                    <w:rPr>
                      <w:rFonts w:hint="default" w:ascii="Times New Roman" w:hAnsi="Times New Roman" w:cs="Times New Roman"/>
                      <w:color w:val="auto"/>
                    </w:rPr>
                  </w:pPr>
                </w:p>
              </w:tc>
              <w:tc>
                <w:tcPr>
                  <w:tcW w:w="716" w:type="dxa"/>
                  <w:vMerge w:val="continue"/>
                  <w:noWrap w:val="0"/>
                  <w:vAlign w:val="center"/>
                </w:tcPr>
                <w:p w14:paraId="2882561B">
                  <w:pPr>
                    <w:pStyle w:val="145"/>
                    <w:rPr>
                      <w:rFonts w:hint="default" w:ascii="Times New Roman" w:hAnsi="Times New Roman" w:cs="Times New Roman"/>
                      <w:color w:val="auto"/>
                      <w:lang w:val="en-US" w:eastAsia="zh-CN"/>
                    </w:rPr>
                  </w:pPr>
                </w:p>
              </w:tc>
              <w:tc>
                <w:tcPr>
                  <w:tcW w:w="1529" w:type="dxa"/>
                  <w:noWrap w:val="0"/>
                  <w:vAlign w:val="center"/>
                </w:tcPr>
                <w:p w14:paraId="65A0851E">
                  <w:pPr>
                    <w:pStyle w:val="145"/>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冷却水</w:t>
                  </w:r>
                </w:p>
              </w:tc>
              <w:tc>
                <w:tcPr>
                  <w:tcW w:w="2573" w:type="dxa"/>
                  <w:noWrap w:val="0"/>
                  <w:vAlign w:val="center"/>
                </w:tcPr>
                <w:p w14:paraId="162ECB32">
                  <w:pPr>
                    <w:pStyle w:val="145"/>
                    <w:rPr>
                      <w:rFonts w:hint="default" w:ascii="Times New Roman" w:hAnsi="Times New Roman" w:cs="Times New Roman"/>
                      <w:color w:val="auto"/>
                      <w:lang w:val="en-US" w:eastAsia="zh-CN"/>
                    </w:rPr>
                  </w:pPr>
                  <w:r>
                    <w:rPr>
                      <w:rFonts w:hint="default" w:ascii="Times New Roman" w:hAnsi="Times New Roman" w:eastAsia="宋体" w:cs="Times New Roman"/>
                      <w:color w:val="auto"/>
                      <w:sz w:val="21"/>
                      <w:szCs w:val="24"/>
                    </w:rPr>
                    <w:t>配套密闭循环冷却系统</w:t>
                  </w:r>
                </w:p>
              </w:tc>
              <w:tc>
                <w:tcPr>
                  <w:tcW w:w="911" w:type="dxa"/>
                  <w:noWrap w:val="0"/>
                  <w:vAlign w:val="center"/>
                </w:tcPr>
                <w:p w14:paraId="213DC2CB">
                  <w:pPr>
                    <w:pStyle w:val="145"/>
                    <w:rPr>
                      <w:rFonts w:hint="default" w:ascii="Times New Roman" w:hAnsi="Times New Roman" w:cs="Times New Roman"/>
                      <w:color w:val="auto"/>
                      <w:lang w:val="en-US" w:eastAsia="zh-CN"/>
                    </w:rPr>
                  </w:pPr>
                  <w:r>
                    <w:rPr>
                      <w:rFonts w:hint="default" w:ascii="Times New Roman" w:hAnsi="Times New Roman" w:eastAsia="宋体" w:cs="Times New Roman"/>
                      <w:color w:val="auto"/>
                      <w:lang w:val="en-US" w:eastAsia="zh-CN"/>
                    </w:rPr>
                    <w:t>/</w:t>
                  </w:r>
                </w:p>
              </w:tc>
              <w:tc>
                <w:tcPr>
                  <w:tcW w:w="1634" w:type="dxa"/>
                  <w:noWrap w:val="0"/>
                  <w:vAlign w:val="center"/>
                </w:tcPr>
                <w:p w14:paraId="4CB7227E">
                  <w:pPr>
                    <w:pStyle w:val="145"/>
                    <w:rPr>
                      <w:rFonts w:hint="default" w:ascii="Times New Roman" w:hAnsi="Times New Roman" w:cs="Times New Roman"/>
                      <w:color w:val="auto"/>
                      <w:lang w:val="en-US" w:eastAsia="zh-CN"/>
                    </w:rPr>
                  </w:pPr>
                  <w:r>
                    <w:rPr>
                      <w:rFonts w:hint="default" w:ascii="Times New Roman" w:hAnsi="Times New Roman" w:eastAsia="宋体" w:cs="Times New Roman"/>
                      <w:color w:val="auto"/>
                      <w:lang w:val="en-US" w:eastAsia="zh-CN"/>
                    </w:rPr>
                    <w:t>设备配套</w:t>
                  </w:r>
                </w:p>
              </w:tc>
            </w:tr>
            <w:tr w14:paraId="39F626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85" w:type="dxa"/>
                  <w:bottom w:w="0" w:type="dxa"/>
                  <w:right w:w="85" w:type="dxa"/>
                </w:tblCellMar>
              </w:tblPrEx>
              <w:trPr>
                <w:trHeight w:val="454" w:hRule="atLeast"/>
                <w:jc w:val="center"/>
              </w:trPr>
              <w:tc>
                <w:tcPr>
                  <w:tcW w:w="715" w:type="dxa"/>
                  <w:vMerge w:val="continue"/>
                  <w:noWrap w:val="0"/>
                  <w:vAlign w:val="center"/>
                </w:tcPr>
                <w:p w14:paraId="6C4BB4A1">
                  <w:pPr>
                    <w:pStyle w:val="145"/>
                    <w:rPr>
                      <w:rFonts w:hint="default" w:ascii="Times New Roman" w:hAnsi="Times New Roman" w:cs="Times New Roman"/>
                      <w:color w:val="auto"/>
                    </w:rPr>
                  </w:pPr>
                </w:p>
              </w:tc>
              <w:tc>
                <w:tcPr>
                  <w:tcW w:w="716" w:type="dxa"/>
                  <w:vMerge w:val="restart"/>
                  <w:noWrap w:val="0"/>
                  <w:vAlign w:val="center"/>
                </w:tcPr>
                <w:p w14:paraId="75BFAB2F">
                  <w:pPr>
                    <w:pStyle w:val="145"/>
                    <w:rPr>
                      <w:rFonts w:hint="default" w:ascii="Times New Roman" w:hAnsi="Times New Roman" w:cs="Times New Roman"/>
                      <w:color w:val="auto"/>
                    </w:rPr>
                  </w:pPr>
                  <w:r>
                    <w:rPr>
                      <w:rFonts w:hint="default" w:ascii="Times New Roman" w:hAnsi="Times New Roman" w:cs="Times New Roman"/>
                      <w:color w:val="auto"/>
                    </w:rPr>
                    <w:t>固废</w:t>
                  </w:r>
                </w:p>
              </w:tc>
              <w:tc>
                <w:tcPr>
                  <w:tcW w:w="1529" w:type="dxa"/>
                  <w:noWrap w:val="0"/>
                  <w:vAlign w:val="center"/>
                </w:tcPr>
                <w:p w14:paraId="2D3626CD">
                  <w:pPr>
                    <w:pStyle w:val="145"/>
                    <w:rPr>
                      <w:rFonts w:hint="default" w:ascii="Times New Roman" w:hAnsi="Times New Roman" w:cs="Times New Roman"/>
                      <w:color w:val="auto"/>
                    </w:rPr>
                  </w:pPr>
                  <w:r>
                    <w:rPr>
                      <w:rFonts w:hint="default" w:ascii="Times New Roman" w:hAnsi="Times New Roman" w:cs="Times New Roman"/>
                      <w:color w:val="auto"/>
                    </w:rPr>
                    <w:t>生活垃圾</w:t>
                  </w:r>
                </w:p>
              </w:tc>
              <w:tc>
                <w:tcPr>
                  <w:tcW w:w="2573" w:type="dxa"/>
                  <w:noWrap w:val="0"/>
                  <w:vAlign w:val="center"/>
                </w:tcPr>
                <w:p w14:paraId="01A773FB">
                  <w:pPr>
                    <w:pStyle w:val="145"/>
                    <w:rPr>
                      <w:rFonts w:hint="default" w:ascii="Times New Roman" w:hAnsi="Times New Roman" w:cs="Times New Roman"/>
                      <w:color w:val="auto"/>
                    </w:rPr>
                  </w:pPr>
                  <w:r>
                    <w:rPr>
                      <w:rFonts w:hint="default" w:ascii="Times New Roman" w:hAnsi="Times New Roman" w:cs="Times New Roman"/>
                      <w:color w:val="auto"/>
                    </w:rPr>
                    <w:t>垃圾箱、垃圾桶</w:t>
                  </w:r>
                </w:p>
              </w:tc>
              <w:tc>
                <w:tcPr>
                  <w:tcW w:w="911" w:type="dxa"/>
                  <w:noWrap w:val="0"/>
                  <w:vAlign w:val="center"/>
                </w:tcPr>
                <w:p w14:paraId="12FAA84E">
                  <w:pPr>
                    <w:pStyle w:val="145"/>
                    <w:rPr>
                      <w:rFonts w:hint="default" w:ascii="Times New Roman" w:hAnsi="Times New Roman" w:cs="Times New Roman"/>
                      <w:color w:val="auto"/>
                    </w:rPr>
                  </w:pPr>
                  <w:r>
                    <w:rPr>
                      <w:rFonts w:hint="default" w:ascii="Times New Roman" w:hAnsi="Times New Roman" w:cs="Times New Roman"/>
                      <w:color w:val="auto"/>
                      <w:lang w:val="en-US" w:eastAsia="zh-CN"/>
                    </w:rPr>
                    <w:t>10</w:t>
                  </w:r>
                  <w:r>
                    <w:rPr>
                      <w:rStyle w:val="46"/>
                      <w:rFonts w:hint="default" w:ascii="Times New Roman" w:hAnsi="Times New Roman" w:cs="Times New Roman"/>
                      <w:color w:val="auto"/>
                      <w:kern w:val="0"/>
                      <w:szCs w:val="20"/>
                    </w:rPr>
                    <w:t>个</w:t>
                  </w:r>
                </w:p>
              </w:tc>
              <w:tc>
                <w:tcPr>
                  <w:tcW w:w="1634" w:type="dxa"/>
                  <w:noWrap w:val="0"/>
                  <w:vAlign w:val="center"/>
                </w:tcPr>
                <w:p w14:paraId="1DF871F3">
                  <w:pPr>
                    <w:pStyle w:val="145"/>
                    <w:rPr>
                      <w:rFonts w:hint="default" w:ascii="Times New Roman" w:hAnsi="Times New Roman" w:eastAsia="宋体" w:cs="Times New Roman"/>
                      <w:color w:val="auto"/>
                      <w:lang w:eastAsia="zh-CN"/>
                    </w:rPr>
                  </w:pPr>
                  <w:r>
                    <w:rPr>
                      <w:rFonts w:hint="default" w:ascii="Times New Roman" w:hAnsi="Times New Roman" w:cs="Times New Roman"/>
                      <w:color w:val="auto"/>
                    </w:rPr>
                    <w:t>0.</w:t>
                  </w:r>
                  <w:r>
                    <w:rPr>
                      <w:rFonts w:hint="default" w:ascii="Times New Roman" w:hAnsi="Times New Roman" w:cs="Times New Roman"/>
                      <w:color w:val="auto"/>
                      <w:lang w:val="en-US" w:eastAsia="zh-CN"/>
                    </w:rPr>
                    <w:t>2</w:t>
                  </w:r>
                </w:p>
              </w:tc>
            </w:tr>
            <w:tr w14:paraId="36C5F5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85" w:type="dxa"/>
                  <w:bottom w:w="0" w:type="dxa"/>
                  <w:right w:w="85" w:type="dxa"/>
                </w:tblCellMar>
              </w:tblPrEx>
              <w:trPr>
                <w:trHeight w:val="454" w:hRule="atLeast"/>
                <w:jc w:val="center"/>
              </w:trPr>
              <w:tc>
                <w:tcPr>
                  <w:tcW w:w="715" w:type="dxa"/>
                  <w:vMerge w:val="continue"/>
                  <w:noWrap w:val="0"/>
                  <w:vAlign w:val="center"/>
                </w:tcPr>
                <w:p w14:paraId="5D4E4344">
                  <w:pPr>
                    <w:pStyle w:val="145"/>
                    <w:rPr>
                      <w:rFonts w:hint="default" w:ascii="Times New Roman" w:hAnsi="Times New Roman" w:cs="Times New Roman"/>
                      <w:color w:val="auto"/>
                    </w:rPr>
                  </w:pPr>
                </w:p>
              </w:tc>
              <w:tc>
                <w:tcPr>
                  <w:tcW w:w="716" w:type="dxa"/>
                  <w:vMerge w:val="continue"/>
                  <w:noWrap w:val="0"/>
                  <w:vAlign w:val="center"/>
                </w:tcPr>
                <w:p w14:paraId="70B822D5">
                  <w:pPr>
                    <w:pStyle w:val="145"/>
                    <w:rPr>
                      <w:rFonts w:hint="default" w:ascii="Times New Roman" w:hAnsi="Times New Roman" w:cs="Times New Roman"/>
                      <w:color w:val="auto"/>
                    </w:rPr>
                  </w:pPr>
                </w:p>
              </w:tc>
              <w:tc>
                <w:tcPr>
                  <w:tcW w:w="1529" w:type="dxa"/>
                  <w:noWrap w:val="0"/>
                  <w:vAlign w:val="center"/>
                </w:tcPr>
                <w:p w14:paraId="0894CFD6">
                  <w:pPr>
                    <w:pStyle w:val="145"/>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一般固废（废包装）</w:t>
                  </w:r>
                </w:p>
              </w:tc>
              <w:tc>
                <w:tcPr>
                  <w:tcW w:w="2573" w:type="dxa"/>
                  <w:noWrap w:val="0"/>
                  <w:vAlign w:val="center"/>
                </w:tcPr>
                <w:p w14:paraId="6112E56D">
                  <w:pPr>
                    <w:pStyle w:val="145"/>
                    <w:rPr>
                      <w:rFonts w:hint="default" w:ascii="Times New Roman" w:hAnsi="Times New Roman" w:eastAsia="宋体" w:cs="Times New Roman"/>
                      <w:color w:val="auto"/>
                      <w:lang w:val="en-US" w:eastAsia="zh-CN"/>
                    </w:rPr>
                  </w:pPr>
                  <w:r>
                    <w:rPr>
                      <w:rFonts w:hint="default" w:ascii="Times New Roman" w:hAnsi="Times New Roman" w:cs="Times New Roman"/>
                      <w:color w:val="auto"/>
                      <w:sz w:val="21"/>
                      <w:szCs w:val="21"/>
                    </w:rPr>
                    <w:t>一般固废暂存间</w:t>
                  </w:r>
                  <w:r>
                    <w:rPr>
                      <w:rFonts w:hint="default" w:ascii="Times New Roman" w:hAnsi="Times New Roman" w:cs="Times New Roman"/>
                      <w:color w:val="auto"/>
                    </w:rPr>
                    <w:t>（5m</w:t>
                  </w:r>
                  <w:r>
                    <w:rPr>
                      <w:rFonts w:hint="default" w:ascii="Times New Roman" w:hAnsi="Times New Roman" w:cs="Times New Roman"/>
                      <w:color w:val="auto"/>
                      <w:vertAlign w:val="superscript"/>
                    </w:rPr>
                    <w:t>2</w:t>
                  </w:r>
                  <w:r>
                    <w:rPr>
                      <w:rFonts w:hint="default" w:ascii="Times New Roman" w:hAnsi="Times New Roman" w:cs="Times New Roman"/>
                      <w:color w:val="auto"/>
                    </w:rPr>
                    <w:t>）</w:t>
                  </w:r>
                </w:p>
              </w:tc>
              <w:tc>
                <w:tcPr>
                  <w:tcW w:w="911" w:type="dxa"/>
                  <w:noWrap w:val="0"/>
                  <w:vAlign w:val="center"/>
                </w:tcPr>
                <w:p w14:paraId="0BC5DF2C">
                  <w:pPr>
                    <w:pStyle w:val="145"/>
                    <w:rPr>
                      <w:rFonts w:hint="default" w:ascii="Times New Roman" w:hAnsi="Times New Roman" w:cs="Times New Roman"/>
                      <w:color w:val="auto"/>
                      <w:lang w:val="en-US" w:eastAsia="zh-CN"/>
                    </w:rPr>
                  </w:pPr>
                  <w:r>
                    <w:rPr>
                      <w:rFonts w:hint="default" w:ascii="Times New Roman" w:hAnsi="Times New Roman" w:cs="Times New Roman"/>
                      <w:color w:val="auto"/>
                    </w:rPr>
                    <w:t>1间</w:t>
                  </w:r>
                </w:p>
              </w:tc>
              <w:tc>
                <w:tcPr>
                  <w:tcW w:w="1634" w:type="dxa"/>
                  <w:noWrap w:val="0"/>
                  <w:vAlign w:val="center"/>
                </w:tcPr>
                <w:p w14:paraId="5B2D71C9">
                  <w:pPr>
                    <w:pStyle w:val="145"/>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0.2</w:t>
                  </w:r>
                </w:p>
              </w:tc>
            </w:tr>
            <w:tr w14:paraId="51C6D3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85" w:type="dxa"/>
                  <w:bottom w:w="0" w:type="dxa"/>
                  <w:right w:w="85" w:type="dxa"/>
                </w:tblCellMar>
              </w:tblPrEx>
              <w:trPr>
                <w:trHeight w:val="454" w:hRule="atLeast"/>
                <w:jc w:val="center"/>
              </w:trPr>
              <w:tc>
                <w:tcPr>
                  <w:tcW w:w="715" w:type="dxa"/>
                  <w:vMerge w:val="continue"/>
                  <w:noWrap w:val="0"/>
                  <w:vAlign w:val="center"/>
                </w:tcPr>
                <w:p w14:paraId="7F8B5E3C">
                  <w:pPr>
                    <w:pStyle w:val="145"/>
                    <w:rPr>
                      <w:rFonts w:hint="default" w:ascii="Times New Roman" w:hAnsi="Times New Roman" w:cs="Times New Roman"/>
                      <w:color w:val="auto"/>
                    </w:rPr>
                  </w:pPr>
                </w:p>
              </w:tc>
              <w:tc>
                <w:tcPr>
                  <w:tcW w:w="716" w:type="dxa"/>
                  <w:vMerge w:val="continue"/>
                  <w:noWrap w:val="0"/>
                  <w:vAlign w:val="center"/>
                </w:tcPr>
                <w:p w14:paraId="3AC4814B">
                  <w:pPr>
                    <w:pStyle w:val="145"/>
                    <w:rPr>
                      <w:rFonts w:hint="default" w:ascii="Times New Roman" w:hAnsi="Times New Roman" w:cs="Times New Roman"/>
                      <w:color w:val="auto"/>
                    </w:rPr>
                  </w:pPr>
                </w:p>
              </w:tc>
              <w:tc>
                <w:tcPr>
                  <w:tcW w:w="1529" w:type="dxa"/>
                  <w:noWrap w:val="0"/>
                  <w:vAlign w:val="center"/>
                </w:tcPr>
                <w:p w14:paraId="5A37C9B5">
                  <w:pPr>
                    <w:pStyle w:val="145"/>
                    <w:rPr>
                      <w:rFonts w:hint="default" w:ascii="Times New Roman" w:hAnsi="Times New Roman" w:cs="Times New Roman"/>
                      <w:color w:val="auto"/>
                    </w:rPr>
                  </w:pPr>
                  <w:r>
                    <w:rPr>
                      <w:rFonts w:hint="default" w:ascii="Times New Roman" w:hAnsi="Times New Roman" w:cs="Times New Roman"/>
                      <w:color w:val="auto"/>
                    </w:rPr>
                    <w:t>危险固废</w:t>
                  </w:r>
                </w:p>
              </w:tc>
              <w:tc>
                <w:tcPr>
                  <w:tcW w:w="2573" w:type="dxa"/>
                  <w:noWrap w:val="0"/>
                  <w:vAlign w:val="center"/>
                </w:tcPr>
                <w:p w14:paraId="3D4FF913">
                  <w:pPr>
                    <w:pStyle w:val="145"/>
                    <w:rPr>
                      <w:rFonts w:hint="default" w:ascii="Times New Roman" w:hAnsi="Times New Roman" w:cs="Times New Roman"/>
                      <w:color w:val="auto"/>
                    </w:rPr>
                  </w:pPr>
                  <w:r>
                    <w:rPr>
                      <w:rFonts w:hint="default" w:ascii="Times New Roman" w:hAnsi="Times New Roman" w:cs="Times New Roman"/>
                      <w:color w:val="auto"/>
                    </w:rPr>
                    <w:t>危废暂存间（5m</w:t>
                  </w:r>
                  <w:r>
                    <w:rPr>
                      <w:rFonts w:hint="default" w:ascii="Times New Roman" w:hAnsi="Times New Roman" w:cs="Times New Roman"/>
                      <w:color w:val="auto"/>
                      <w:vertAlign w:val="superscript"/>
                    </w:rPr>
                    <w:t>2</w:t>
                  </w:r>
                  <w:r>
                    <w:rPr>
                      <w:rFonts w:hint="default" w:ascii="Times New Roman" w:hAnsi="Times New Roman" w:cs="Times New Roman"/>
                      <w:color w:val="auto"/>
                    </w:rPr>
                    <w:t>）</w:t>
                  </w:r>
                </w:p>
              </w:tc>
              <w:tc>
                <w:tcPr>
                  <w:tcW w:w="911" w:type="dxa"/>
                  <w:noWrap w:val="0"/>
                  <w:vAlign w:val="center"/>
                </w:tcPr>
                <w:p w14:paraId="1399889A">
                  <w:pPr>
                    <w:pStyle w:val="145"/>
                    <w:rPr>
                      <w:rFonts w:hint="default" w:ascii="Times New Roman" w:hAnsi="Times New Roman" w:cs="Times New Roman"/>
                      <w:color w:val="auto"/>
                    </w:rPr>
                  </w:pPr>
                  <w:r>
                    <w:rPr>
                      <w:rFonts w:hint="default" w:ascii="Times New Roman" w:hAnsi="Times New Roman" w:cs="Times New Roman"/>
                      <w:color w:val="auto"/>
                    </w:rPr>
                    <w:t>1间</w:t>
                  </w:r>
                </w:p>
              </w:tc>
              <w:tc>
                <w:tcPr>
                  <w:tcW w:w="1634" w:type="dxa"/>
                  <w:noWrap w:val="0"/>
                  <w:vAlign w:val="center"/>
                </w:tcPr>
                <w:p w14:paraId="04C1C147">
                  <w:pPr>
                    <w:pStyle w:val="145"/>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1.8</w:t>
                  </w:r>
                </w:p>
              </w:tc>
            </w:tr>
            <w:tr w14:paraId="085FF5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85" w:type="dxa"/>
                  <w:bottom w:w="0" w:type="dxa"/>
                  <w:right w:w="85" w:type="dxa"/>
                </w:tblCellMar>
              </w:tblPrEx>
              <w:trPr>
                <w:trHeight w:val="454" w:hRule="atLeast"/>
                <w:jc w:val="center"/>
              </w:trPr>
              <w:tc>
                <w:tcPr>
                  <w:tcW w:w="715" w:type="dxa"/>
                  <w:vMerge w:val="continue"/>
                  <w:noWrap w:val="0"/>
                  <w:vAlign w:val="center"/>
                </w:tcPr>
                <w:p w14:paraId="544E71C5">
                  <w:pPr>
                    <w:pStyle w:val="145"/>
                    <w:rPr>
                      <w:rFonts w:hint="default" w:ascii="Times New Roman" w:hAnsi="Times New Roman" w:cs="Times New Roman"/>
                      <w:color w:val="auto"/>
                    </w:rPr>
                  </w:pPr>
                </w:p>
              </w:tc>
              <w:tc>
                <w:tcPr>
                  <w:tcW w:w="2245" w:type="dxa"/>
                  <w:gridSpan w:val="2"/>
                  <w:noWrap w:val="0"/>
                  <w:vAlign w:val="center"/>
                </w:tcPr>
                <w:p w14:paraId="43865369">
                  <w:pPr>
                    <w:pStyle w:val="145"/>
                    <w:rPr>
                      <w:rFonts w:hint="default" w:ascii="Times New Roman" w:hAnsi="Times New Roman" w:cs="Times New Roman"/>
                      <w:color w:val="auto"/>
                    </w:rPr>
                  </w:pPr>
                  <w:r>
                    <w:rPr>
                      <w:rFonts w:hint="default" w:ascii="Times New Roman" w:hAnsi="Times New Roman" w:cs="Times New Roman"/>
                      <w:color w:val="auto"/>
                    </w:rPr>
                    <w:t>噪声</w:t>
                  </w:r>
                </w:p>
              </w:tc>
              <w:tc>
                <w:tcPr>
                  <w:tcW w:w="2573" w:type="dxa"/>
                  <w:noWrap w:val="0"/>
                  <w:vAlign w:val="center"/>
                </w:tcPr>
                <w:p w14:paraId="62C1F8AF">
                  <w:pPr>
                    <w:pStyle w:val="145"/>
                    <w:rPr>
                      <w:rFonts w:hint="default" w:ascii="Times New Roman" w:hAnsi="Times New Roman" w:cs="Times New Roman"/>
                      <w:color w:val="auto"/>
                    </w:rPr>
                  </w:pPr>
                  <w:r>
                    <w:rPr>
                      <w:rFonts w:ascii="Times New Roman" w:hAnsi="Times New Roman" w:cs="Times New Roman"/>
                      <w:color w:val="000000"/>
                      <w:szCs w:val="21"/>
                      <w:highlight w:val="none"/>
                      <w:u w:val="none"/>
                    </w:rPr>
                    <w:t>选低噪设备、</w:t>
                  </w:r>
                  <w:r>
                    <w:rPr>
                      <w:rFonts w:hint="default" w:ascii="Times New Roman" w:hAnsi="Times New Roman" w:cs="Times New Roman"/>
                      <w:color w:val="000000"/>
                      <w:szCs w:val="21"/>
                      <w:highlight w:val="none"/>
                      <w:u w:val="none"/>
                    </w:rPr>
                    <w:t>厂房</w:t>
                  </w:r>
                  <w:r>
                    <w:rPr>
                      <w:rFonts w:ascii="Times New Roman" w:hAnsi="Times New Roman" w:cs="Times New Roman"/>
                      <w:color w:val="000000"/>
                      <w:szCs w:val="21"/>
                      <w:highlight w:val="none"/>
                      <w:u w:val="none"/>
                    </w:rPr>
                    <w:t>隔声、</w:t>
                  </w:r>
                  <w:r>
                    <w:rPr>
                      <w:rFonts w:hint="default" w:ascii="Times New Roman" w:hAnsi="Times New Roman" w:cs="Times New Roman"/>
                      <w:color w:val="000000"/>
                      <w:szCs w:val="21"/>
                      <w:highlight w:val="none"/>
                      <w:u w:val="none"/>
                    </w:rPr>
                    <w:t>设置</w:t>
                  </w:r>
                  <w:r>
                    <w:rPr>
                      <w:rFonts w:ascii="Times New Roman" w:hAnsi="Times New Roman" w:cs="Times New Roman"/>
                      <w:color w:val="000000"/>
                      <w:szCs w:val="21"/>
                      <w:highlight w:val="none"/>
                      <w:u w:val="none"/>
                    </w:rPr>
                    <w:t>减振</w:t>
                  </w:r>
                  <w:r>
                    <w:rPr>
                      <w:rFonts w:hint="default" w:ascii="Times New Roman" w:hAnsi="Times New Roman" w:cs="Times New Roman"/>
                      <w:color w:val="000000"/>
                      <w:szCs w:val="21"/>
                      <w:highlight w:val="none"/>
                      <w:u w:val="none"/>
                    </w:rPr>
                    <w:t>基座、设备合理布局</w:t>
                  </w:r>
                  <w:r>
                    <w:rPr>
                      <w:rFonts w:ascii="Times New Roman" w:hAnsi="Times New Roman" w:cs="Times New Roman"/>
                      <w:color w:val="000000"/>
                      <w:szCs w:val="21"/>
                      <w:highlight w:val="none"/>
                      <w:u w:val="none"/>
                    </w:rPr>
                    <w:t>等</w:t>
                  </w:r>
                </w:p>
              </w:tc>
              <w:tc>
                <w:tcPr>
                  <w:tcW w:w="911" w:type="dxa"/>
                  <w:noWrap w:val="0"/>
                  <w:vAlign w:val="center"/>
                </w:tcPr>
                <w:p w14:paraId="2DAAADE6">
                  <w:pPr>
                    <w:pStyle w:val="145"/>
                    <w:rPr>
                      <w:rFonts w:hint="default" w:ascii="Times New Roman" w:hAnsi="Times New Roman" w:cs="Times New Roman"/>
                      <w:color w:val="auto"/>
                    </w:rPr>
                  </w:pPr>
                  <w:r>
                    <w:rPr>
                      <w:rFonts w:hint="default" w:ascii="Times New Roman" w:hAnsi="Times New Roman" w:cs="Times New Roman"/>
                      <w:color w:val="auto"/>
                    </w:rPr>
                    <w:t>/</w:t>
                  </w:r>
                </w:p>
              </w:tc>
              <w:tc>
                <w:tcPr>
                  <w:tcW w:w="1634" w:type="dxa"/>
                  <w:noWrap w:val="0"/>
                  <w:vAlign w:val="center"/>
                </w:tcPr>
                <w:p w14:paraId="652FD242">
                  <w:pPr>
                    <w:pStyle w:val="145"/>
                    <w:rPr>
                      <w:rFonts w:hint="default" w:ascii="Times New Roman" w:hAnsi="Times New Roman" w:cs="Times New Roman"/>
                      <w:color w:val="auto"/>
                    </w:rPr>
                  </w:pPr>
                  <w:r>
                    <w:rPr>
                      <w:rFonts w:hint="default" w:ascii="Times New Roman" w:hAnsi="Times New Roman" w:cs="Times New Roman"/>
                      <w:color w:val="auto"/>
                    </w:rPr>
                    <w:t>5</w:t>
                  </w:r>
                </w:p>
              </w:tc>
            </w:tr>
            <w:tr w14:paraId="4CDD4E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85" w:type="dxa"/>
                  <w:bottom w:w="0" w:type="dxa"/>
                  <w:right w:w="85" w:type="dxa"/>
                </w:tblCellMar>
              </w:tblPrEx>
              <w:trPr>
                <w:trHeight w:val="454" w:hRule="atLeast"/>
                <w:jc w:val="center"/>
              </w:trPr>
              <w:tc>
                <w:tcPr>
                  <w:tcW w:w="6444" w:type="dxa"/>
                  <w:gridSpan w:val="5"/>
                  <w:noWrap w:val="0"/>
                  <w:vAlign w:val="center"/>
                </w:tcPr>
                <w:p w14:paraId="7B881397">
                  <w:pPr>
                    <w:pStyle w:val="145"/>
                    <w:rPr>
                      <w:rFonts w:hint="default" w:ascii="Times New Roman" w:hAnsi="Times New Roman" w:cs="Times New Roman"/>
                      <w:color w:val="auto"/>
                    </w:rPr>
                  </w:pPr>
                  <w:r>
                    <w:rPr>
                      <w:rFonts w:hint="default" w:ascii="Times New Roman" w:hAnsi="Times New Roman" w:cs="Times New Roman"/>
                      <w:color w:val="auto"/>
                    </w:rPr>
                    <w:t>合计</w:t>
                  </w:r>
                </w:p>
              </w:tc>
              <w:tc>
                <w:tcPr>
                  <w:tcW w:w="1634" w:type="dxa"/>
                  <w:noWrap w:val="0"/>
                  <w:vAlign w:val="center"/>
                </w:tcPr>
                <w:p w14:paraId="18931CCB">
                  <w:pPr>
                    <w:pStyle w:val="145"/>
                    <w:rPr>
                      <w:rFonts w:hint="default" w:ascii="Times New Roman" w:hAnsi="Times New Roman" w:eastAsia="宋体" w:cs="Times New Roman"/>
                      <w:color w:val="auto"/>
                      <w:lang w:eastAsia="zh-CN"/>
                    </w:rPr>
                  </w:pPr>
                  <w:r>
                    <w:rPr>
                      <w:rFonts w:hint="default" w:ascii="Times New Roman" w:hAnsi="Times New Roman" w:cs="Times New Roman"/>
                      <w:color w:val="auto"/>
                      <w:lang w:eastAsia="zh-CN"/>
                    </w:rPr>
                    <w:t>22.2</w:t>
                  </w:r>
                </w:p>
              </w:tc>
            </w:tr>
          </w:tbl>
          <w:p w14:paraId="23738C1E">
            <w:pPr>
              <w:keepNext/>
              <w:widowControl/>
              <w:wordWrap w:val="0"/>
              <w:topLinePunct/>
              <w:ind w:firstLine="480" w:firstLineChars="200"/>
              <w:rPr>
                <w:rFonts w:hint="default" w:ascii="Times New Roman" w:hAnsi="Times New Roman" w:cs="Times New Roman"/>
                <w:color w:val="auto"/>
                <w:kern w:val="0"/>
                <w:sz w:val="24"/>
                <w:lang w:bidi="ar"/>
              </w:rPr>
            </w:pPr>
            <w:r>
              <w:rPr>
                <w:rFonts w:hint="default" w:ascii="Times New Roman" w:hAnsi="Times New Roman" w:cs="Times New Roman"/>
                <w:color w:val="auto"/>
                <w:kern w:val="0"/>
                <w:sz w:val="24"/>
                <w:lang w:bidi="ar"/>
              </w:rPr>
              <w:t>由上表可知，项目环保投资为</w:t>
            </w:r>
            <w:r>
              <w:rPr>
                <w:rFonts w:hint="default" w:ascii="Times New Roman" w:hAnsi="Times New Roman" w:cs="Times New Roman"/>
                <w:color w:val="auto"/>
                <w:kern w:val="0"/>
                <w:sz w:val="24"/>
                <w:lang w:eastAsia="zh-CN" w:bidi="ar"/>
              </w:rPr>
              <w:t>22.2</w:t>
            </w:r>
            <w:r>
              <w:rPr>
                <w:rFonts w:hint="default" w:ascii="Times New Roman" w:hAnsi="Times New Roman" w:cs="Times New Roman"/>
                <w:color w:val="auto"/>
                <w:kern w:val="0"/>
                <w:sz w:val="24"/>
                <w:lang w:bidi="ar"/>
              </w:rPr>
              <w:t>万元，占总投资的2</w:t>
            </w:r>
            <w:r>
              <w:rPr>
                <w:rFonts w:hint="default" w:ascii="Times New Roman" w:hAnsi="Times New Roman" w:cs="Times New Roman"/>
                <w:color w:val="auto"/>
                <w:kern w:val="0"/>
                <w:sz w:val="24"/>
                <w:lang w:val="en-US" w:eastAsia="zh-CN" w:bidi="ar"/>
              </w:rPr>
              <w:t>2.2</w:t>
            </w:r>
            <w:r>
              <w:rPr>
                <w:rFonts w:hint="default" w:ascii="Times New Roman" w:hAnsi="Times New Roman" w:cs="Times New Roman"/>
                <w:color w:val="auto"/>
                <w:kern w:val="0"/>
                <w:sz w:val="24"/>
                <w:lang w:bidi="ar"/>
              </w:rPr>
              <w:t>%（总投资100万元）。</w:t>
            </w:r>
          </w:p>
          <w:p w14:paraId="33BCB730">
            <w:pPr>
              <w:pStyle w:val="36"/>
              <w:ind w:firstLine="482" w:firstLineChars="200"/>
              <w:rPr>
                <w:rFonts w:hint="default" w:ascii="Times New Roman" w:hAnsi="Times New Roman" w:cs="Times New Roman"/>
                <w:b/>
                <w:color w:val="auto"/>
                <w:sz w:val="24"/>
              </w:rPr>
            </w:pPr>
            <w:r>
              <w:rPr>
                <w:rFonts w:hint="default" w:ascii="Times New Roman" w:hAnsi="Times New Roman" w:cs="Times New Roman"/>
                <w:b/>
                <w:color w:val="auto"/>
                <w:sz w:val="24"/>
              </w:rPr>
              <w:t>9、环境管理要求与监测计划</w:t>
            </w:r>
          </w:p>
          <w:p w14:paraId="38538B85">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1、环境管理制度</w:t>
            </w:r>
          </w:p>
          <w:p w14:paraId="6879E24B">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eastAsia="宋体" w:cs="Times New Roman"/>
                <w:sz w:val="24"/>
                <w:szCs w:val="24"/>
              </w:rPr>
              <w:t>根据本项目实际情况，建设单位设立环境管理机构，配备至少1名专职环保管理人员，建立健全废气治理设施运维、固体废物分类贮存与转移、危险废物规范化管理、环境风险应急、环保台账管理等完善环境管理制度。专职环保管理人员负责厂区日常环境管理工作，统筹环保设施巡检维护、污染物排放管控、环境监测计划落实、各类环保台账记录、危险废物全过程管理以及环保相关资料上报等工作。定期组织员工开展环保法律法规、污染防治设施操作、环境风险应急处置培训</w:t>
            </w:r>
            <w:r>
              <w:rPr>
                <w:rFonts w:hint="default" w:ascii="Times New Roman" w:hAnsi="Times New Roman" w:eastAsia="宋体" w:cs="Times New Roman"/>
                <w:color w:val="auto"/>
                <w:kern w:val="0"/>
                <w:sz w:val="24"/>
                <w:lang w:bidi="ar"/>
              </w:rPr>
              <w:t>。</w:t>
            </w:r>
          </w:p>
          <w:p w14:paraId="73557F26">
            <w:pPr>
              <w:pStyle w:val="36"/>
              <w:rPr>
                <w:rFonts w:hint="default" w:ascii="Times New Roman" w:hAnsi="Times New Roman" w:cs="Times New Roman"/>
                <w:color w:val="auto"/>
              </w:rPr>
            </w:pPr>
          </w:p>
          <w:p w14:paraId="033074E6">
            <w:pPr>
              <w:pStyle w:val="91"/>
              <w:ind w:left="0" w:leftChars="0" w:firstLine="0" w:firstLineChars="0"/>
              <w:rPr>
                <w:rFonts w:hint="default" w:ascii="Times New Roman" w:hAnsi="Times New Roman" w:cs="Times New Roman"/>
                <w:color w:val="auto"/>
                <w:u w:val="none"/>
              </w:rPr>
            </w:pPr>
          </w:p>
        </w:tc>
      </w:tr>
    </w:tbl>
    <w:p w14:paraId="530EEE68">
      <w:pPr>
        <w:adjustRightInd w:val="0"/>
        <w:snapToGrid w:val="0"/>
        <w:spacing w:line="360" w:lineRule="auto"/>
        <w:rPr>
          <w:rFonts w:hint="default" w:ascii="Times New Roman" w:hAnsi="Times New Roman" w:cs="Times New Roman"/>
          <w:b/>
          <w:color w:val="auto"/>
          <w:kern w:val="0"/>
          <w:sz w:val="28"/>
          <w:szCs w:val="28"/>
          <w:u w:val="none"/>
        </w:rPr>
        <w:sectPr>
          <w:pgSz w:w="11907" w:h="16840"/>
          <w:pgMar w:top="1701" w:right="1531" w:bottom="2127" w:left="1531" w:header="851" w:footer="851" w:gutter="0"/>
          <w:pgBorders>
            <w:top w:val="none" w:sz="0" w:space="0"/>
            <w:left w:val="none" w:sz="0" w:space="0"/>
            <w:bottom w:val="none" w:sz="0" w:space="0"/>
            <w:right w:val="none" w:sz="0" w:space="0"/>
          </w:pgBorders>
          <w:cols w:space="720" w:num="1"/>
          <w:docGrid w:linePitch="312" w:charSpace="0"/>
        </w:sectPr>
      </w:pPr>
    </w:p>
    <w:p w14:paraId="3F3C7BF6">
      <w:pPr>
        <w:numPr>
          <w:ilvl w:val="0"/>
          <w:numId w:val="11"/>
        </w:numPr>
        <w:spacing w:line="360" w:lineRule="auto"/>
        <w:jc w:val="center"/>
        <w:outlineLvl w:val="0"/>
        <w:rPr>
          <w:rFonts w:hint="default" w:ascii="Times New Roman" w:hAnsi="Times New Roman" w:cs="Times New Roman"/>
          <w:b/>
          <w:bCs/>
          <w:color w:val="auto"/>
          <w:sz w:val="32"/>
          <w:szCs w:val="32"/>
          <w:u w:val="none"/>
        </w:rPr>
      </w:pPr>
      <w:bookmarkStart w:id="23" w:name="_Toc11645"/>
      <w:bookmarkStart w:id="24" w:name="_Toc29984"/>
      <w:bookmarkStart w:id="25" w:name="_Hlk54167917"/>
      <w:r>
        <w:rPr>
          <w:sz w:val="32"/>
        </w:rPr>
        <mc:AlternateContent>
          <mc:Choice Requires="wps">
            <w:drawing>
              <wp:anchor distT="0" distB="0" distL="114300" distR="114300" simplePos="0" relativeHeight="251659264" behindDoc="0" locked="0" layoutInCell="1" allowOverlap="1">
                <wp:simplePos x="0" y="0"/>
                <wp:positionH relativeFrom="column">
                  <wp:posOffset>15875</wp:posOffset>
                </wp:positionH>
                <wp:positionV relativeFrom="paragraph">
                  <wp:posOffset>402590</wp:posOffset>
                </wp:positionV>
                <wp:extent cx="766445" cy="706755"/>
                <wp:effectExtent l="4445" t="4445" r="10160" b="12700"/>
                <wp:wrapNone/>
                <wp:docPr id="12" name="直接连接符 12"/>
                <wp:cNvGraphicFramePr/>
                <a:graphic xmlns:a="http://schemas.openxmlformats.org/drawingml/2006/main">
                  <a:graphicData uri="http://schemas.microsoft.com/office/word/2010/wordprocessingShape">
                    <wps:wsp>
                      <wps:cNvCnPr/>
                      <wps:spPr>
                        <a:xfrm>
                          <a:off x="996950" y="1447800"/>
                          <a:ext cx="766445" cy="70675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25pt;margin-top:31.7pt;height:55.65pt;width:60.35pt;z-index:251659264;mso-width-relative:page;mso-height-relative:page;" filled="f" stroked="t" coordsize="21600,21600" o:gfxdata="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uCyj/2QAAAAgBAAAPAAAAAAAAAAEAIAAAACIAAABkcnMvZG93bnJldi54bWxQ&#10;SwECFAAUAAAACACHTuJAm25wqPYBAADDAwAADgAAAAAAAAABACAAAAAoAQAAZHJzL2Uyb0RvYy54&#10;bWxQSwUGAAAAAAYABgBZAQAAkAUAAAAA&#10;">
                <v:fill on="f" focussize="0,0"/>
                <v:stroke weight="1pt" color="#000000 [3213]" miterlimit="8" joinstyle="miter"/>
                <v:imagedata o:title=""/>
                <o:lock v:ext="edit" aspectratio="f"/>
              </v:line>
            </w:pict>
          </mc:Fallback>
        </mc:AlternateContent>
      </w:r>
      <w:r>
        <w:rPr>
          <w:rFonts w:hint="default" w:ascii="Times New Roman" w:hAnsi="Times New Roman" w:cs="Times New Roman"/>
          <w:b/>
          <w:bCs/>
          <w:color w:val="auto"/>
          <w:sz w:val="32"/>
          <w:szCs w:val="32"/>
          <w:u w:val="none"/>
        </w:rPr>
        <w:t>环境保</w:t>
      </w:r>
      <w:bookmarkEnd w:id="23"/>
      <w:bookmarkEnd w:id="24"/>
      <w:bookmarkEnd w:id="25"/>
      <w:r>
        <w:rPr>
          <w:rFonts w:hint="default" w:ascii="Times New Roman" w:hAnsi="Times New Roman" w:cs="Times New Roman"/>
          <w:b/>
          <w:bCs/>
          <w:color w:val="auto"/>
          <w:sz w:val="32"/>
          <w:szCs w:val="32"/>
          <w:u w:val="none"/>
        </w:rPr>
        <w:t>护措施监督检查清单</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227"/>
        <w:gridCol w:w="1280"/>
        <w:gridCol w:w="1335"/>
        <w:gridCol w:w="2660"/>
        <w:gridCol w:w="2298"/>
      </w:tblGrid>
      <w:tr w14:paraId="5B2F2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1227" w:type="dxa"/>
            <w:tcBorders>
              <w:tl2br w:val="nil"/>
              <w:tr2bl w:val="nil"/>
            </w:tcBorders>
            <w:tcMar>
              <w:top w:w="60" w:type="dxa"/>
              <w:left w:w="120" w:type="dxa"/>
              <w:bottom w:w="30" w:type="dxa"/>
              <w:right w:w="120" w:type="dxa"/>
            </w:tcMar>
            <w:vAlign w:val="center"/>
          </w:tcPr>
          <w:p w14:paraId="58EAD2C9">
            <w:pPr>
              <w:widowControl/>
              <w:wordWrap w:val="0"/>
              <w:topLinePunct/>
              <w:jc w:val="center"/>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 xml:space="preserve">     </w:t>
            </w:r>
            <w:r>
              <w:rPr>
                <w:rFonts w:hint="default" w:ascii="Times New Roman" w:hAnsi="Times New Roman" w:eastAsia="宋体" w:cs="Times New Roman"/>
                <w:color w:val="auto"/>
              </w:rPr>
              <w:t>内容</w:t>
            </w:r>
          </w:p>
          <w:p w14:paraId="333FC6BC">
            <w:pPr>
              <w:widowControl/>
              <w:wordWrap w:val="0"/>
              <w:topLinePunct/>
              <w:jc w:val="center"/>
              <w:rPr>
                <w:rFonts w:hint="default" w:ascii="Times New Roman" w:hAnsi="Times New Roman" w:eastAsia="宋体" w:cs="Times New Roman"/>
                <w:color w:val="auto"/>
              </w:rPr>
            </w:pPr>
          </w:p>
          <w:p w14:paraId="0B8F8692">
            <w:pPr>
              <w:widowControl/>
              <w:wordWrap w:val="0"/>
              <w:topLinePunct/>
              <w:jc w:val="both"/>
              <w:rPr>
                <w:rFonts w:hint="default" w:ascii="Times New Roman" w:hAnsi="Times New Roman" w:eastAsia="宋体" w:cs="Times New Roman"/>
                <w:color w:val="auto"/>
              </w:rPr>
            </w:pPr>
            <w:r>
              <w:rPr>
                <w:rFonts w:hint="default" w:ascii="Times New Roman" w:hAnsi="Times New Roman" w:eastAsia="宋体" w:cs="Times New Roman"/>
                <w:color w:val="auto"/>
              </w:rPr>
              <w:t>要素</w:t>
            </w:r>
          </w:p>
        </w:tc>
        <w:tc>
          <w:tcPr>
            <w:tcW w:w="1280" w:type="dxa"/>
            <w:tcBorders>
              <w:tl2br w:val="nil"/>
              <w:tr2bl w:val="nil"/>
            </w:tcBorders>
            <w:tcMar>
              <w:top w:w="60" w:type="dxa"/>
              <w:left w:w="120" w:type="dxa"/>
              <w:bottom w:w="30" w:type="dxa"/>
              <w:right w:w="120" w:type="dxa"/>
            </w:tcMar>
            <w:vAlign w:val="center"/>
          </w:tcPr>
          <w:p w14:paraId="674F0333">
            <w:pPr>
              <w:widowControl/>
              <w:wordWrap w:val="0"/>
              <w:topLinePunct/>
              <w:jc w:val="center"/>
              <w:rPr>
                <w:rFonts w:hint="default" w:ascii="Times New Roman" w:hAnsi="Times New Roman" w:eastAsia="宋体" w:cs="Times New Roman"/>
                <w:color w:val="auto"/>
              </w:rPr>
            </w:pPr>
            <w:r>
              <w:rPr>
                <w:rFonts w:hint="default" w:ascii="Times New Roman" w:hAnsi="Times New Roman" w:eastAsia="宋体" w:cs="Times New Roman"/>
                <w:color w:val="auto"/>
              </w:rPr>
              <w:t>排放口（编号、名称）/污染源</w:t>
            </w:r>
          </w:p>
        </w:tc>
        <w:tc>
          <w:tcPr>
            <w:tcW w:w="1335" w:type="dxa"/>
            <w:tcBorders>
              <w:tl2br w:val="nil"/>
              <w:tr2bl w:val="nil"/>
            </w:tcBorders>
            <w:tcMar>
              <w:top w:w="60" w:type="dxa"/>
              <w:left w:w="120" w:type="dxa"/>
              <w:bottom w:w="30" w:type="dxa"/>
              <w:right w:w="120" w:type="dxa"/>
            </w:tcMar>
            <w:vAlign w:val="center"/>
          </w:tcPr>
          <w:p w14:paraId="132E2636">
            <w:pPr>
              <w:widowControl/>
              <w:wordWrap w:val="0"/>
              <w:topLinePunct/>
              <w:jc w:val="center"/>
              <w:rPr>
                <w:rFonts w:hint="default" w:ascii="Times New Roman" w:hAnsi="Times New Roman" w:eastAsia="宋体" w:cs="Times New Roman"/>
                <w:color w:val="auto"/>
              </w:rPr>
            </w:pPr>
            <w:r>
              <w:rPr>
                <w:rFonts w:hint="default" w:ascii="Times New Roman" w:hAnsi="Times New Roman" w:eastAsia="宋体" w:cs="Times New Roman"/>
                <w:color w:val="auto"/>
              </w:rPr>
              <w:t>污染物项目</w:t>
            </w:r>
          </w:p>
        </w:tc>
        <w:tc>
          <w:tcPr>
            <w:tcW w:w="2660" w:type="dxa"/>
            <w:tcBorders>
              <w:tl2br w:val="nil"/>
              <w:tr2bl w:val="nil"/>
            </w:tcBorders>
            <w:tcMar>
              <w:top w:w="60" w:type="dxa"/>
              <w:left w:w="120" w:type="dxa"/>
              <w:bottom w:w="30" w:type="dxa"/>
              <w:right w:w="120" w:type="dxa"/>
            </w:tcMar>
            <w:vAlign w:val="center"/>
          </w:tcPr>
          <w:p w14:paraId="3FD6DB16">
            <w:pPr>
              <w:widowControl/>
              <w:wordWrap w:val="0"/>
              <w:topLinePunct/>
              <w:jc w:val="center"/>
              <w:rPr>
                <w:rFonts w:hint="default" w:ascii="Times New Roman" w:hAnsi="Times New Roman" w:eastAsia="宋体" w:cs="Times New Roman"/>
                <w:color w:val="auto"/>
              </w:rPr>
            </w:pPr>
            <w:r>
              <w:rPr>
                <w:rFonts w:hint="default" w:ascii="Times New Roman" w:hAnsi="Times New Roman" w:eastAsia="宋体" w:cs="Times New Roman"/>
                <w:color w:val="auto"/>
              </w:rPr>
              <w:t>环境保护措施</w:t>
            </w:r>
          </w:p>
        </w:tc>
        <w:tc>
          <w:tcPr>
            <w:tcW w:w="2298" w:type="dxa"/>
            <w:tcBorders>
              <w:tl2br w:val="nil"/>
              <w:tr2bl w:val="nil"/>
            </w:tcBorders>
            <w:tcMar>
              <w:top w:w="60" w:type="dxa"/>
              <w:left w:w="120" w:type="dxa"/>
              <w:bottom w:w="30" w:type="dxa"/>
              <w:right w:w="120" w:type="dxa"/>
            </w:tcMar>
            <w:vAlign w:val="center"/>
          </w:tcPr>
          <w:p w14:paraId="453AC09C">
            <w:pPr>
              <w:widowControl/>
              <w:wordWrap w:val="0"/>
              <w:topLinePunct/>
              <w:jc w:val="center"/>
              <w:rPr>
                <w:rFonts w:hint="default" w:ascii="Times New Roman" w:hAnsi="Times New Roman" w:eastAsia="宋体" w:cs="Times New Roman"/>
                <w:color w:val="auto"/>
              </w:rPr>
            </w:pPr>
            <w:r>
              <w:rPr>
                <w:rFonts w:hint="default" w:ascii="Times New Roman" w:hAnsi="Times New Roman" w:eastAsia="宋体" w:cs="Times New Roman"/>
                <w:color w:val="auto"/>
              </w:rPr>
              <w:t>执行标准</w:t>
            </w:r>
          </w:p>
        </w:tc>
      </w:tr>
      <w:tr w14:paraId="04901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1227" w:type="dxa"/>
            <w:vMerge w:val="restart"/>
            <w:tcBorders>
              <w:tl2br w:val="nil"/>
              <w:tr2bl w:val="nil"/>
            </w:tcBorders>
            <w:tcMar>
              <w:top w:w="60" w:type="dxa"/>
              <w:left w:w="120" w:type="dxa"/>
              <w:bottom w:w="30" w:type="dxa"/>
              <w:right w:w="120" w:type="dxa"/>
            </w:tcMar>
            <w:vAlign w:val="center"/>
          </w:tcPr>
          <w:p w14:paraId="19E34F23">
            <w:pPr>
              <w:widowControl/>
              <w:wordWrap w:val="0"/>
              <w:topLinePunct/>
              <w:jc w:val="center"/>
              <w:rPr>
                <w:rFonts w:hint="default" w:ascii="Times New Roman" w:hAnsi="Times New Roman" w:eastAsia="宋体" w:cs="Times New Roman"/>
                <w:color w:val="auto"/>
              </w:rPr>
            </w:pPr>
            <w:r>
              <w:rPr>
                <w:rFonts w:hint="default" w:ascii="Times New Roman" w:hAnsi="Times New Roman" w:eastAsia="宋体" w:cs="Times New Roman"/>
                <w:color w:val="auto"/>
              </w:rPr>
              <w:t>大气环境</w:t>
            </w:r>
          </w:p>
        </w:tc>
        <w:tc>
          <w:tcPr>
            <w:tcW w:w="1280" w:type="dxa"/>
            <w:tcBorders>
              <w:tl2br w:val="nil"/>
              <w:tr2bl w:val="nil"/>
            </w:tcBorders>
            <w:tcMar>
              <w:top w:w="60" w:type="dxa"/>
              <w:left w:w="120" w:type="dxa"/>
              <w:bottom w:w="30" w:type="dxa"/>
              <w:right w:w="120" w:type="dxa"/>
            </w:tcMar>
            <w:vAlign w:val="center"/>
          </w:tcPr>
          <w:p w14:paraId="69774653">
            <w:pPr>
              <w:widowControl/>
              <w:wordWrap w:val="0"/>
              <w:topLinePunct/>
              <w:jc w:val="center"/>
              <w:rPr>
                <w:rFonts w:hint="default" w:ascii="Times New Roman" w:hAnsi="Times New Roman" w:eastAsia="宋体" w:cs="Times New Roman"/>
                <w:color w:val="auto"/>
              </w:rPr>
            </w:pPr>
            <w:r>
              <w:rPr>
                <w:rFonts w:hint="default" w:cs="Times New Roman"/>
                <w:color w:val="auto"/>
                <w:lang w:eastAsia="zh-CN"/>
              </w:rPr>
              <w:t>混合</w:t>
            </w:r>
            <w:r>
              <w:rPr>
                <w:rFonts w:hint="default" w:ascii="Times New Roman" w:hAnsi="Times New Roman" w:eastAsia="宋体" w:cs="Times New Roman"/>
                <w:color w:val="auto"/>
              </w:rPr>
              <w:t>、注塑、破碎工序（无组织）</w:t>
            </w:r>
          </w:p>
        </w:tc>
        <w:tc>
          <w:tcPr>
            <w:tcW w:w="1335" w:type="dxa"/>
            <w:tcBorders>
              <w:tl2br w:val="nil"/>
              <w:tr2bl w:val="nil"/>
            </w:tcBorders>
            <w:tcMar>
              <w:top w:w="60" w:type="dxa"/>
              <w:left w:w="120" w:type="dxa"/>
              <w:bottom w:w="30" w:type="dxa"/>
              <w:right w:w="120" w:type="dxa"/>
            </w:tcMar>
            <w:vAlign w:val="center"/>
          </w:tcPr>
          <w:p w14:paraId="454E9B71">
            <w:pPr>
              <w:widowControl/>
              <w:wordWrap w:val="0"/>
              <w:topLinePunct/>
              <w:jc w:val="center"/>
              <w:rPr>
                <w:rFonts w:hint="default" w:ascii="Times New Roman" w:hAnsi="Times New Roman" w:eastAsia="宋体" w:cs="Times New Roman"/>
                <w:color w:val="auto"/>
              </w:rPr>
            </w:pPr>
            <w:r>
              <w:rPr>
                <w:rFonts w:hint="default" w:ascii="Times New Roman" w:hAnsi="Times New Roman" w:eastAsia="宋体" w:cs="Times New Roman"/>
                <w:color w:val="auto"/>
              </w:rPr>
              <w:t>颗粒物、非甲烷总烃</w:t>
            </w:r>
            <w:r>
              <w:rPr>
                <w:rFonts w:hint="default" w:ascii="Times New Roman" w:hAnsi="Times New Roman" w:eastAsia="宋体" w:cs="Times New Roman"/>
                <w:color w:val="auto"/>
                <w:szCs w:val="21"/>
                <w:u w:val="none"/>
                <w:lang w:eastAsia="zh-CN"/>
              </w:rPr>
              <w:t>、</w:t>
            </w:r>
            <w:r>
              <w:rPr>
                <w:rFonts w:hint="default" w:ascii="Times New Roman" w:hAnsi="Times New Roman" w:eastAsia="宋体" w:cs="Times New Roman"/>
                <w:color w:val="auto"/>
                <w:szCs w:val="21"/>
                <w:u w:val="none"/>
                <w:lang w:val="en-US" w:eastAsia="zh-CN"/>
              </w:rPr>
              <w:t>苯乙烯、</w:t>
            </w:r>
            <w:r>
              <w:rPr>
                <w:rFonts w:hint="eastAsia" w:cs="Times New Roman"/>
                <w:color w:val="auto"/>
                <w:szCs w:val="21"/>
                <w:u w:val="none"/>
                <w:lang w:val="en-US" w:eastAsia="zh-CN"/>
              </w:rPr>
              <w:t>1,3-丁二烯</w:t>
            </w:r>
            <w:r>
              <w:rPr>
                <w:rFonts w:hint="default" w:ascii="Times New Roman" w:hAnsi="Times New Roman" w:eastAsia="宋体" w:cs="Times New Roman"/>
                <w:color w:val="auto"/>
                <w:szCs w:val="21"/>
                <w:u w:val="none"/>
                <w:lang w:val="en-US" w:eastAsia="zh-CN"/>
              </w:rPr>
              <w:t>、臭气浓度</w:t>
            </w:r>
          </w:p>
        </w:tc>
        <w:tc>
          <w:tcPr>
            <w:tcW w:w="2660" w:type="dxa"/>
            <w:tcBorders>
              <w:tl2br w:val="nil"/>
              <w:tr2bl w:val="nil"/>
            </w:tcBorders>
            <w:tcMar>
              <w:top w:w="60" w:type="dxa"/>
              <w:left w:w="120" w:type="dxa"/>
              <w:bottom w:w="30" w:type="dxa"/>
              <w:right w:w="120" w:type="dxa"/>
            </w:tcMar>
            <w:vAlign w:val="center"/>
          </w:tcPr>
          <w:p w14:paraId="3B6C00A6">
            <w:pPr>
              <w:widowControl/>
              <w:wordWrap w:val="0"/>
              <w:topLinePunct/>
              <w:jc w:val="both"/>
              <w:rPr>
                <w:rFonts w:hint="default" w:ascii="Times New Roman" w:hAnsi="Times New Roman" w:eastAsia="宋体" w:cs="Times New Roman"/>
                <w:color w:val="auto"/>
              </w:rPr>
            </w:pPr>
            <w:r>
              <w:rPr>
                <w:rFonts w:hint="default" w:ascii="Times New Roman" w:hAnsi="Times New Roman" w:eastAsia="宋体" w:cs="Times New Roman"/>
                <w:color w:val="auto"/>
                <w:lang w:val="en-US" w:eastAsia="zh-CN"/>
              </w:rPr>
              <w:t>车间管控、自然通风</w:t>
            </w:r>
            <w:r>
              <w:rPr>
                <w:rFonts w:hint="default" w:ascii="Times New Roman" w:hAnsi="Times New Roman" w:eastAsia="宋体" w:cs="Times New Roman"/>
                <w:color w:val="auto"/>
              </w:rPr>
              <w:t>。</w:t>
            </w:r>
          </w:p>
        </w:tc>
        <w:tc>
          <w:tcPr>
            <w:tcW w:w="2298" w:type="dxa"/>
            <w:tcBorders>
              <w:tl2br w:val="nil"/>
              <w:tr2bl w:val="nil"/>
            </w:tcBorders>
            <w:tcMar>
              <w:top w:w="60" w:type="dxa"/>
              <w:left w:w="120" w:type="dxa"/>
              <w:bottom w:w="30" w:type="dxa"/>
              <w:right w:w="120" w:type="dxa"/>
            </w:tcMar>
            <w:vAlign w:val="center"/>
          </w:tcPr>
          <w:p w14:paraId="6569FEBE">
            <w:pPr>
              <w:widowControl/>
              <w:wordWrap w:val="0"/>
              <w:topLinePunct/>
              <w:jc w:val="center"/>
              <w:rPr>
                <w:rFonts w:hint="default" w:ascii="Times New Roman" w:hAnsi="Times New Roman" w:eastAsia="宋体" w:cs="Times New Roman"/>
                <w:color w:val="auto"/>
              </w:rPr>
            </w:pPr>
            <w:r>
              <w:rPr>
                <w:rFonts w:hint="default" w:ascii="Times New Roman" w:hAnsi="Times New Roman" w:eastAsia="宋体" w:cs="Times New Roman"/>
                <w:color w:val="auto"/>
                <w:sz w:val="21"/>
                <w:szCs w:val="24"/>
              </w:rPr>
              <w:t>非甲烷总烃</w:t>
            </w:r>
            <w:r>
              <w:rPr>
                <w:rFonts w:hint="default" w:eastAsia="宋体" w:cs="Times New Roman"/>
                <w:color w:val="auto"/>
                <w:sz w:val="21"/>
                <w:szCs w:val="24"/>
                <w:lang w:eastAsia="zh-CN"/>
              </w:rPr>
              <w:t>、</w:t>
            </w:r>
            <w:r>
              <w:rPr>
                <w:rFonts w:hint="default" w:eastAsia="宋体" w:cs="Times New Roman"/>
                <w:color w:val="auto"/>
                <w:sz w:val="21"/>
                <w:szCs w:val="24"/>
                <w:lang w:val="en-US" w:eastAsia="zh-CN"/>
              </w:rPr>
              <w:t>颗粒物</w:t>
            </w:r>
            <w:r>
              <w:rPr>
                <w:rFonts w:hint="default" w:ascii="Times New Roman" w:hAnsi="Times New Roman" w:eastAsia="宋体" w:cs="Times New Roman"/>
                <w:color w:val="auto"/>
                <w:sz w:val="21"/>
                <w:szCs w:val="24"/>
              </w:rPr>
              <w:t>执行《合成树脂工业污染物排放标准》（GB31572-2015</w:t>
            </w:r>
            <w:r>
              <w:rPr>
                <w:rFonts w:hint="default" w:eastAsia="宋体" w:cs="Times New Roman"/>
                <w:color w:val="auto"/>
                <w:sz w:val="21"/>
                <w:u w:val="none"/>
                <w:lang w:val="en-US" w:eastAsia="zh-CN"/>
              </w:rPr>
              <w:t>含2024年修改单</w:t>
            </w:r>
            <w:r>
              <w:rPr>
                <w:rFonts w:hint="default" w:ascii="Times New Roman" w:hAnsi="Times New Roman" w:eastAsia="宋体" w:cs="Times New Roman"/>
                <w:color w:val="auto"/>
                <w:sz w:val="21"/>
                <w:szCs w:val="24"/>
              </w:rPr>
              <w:t>）表9企业边界大气污染物浓度限值；</w:t>
            </w:r>
            <w:r>
              <w:rPr>
                <w:rFonts w:hint="default"/>
                <w:color w:val="auto"/>
                <w:spacing w:val="0"/>
                <w:sz w:val="21"/>
              </w:rPr>
              <w:t>苯乙烯</w:t>
            </w:r>
            <w:r>
              <w:rPr>
                <w:rFonts w:hint="default" w:eastAsia="宋体"/>
                <w:color w:val="auto"/>
                <w:spacing w:val="0"/>
                <w:sz w:val="21"/>
                <w:lang w:eastAsia="zh-CN"/>
              </w:rPr>
              <w:t>、</w:t>
            </w:r>
            <w:r>
              <w:rPr>
                <w:rFonts w:hint="default" w:ascii="Times New Roman" w:hAnsi="Times New Roman" w:eastAsia="宋体" w:cs="Times New Roman"/>
                <w:color w:val="auto"/>
                <w:sz w:val="21"/>
                <w:szCs w:val="24"/>
                <w:u w:val="none"/>
                <w:lang w:val="en-US" w:eastAsia="zh-CN"/>
              </w:rPr>
              <w:t>臭气浓度</w:t>
            </w:r>
            <w:r>
              <w:rPr>
                <w:rFonts w:hint="default"/>
                <w:color w:val="auto"/>
                <w:spacing w:val="0"/>
                <w:sz w:val="21"/>
              </w:rPr>
              <w:t>执行《恶臭污染物排放标准》（GB14554-93）表</w:t>
            </w:r>
            <w:r>
              <w:rPr>
                <w:rFonts w:hint="default"/>
                <w:color w:val="auto"/>
                <w:sz w:val="21"/>
              </w:rPr>
              <w:t>1</w:t>
            </w:r>
            <w:r>
              <w:rPr>
                <w:rFonts w:hint="default"/>
                <w:color w:val="auto"/>
                <w:spacing w:val="0"/>
                <w:sz w:val="21"/>
              </w:rPr>
              <w:t>规定的限值</w:t>
            </w:r>
            <w:r>
              <w:rPr>
                <w:rFonts w:hint="default"/>
                <w:color w:val="auto"/>
                <w:spacing w:val="0"/>
                <w:sz w:val="21"/>
                <w:lang w:val="en-US" w:eastAsia="zh-CN"/>
              </w:rPr>
              <w:t>；</w:t>
            </w:r>
          </w:p>
        </w:tc>
      </w:tr>
      <w:tr w14:paraId="37557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1227" w:type="dxa"/>
            <w:vMerge w:val="continue"/>
            <w:tcBorders>
              <w:tl2br w:val="nil"/>
              <w:tr2bl w:val="nil"/>
            </w:tcBorders>
            <w:tcMar>
              <w:top w:w="60" w:type="dxa"/>
              <w:left w:w="120" w:type="dxa"/>
              <w:bottom w:w="30" w:type="dxa"/>
              <w:right w:w="120" w:type="dxa"/>
            </w:tcMar>
            <w:vAlign w:val="center"/>
          </w:tcPr>
          <w:p w14:paraId="2B3598B8">
            <w:pPr>
              <w:widowControl/>
              <w:wordWrap w:val="0"/>
              <w:topLinePunct/>
              <w:jc w:val="center"/>
              <w:rPr>
                <w:rFonts w:hint="default" w:ascii="Times New Roman" w:hAnsi="Times New Roman" w:eastAsia="宋体" w:cs="Times New Roman"/>
                <w:color w:val="auto"/>
              </w:rPr>
            </w:pPr>
          </w:p>
        </w:tc>
        <w:tc>
          <w:tcPr>
            <w:tcW w:w="1280" w:type="dxa"/>
            <w:tcBorders>
              <w:tl2br w:val="nil"/>
              <w:tr2bl w:val="nil"/>
            </w:tcBorders>
            <w:tcMar>
              <w:top w:w="60" w:type="dxa"/>
              <w:left w:w="120" w:type="dxa"/>
              <w:bottom w:w="30" w:type="dxa"/>
              <w:right w:w="120" w:type="dxa"/>
            </w:tcMar>
            <w:vAlign w:val="center"/>
          </w:tcPr>
          <w:p w14:paraId="181AE612">
            <w:pPr>
              <w:widowControl/>
              <w:wordWrap w:val="0"/>
              <w:topLinePunct/>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DA001</w:t>
            </w:r>
          </w:p>
        </w:tc>
        <w:tc>
          <w:tcPr>
            <w:tcW w:w="1335" w:type="dxa"/>
            <w:tcBorders>
              <w:tl2br w:val="nil"/>
              <w:tr2bl w:val="nil"/>
            </w:tcBorders>
            <w:tcMar>
              <w:top w:w="60" w:type="dxa"/>
              <w:left w:w="120" w:type="dxa"/>
              <w:bottom w:w="30" w:type="dxa"/>
              <w:right w:w="120" w:type="dxa"/>
            </w:tcMar>
            <w:vAlign w:val="center"/>
          </w:tcPr>
          <w:p w14:paraId="7DDFF3E9">
            <w:pPr>
              <w:widowControl/>
              <w:wordWrap w:val="0"/>
              <w:topLinePunct/>
              <w:jc w:val="center"/>
              <w:rPr>
                <w:rFonts w:hint="default" w:ascii="Times New Roman" w:hAnsi="Times New Roman" w:eastAsia="宋体" w:cs="Times New Roman"/>
                <w:color w:val="auto"/>
              </w:rPr>
            </w:pPr>
            <w:r>
              <w:rPr>
                <w:rFonts w:hint="default" w:ascii="Times New Roman" w:hAnsi="Times New Roman" w:eastAsia="宋体" w:cs="Times New Roman"/>
                <w:color w:val="auto"/>
              </w:rPr>
              <w:t>非甲烷总烃</w:t>
            </w:r>
            <w:r>
              <w:rPr>
                <w:rFonts w:hint="default" w:ascii="Times New Roman" w:hAnsi="Times New Roman" w:eastAsia="宋体" w:cs="Times New Roman"/>
                <w:color w:val="auto"/>
                <w:szCs w:val="21"/>
                <w:u w:val="none"/>
                <w:lang w:eastAsia="zh-CN"/>
              </w:rPr>
              <w:t>、</w:t>
            </w:r>
            <w:r>
              <w:rPr>
                <w:rFonts w:hint="default" w:ascii="Times New Roman" w:hAnsi="Times New Roman" w:eastAsia="宋体" w:cs="Times New Roman"/>
                <w:color w:val="auto"/>
                <w:szCs w:val="21"/>
                <w:u w:val="none"/>
                <w:lang w:val="en-US" w:eastAsia="zh-CN"/>
              </w:rPr>
              <w:t>苯乙烯、</w:t>
            </w:r>
            <w:r>
              <w:rPr>
                <w:rFonts w:hint="eastAsia" w:cs="Times New Roman"/>
                <w:color w:val="auto"/>
                <w:szCs w:val="21"/>
                <w:u w:val="none"/>
                <w:lang w:val="en-US" w:eastAsia="zh-CN"/>
              </w:rPr>
              <w:t>1,3-丁二烯</w:t>
            </w:r>
            <w:r>
              <w:rPr>
                <w:rFonts w:hint="default" w:ascii="Times New Roman" w:hAnsi="Times New Roman" w:eastAsia="宋体" w:cs="Times New Roman"/>
                <w:color w:val="auto"/>
                <w:szCs w:val="21"/>
                <w:u w:val="none"/>
                <w:lang w:val="en-US" w:eastAsia="zh-CN"/>
              </w:rPr>
              <w:t>、臭气浓度</w:t>
            </w:r>
          </w:p>
        </w:tc>
        <w:tc>
          <w:tcPr>
            <w:tcW w:w="2660" w:type="dxa"/>
            <w:tcBorders>
              <w:tl2br w:val="nil"/>
              <w:tr2bl w:val="nil"/>
            </w:tcBorders>
            <w:tcMar>
              <w:top w:w="60" w:type="dxa"/>
              <w:left w:w="120" w:type="dxa"/>
              <w:bottom w:w="30" w:type="dxa"/>
              <w:right w:w="120" w:type="dxa"/>
            </w:tcMar>
            <w:vAlign w:val="center"/>
          </w:tcPr>
          <w:p w14:paraId="63AC13C4">
            <w:pPr>
              <w:widowControl/>
              <w:wordWrap w:val="0"/>
              <w:topLinePunct/>
              <w:jc w:val="center"/>
              <w:rPr>
                <w:rFonts w:hint="default" w:ascii="Times New Roman" w:hAnsi="Times New Roman" w:eastAsia="宋体" w:cs="Times New Roman"/>
                <w:color w:val="auto"/>
                <w:lang w:val="en-US" w:eastAsia="zh-CN"/>
              </w:rPr>
            </w:pPr>
            <w:r>
              <w:rPr>
                <w:rFonts w:hint="default" w:eastAsia="宋体" w:cs="Times New Roman"/>
                <w:color w:val="auto"/>
                <w:lang w:val="en-US" w:eastAsia="zh-CN"/>
              </w:rPr>
              <w:t>集气罩+</w:t>
            </w:r>
            <w:r>
              <w:rPr>
                <w:rFonts w:hint="default" w:ascii="Times New Roman" w:hAnsi="Times New Roman" w:eastAsia="宋体" w:cs="Times New Roman"/>
                <w:color w:val="auto"/>
              </w:rPr>
              <w:t>二级活性炭吸附装置处理</w:t>
            </w:r>
            <w:r>
              <w:rPr>
                <w:rFonts w:hint="default" w:ascii="Times New Roman" w:hAnsi="Times New Roman" w:eastAsia="宋体" w:cs="Times New Roman"/>
                <w:color w:val="auto"/>
                <w:lang w:val="en-US" w:eastAsia="zh-CN"/>
              </w:rPr>
              <w:t>+15m排气筒</w:t>
            </w:r>
          </w:p>
        </w:tc>
        <w:tc>
          <w:tcPr>
            <w:tcW w:w="2298" w:type="dxa"/>
            <w:tcBorders>
              <w:tl2br w:val="nil"/>
              <w:tr2bl w:val="nil"/>
            </w:tcBorders>
            <w:tcMar>
              <w:top w:w="60" w:type="dxa"/>
              <w:left w:w="120" w:type="dxa"/>
              <w:bottom w:w="30" w:type="dxa"/>
              <w:right w:w="120" w:type="dxa"/>
            </w:tcMar>
            <w:vAlign w:val="center"/>
          </w:tcPr>
          <w:p w14:paraId="5689BCCB">
            <w:pPr>
              <w:widowControl/>
              <w:wordWrap w:val="0"/>
              <w:topLinePunct/>
              <w:jc w:val="center"/>
              <w:rPr>
                <w:rFonts w:hint="default" w:ascii="Times New Roman" w:hAnsi="Times New Roman" w:eastAsia="宋体" w:cs="Times New Roman"/>
                <w:color w:val="auto"/>
              </w:rPr>
            </w:pPr>
            <w:r>
              <w:rPr>
                <w:rFonts w:hint="default" w:ascii="Times New Roman" w:hAnsi="Times New Roman" w:cs="Times New Roman"/>
                <w:color w:val="auto"/>
                <w:sz w:val="21"/>
              </w:rPr>
              <w:t>非甲烷</w:t>
            </w:r>
            <w:r>
              <w:rPr>
                <w:rFonts w:hint="default" w:ascii="Times New Roman" w:hAnsi="Times New Roman" w:eastAsia="宋体" w:cs="Times New Roman"/>
                <w:color w:val="auto"/>
                <w:sz w:val="21"/>
              </w:rPr>
              <w:t>总烃</w:t>
            </w:r>
            <w:r>
              <w:rPr>
                <w:rFonts w:hint="default" w:ascii="Times New Roman" w:hAnsi="Times New Roman" w:eastAsia="宋体" w:cs="Times New Roman"/>
                <w:color w:val="auto"/>
                <w:sz w:val="21"/>
                <w:lang w:eastAsia="zh-CN"/>
              </w:rPr>
              <w:t>、</w:t>
            </w:r>
            <w:r>
              <w:rPr>
                <w:rFonts w:hint="default" w:ascii="Times New Roman" w:hAnsi="Times New Roman" w:eastAsia="宋体" w:cs="Times New Roman"/>
                <w:color w:val="auto"/>
                <w:sz w:val="21"/>
                <w:lang w:val="en-US" w:eastAsia="zh-CN"/>
              </w:rPr>
              <w:t>苯乙烯、</w:t>
            </w:r>
            <w:r>
              <w:rPr>
                <w:rFonts w:hint="eastAsia"/>
                <w:color w:val="auto"/>
                <w:sz w:val="21"/>
                <w:lang w:eastAsia="zh-CN"/>
              </w:rPr>
              <w:t>1,3-丁二烯</w:t>
            </w:r>
            <w:r>
              <w:rPr>
                <w:rFonts w:hint="default" w:ascii="Times New Roman" w:hAnsi="Times New Roman" w:eastAsia="宋体" w:cs="Times New Roman"/>
                <w:color w:val="auto"/>
                <w:spacing w:val="0"/>
                <w:sz w:val="21"/>
              </w:rPr>
              <w:t>执</w:t>
            </w:r>
            <w:r>
              <w:rPr>
                <w:rFonts w:hint="default" w:ascii="Times New Roman" w:hAnsi="Times New Roman" w:cs="Times New Roman"/>
                <w:color w:val="auto"/>
                <w:spacing w:val="0"/>
                <w:sz w:val="21"/>
              </w:rPr>
              <w:t>行《合成树脂工业污染</w:t>
            </w:r>
            <w:r>
              <w:rPr>
                <w:rFonts w:hint="default" w:ascii="Times New Roman" w:hAnsi="Times New Roman" w:eastAsia="宋体" w:cs="Times New Roman"/>
                <w:color w:val="auto"/>
                <w:sz w:val="21"/>
                <w:u w:val="none"/>
              </w:rPr>
              <w:t>物排放标准》（GB31572-2015</w:t>
            </w:r>
            <w:r>
              <w:rPr>
                <w:rFonts w:hint="default" w:eastAsia="宋体" w:cs="Times New Roman"/>
                <w:color w:val="auto"/>
                <w:sz w:val="21"/>
                <w:u w:val="none"/>
                <w:lang w:val="en-US" w:eastAsia="zh-CN"/>
              </w:rPr>
              <w:t>含2024年修改单</w:t>
            </w:r>
            <w:r>
              <w:rPr>
                <w:rFonts w:hint="default" w:ascii="Times New Roman" w:hAnsi="Times New Roman" w:eastAsia="宋体" w:cs="Times New Roman"/>
                <w:color w:val="auto"/>
                <w:sz w:val="21"/>
                <w:u w:val="none"/>
              </w:rPr>
              <w:t>）表4大气污染物排放限值；</w:t>
            </w:r>
            <w:r>
              <w:rPr>
                <w:rFonts w:hint="default" w:ascii="Times New Roman" w:hAnsi="Times New Roman" w:eastAsia="宋体" w:cs="Times New Roman"/>
                <w:color w:val="auto"/>
                <w:sz w:val="21"/>
                <w:szCs w:val="24"/>
                <w:u w:val="none"/>
                <w:lang w:val="en-US" w:eastAsia="zh-CN"/>
              </w:rPr>
              <w:t>臭气浓度</w:t>
            </w:r>
            <w:r>
              <w:rPr>
                <w:rFonts w:hint="default"/>
                <w:color w:val="auto"/>
                <w:spacing w:val="0"/>
                <w:sz w:val="21"/>
              </w:rPr>
              <w:t>执行《恶臭污染物排放标准》（GB14554-93）表</w:t>
            </w:r>
            <w:r>
              <w:rPr>
                <w:rFonts w:hint="default" w:eastAsia="宋体"/>
                <w:color w:val="auto"/>
                <w:sz w:val="21"/>
                <w:lang w:val="en-US" w:eastAsia="zh-CN"/>
              </w:rPr>
              <w:t>2</w:t>
            </w:r>
            <w:r>
              <w:rPr>
                <w:rFonts w:hint="default"/>
                <w:color w:val="auto"/>
                <w:spacing w:val="0"/>
                <w:sz w:val="21"/>
              </w:rPr>
              <w:t>规定的限值</w:t>
            </w:r>
          </w:p>
        </w:tc>
      </w:tr>
      <w:tr w14:paraId="3D723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1227" w:type="dxa"/>
            <w:tcBorders>
              <w:tl2br w:val="nil"/>
              <w:tr2bl w:val="nil"/>
            </w:tcBorders>
            <w:tcMar>
              <w:top w:w="60" w:type="dxa"/>
              <w:left w:w="120" w:type="dxa"/>
              <w:bottom w:w="30" w:type="dxa"/>
              <w:right w:w="120" w:type="dxa"/>
            </w:tcMar>
            <w:vAlign w:val="center"/>
          </w:tcPr>
          <w:p w14:paraId="18A49264">
            <w:pPr>
              <w:widowControl/>
              <w:wordWrap w:val="0"/>
              <w:topLinePunct/>
              <w:jc w:val="center"/>
              <w:rPr>
                <w:rFonts w:hint="default" w:ascii="Times New Roman" w:hAnsi="Times New Roman" w:eastAsia="宋体" w:cs="Times New Roman"/>
                <w:color w:val="auto"/>
              </w:rPr>
            </w:pPr>
            <w:r>
              <w:rPr>
                <w:rFonts w:hint="default" w:ascii="Times New Roman" w:hAnsi="Times New Roman" w:eastAsia="宋体" w:cs="Times New Roman"/>
                <w:color w:val="auto"/>
              </w:rPr>
              <w:t>地表水环境</w:t>
            </w:r>
          </w:p>
        </w:tc>
        <w:tc>
          <w:tcPr>
            <w:tcW w:w="1280" w:type="dxa"/>
            <w:tcBorders>
              <w:tl2br w:val="nil"/>
              <w:tr2bl w:val="nil"/>
            </w:tcBorders>
            <w:tcMar>
              <w:top w:w="60" w:type="dxa"/>
              <w:left w:w="120" w:type="dxa"/>
              <w:bottom w:w="30" w:type="dxa"/>
              <w:right w:w="120" w:type="dxa"/>
            </w:tcMar>
            <w:vAlign w:val="center"/>
          </w:tcPr>
          <w:p w14:paraId="097591BB">
            <w:pPr>
              <w:widowControl/>
              <w:wordWrap w:val="0"/>
              <w:topLinePunct/>
              <w:jc w:val="center"/>
              <w:rPr>
                <w:rFonts w:hint="default" w:ascii="Times New Roman" w:hAnsi="Times New Roman" w:eastAsia="宋体" w:cs="Times New Roman"/>
                <w:color w:val="auto"/>
              </w:rPr>
            </w:pPr>
            <w:r>
              <w:rPr>
                <w:rFonts w:hint="default" w:ascii="Times New Roman" w:hAnsi="Times New Roman" w:eastAsia="宋体" w:cs="Times New Roman"/>
                <w:color w:val="auto"/>
              </w:rPr>
              <w:t>员工生活污水</w:t>
            </w:r>
          </w:p>
        </w:tc>
        <w:tc>
          <w:tcPr>
            <w:tcW w:w="1335" w:type="dxa"/>
            <w:tcBorders>
              <w:tl2br w:val="nil"/>
              <w:tr2bl w:val="nil"/>
            </w:tcBorders>
            <w:tcMar>
              <w:top w:w="60" w:type="dxa"/>
              <w:left w:w="120" w:type="dxa"/>
              <w:bottom w:w="30" w:type="dxa"/>
              <w:right w:w="120" w:type="dxa"/>
            </w:tcMar>
            <w:vAlign w:val="center"/>
          </w:tcPr>
          <w:p w14:paraId="1EE206DF">
            <w:pPr>
              <w:widowControl/>
              <w:wordWrap w:val="0"/>
              <w:topLinePunct/>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rPr>
              <w:t>COD</w:t>
            </w:r>
            <w:r>
              <w:rPr>
                <w:rFonts w:hint="default" w:cs="Times New Roman"/>
                <w:color w:val="auto"/>
                <w:lang w:eastAsia="zh-CN"/>
              </w:rPr>
              <w:t>、</w:t>
            </w:r>
            <w:r>
              <w:rPr>
                <w:rFonts w:hint="default" w:cs="Times New Roman"/>
                <w:color w:val="auto"/>
                <w:lang w:val="en-US" w:eastAsia="zh-CN"/>
              </w:rPr>
              <w:t>BOD</w:t>
            </w:r>
            <w:r>
              <w:rPr>
                <w:rFonts w:hint="default" w:cs="Times New Roman"/>
                <w:color w:val="auto"/>
                <w:sz w:val="21"/>
                <w:vertAlign w:val="subscript"/>
                <w:lang w:val="en-US" w:eastAsia="zh-CN"/>
              </w:rPr>
              <w:t>5</w:t>
            </w:r>
            <w:r>
              <w:rPr>
                <w:rFonts w:hint="default" w:ascii="Times New Roman" w:hAnsi="Times New Roman" w:eastAsia="宋体" w:cs="Times New Roman"/>
                <w:color w:val="auto"/>
              </w:rPr>
              <w:t>、SS、氨氮</w:t>
            </w:r>
            <w:r>
              <w:rPr>
                <w:rFonts w:hint="default" w:cs="Times New Roman"/>
                <w:color w:val="auto"/>
                <w:lang w:val="en-US" w:eastAsia="zh-CN"/>
              </w:rPr>
              <w:t>等</w:t>
            </w:r>
          </w:p>
        </w:tc>
        <w:tc>
          <w:tcPr>
            <w:tcW w:w="2660" w:type="dxa"/>
            <w:tcBorders>
              <w:tl2br w:val="nil"/>
              <w:tr2bl w:val="nil"/>
            </w:tcBorders>
            <w:tcMar>
              <w:top w:w="60" w:type="dxa"/>
              <w:left w:w="120" w:type="dxa"/>
              <w:bottom w:w="30" w:type="dxa"/>
              <w:right w:w="120" w:type="dxa"/>
            </w:tcMar>
            <w:vAlign w:val="center"/>
          </w:tcPr>
          <w:p w14:paraId="683634E5">
            <w:pPr>
              <w:widowControl/>
              <w:wordWrap w:val="0"/>
              <w:topLinePunct/>
              <w:jc w:val="center"/>
              <w:rPr>
                <w:rFonts w:hint="default" w:ascii="Times New Roman" w:hAnsi="Times New Roman" w:eastAsia="宋体" w:cs="Times New Roman"/>
                <w:color w:val="auto"/>
              </w:rPr>
            </w:pPr>
            <w:r>
              <w:rPr>
                <w:rFonts w:hint="default" w:ascii="Times New Roman" w:hAnsi="Times New Roman" w:eastAsia="宋体" w:cs="Times New Roman"/>
                <w:color w:val="auto"/>
              </w:rPr>
              <w:t>化粪池</w:t>
            </w:r>
          </w:p>
        </w:tc>
        <w:tc>
          <w:tcPr>
            <w:tcW w:w="2298" w:type="dxa"/>
            <w:tcBorders>
              <w:tl2br w:val="nil"/>
              <w:tr2bl w:val="nil"/>
            </w:tcBorders>
            <w:tcMar>
              <w:top w:w="60" w:type="dxa"/>
              <w:left w:w="120" w:type="dxa"/>
              <w:bottom w:w="30" w:type="dxa"/>
              <w:right w:w="120" w:type="dxa"/>
            </w:tcMar>
            <w:vAlign w:val="center"/>
          </w:tcPr>
          <w:p w14:paraId="40FC8408">
            <w:pPr>
              <w:widowControl/>
              <w:wordWrap w:val="0"/>
              <w:topLinePunct/>
              <w:jc w:val="center"/>
              <w:rPr>
                <w:rFonts w:hint="default" w:ascii="Times New Roman" w:hAnsi="Times New Roman" w:eastAsia="宋体" w:cs="Times New Roman"/>
                <w:color w:val="auto"/>
              </w:rPr>
            </w:pPr>
            <w:r>
              <w:rPr>
                <w:rFonts w:hint="default" w:ascii="Times New Roman" w:hAnsi="Times New Roman" w:eastAsia="宋体" w:cs="Times New Roman"/>
                <w:color w:val="auto"/>
              </w:rPr>
              <w:t>《污水综合排放标准》（GB8978-1996）三级标准及园区污水处理厂纳管标准较严值</w:t>
            </w:r>
          </w:p>
        </w:tc>
      </w:tr>
      <w:tr w14:paraId="2F484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1227" w:type="dxa"/>
            <w:tcBorders>
              <w:tl2br w:val="nil"/>
              <w:tr2bl w:val="nil"/>
            </w:tcBorders>
            <w:tcMar>
              <w:top w:w="60" w:type="dxa"/>
              <w:left w:w="120" w:type="dxa"/>
              <w:bottom w:w="30" w:type="dxa"/>
              <w:right w:w="120" w:type="dxa"/>
            </w:tcMar>
            <w:vAlign w:val="center"/>
          </w:tcPr>
          <w:p w14:paraId="5E22D26F">
            <w:pPr>
              <w:widowControl/>
              <w:wordWrap w:val="0"/>
              <w:topLinePunct/>
              <w:jc w:val="center"/>
              <w:rPr>
                <w:rFonts w:hint="default" w:ascii="Times New Roman" w:hAnsi="Times New Roman" w:eastAsia="宋体" w:cs="Times New Roman"/>
                <w:color w:val="auto"/>
              </w:rPr>
            </w:pPr>
            <w:r>
              <w:rPr>
                <w:rFonts w:hint="default" w:ascii="Times New Roman" w:hAnsi="Times New Roman" w:eastAsia="宋体" w:cs="Times New Roman"/>
                <w:color w:val="auto"/>
              </w:rPr>
              <w:t>声环境</w:t>
            </w:r>
          </w:p>
        </w:tc>
        <w:tc>
          <w:tcPr>
            <w:tcW w:w="1280" w:type="dxa"/>
            <w:tcBorders>
              <w:tl2br w:val="nil"/>
              <w:tr2bl w:val="nil"/>
            </w:tcBorders>
            <w:tcMar>
              <w:top w:w="60" w:type="dxa"/>
              <w:left w:w="120" w:type="dxa"/>
              <w:bottom w:w="30" w:type="dxa"/>
              <w:right w:w="120" w:type="dxa"/>
            </w:tcMar>
            <w:vAlign w:val="center"/>
          </w:tcPr>
          <w:p w14:paraId="6BF97331">
            <w:pPr>
              <w:widowControl/>
              <w:wordWrap w:val="0"/>
              <w:topLinePunct/>
              <w:jc w:val="both"/>
              <w:rPr>
                <w:rFonts w:hint="default" w:ascii="Times New Roman" w:hAnsi="Times New Roman" w:eastAsia="宋体" w:cs="Times New Roman"/>
                <w:color w:val="auto"/>
              </w:rPr>
            </w:pPr>
            <w:r>
              <w:rPr>
                <w:rFonts w:hint="default" w:ascii="Times New Roman" w:hAnsi="Times New Roman" w:eastAsia="宋体" w:cs="Times New Roman"/>
                <w:color w:val="auto"/>
              </w:rPr>
              <w:t>注塑机、混色机、粉碎机、风机等设备运行噪声</w:t>
            </w:r>
          </w:p>
        </w:tc>
        <w:tc>
          <w:tcPr>
            <w:tcW w:w="1335" w:type="dxa"/>
            <w:tcBorders>
              <w:tl2br w:val="nil"/>
              <w:tr2bl w:val="nil"/>
            </w:tcBorders>
            <w:tcMar>
              <w:top w:w="60" w:type="dxa"/>
              <w:left w:w="120" w:type="dxa"/>
              <w:bottom w:w="30" w:type="dxa"/>
              <w:right w:w="120" w:type="dxa"/>
            </w:tcMar>
            <w:vAlign w:val="center"/>
          </w:tcPr>
          <w:p w14:paraId="3823A2B7">
            <w:pPr>
              <w:widowControl/>
              <w:wordWrap w:val="0"/>
              <w:topLinePunct/>
              <w:jc w:val="center"/>
              <w:rPr>
                <w:rFonts w:hint="default" w:ascii="Times New Roman" w:hAnsi="Times New Roman" w:eastAsia="宋体" w:cs="Times New Roman"/>
                <w:color w:val="auto"/>
              </w:rPr>
            </w:pPr>
            <w:r>
              <w:rPr>
                <w:rFonts w:hint="default" w:ascii="Times New Roman" w:hAnsi="Times New Roman" w:eastAsia="宋体" w:cs="Times New Roman"/>
                <w:color w:val="auto"/>
              </w:rPr>
              <w:t>等效连续A声级Leq(A)</w:t>
            </w:r>
          </w:p>
        </w:tc>
        <w:tc>
          <w:tcPr>
            <w:tcW w:w="2660" w:type="dxa"/>
            <w:tcBorders>
              <w:tl2br w:val="nil"/>
              <w:tr2bl w:val="nil"/>
            </w:tcBorders>
            <w:tcMar>
              <w:top w:w="60" w:type="dxa"/>
              <w:left w:w="120" w:type="dxa"/>
              <w:bottom w:w="30" w:type="dxa"/>
              <w:right w:w="120" w:type="dxa"/>
            </w:tcMar>
            <w:vAlign w:val="center"/>
          </w:tcPr>
          <w:p w14:paraId="37072DA6">
            <w:pPr>
              <w:widowControl/>
              <w:wordWrap w:val="0"/>
              <w:topLinePunct/>
              <w:jc w:val="center"/>
              <w:rPr>
                <w:rFonts w:hint="default" w:ascii="Times New Roman" w:hAnsi="Times New Roman" w:eastAsia="宋体" w:cs="Times New Roman"/>
                <w:color w:val="auto"/>
              </w:rPr>
            </w:pPr>
            <w:r>
              <w:rPr>
                <w:rFonts w:hint="default" w:ascii="Times New Roman" w:hAnsi="Times New Roman" w:eastAsia="宋体" w:cs="Times New Roman"/>
                <w:color w:val="auto"/>
              </w:rPr>
              <w:t>选用低噪声设备，设备底部加装橡胶减振垫、减振基座；利用厂房密闭墙体隔声、距离衰减；合理布置高噪声设备位置，严格限定昼间生产，禁止夜间及午间高噪声作业。</w:t>
            </w:r>
          </w:p>
        </w:tc>
        <w:tc>
          <w:tcPr>
            <w:tcW w:w="2298" w:type="dxa"/>
            <w:tcBorders>
              <w:tl2br w:val="nil"/>
              <w:tr2bl w:val="nil"/>
            </w:tcBorders>
            <w:tcMar>
              <w:top w:w="60" w:type="dxa"/>
              <w:left w:w="120" w:type="dxa"/>
              <w:bottom w:w="30" w:type="dxa"/>
              <w:right w:w="120" w:type="dxa"/>
            </w:tcMar>
            <w:vAlign w:val="center"/>
          </w:tcPr>
          <w:p w14:paraId="1A97D422">
            <w:pPr>
              <w:widowControl/>
              <w:wordWrap w:val="0"/>
              <w:topLinePunct/>
              <w:jc w:val="center"/>
              <w:rPr>
                <w:rFonts w:hint="default" w:ascii="Times New Roman" w:hAnsi="Times New Roman" w:eastAsia="宋体" w:cs="Times New Roman"/>
                <w:color w:val="auto"/>
              </w:rPr>
            </w:pPr>
            <w:r>
              <w:rPr>
                <w:rFonts w:hint="default" w:ascii="Times New Roman" w:hAnsi="Times New Roman" w:eastAsia="宋体" w:cs="Times New Roman"/>
                <w:color w:val="auto"/>
              </w:rPr>
              <w:t>《工业企业厂界环境噪声排放标准》（GB12348-2008）3类标准</w:t>
            </w:r>
          </w:p>
        </w:tc>
      </w:tr>
      <w:tr w14:paraId="104EE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1227" w:type="dxa"/>
            <w:tcBorders>
              <w:tl2br w:val="nil"/>
              <w:tr2bl w:val="nil"/>
            </w:tcBorders>
            <w:tcMar>
              <w:top w:w="60" w:type="dxa"/>
              <w:left w:w="120" w:type="dxa"/>
              <w:bottom w:w="30" w:type="dxa"/>
              <w:right w:w="120" w:type="dxa"/>
            </w:tcMar>
            <w:vAlign w:val="center"/>
          </w:tcPr>
          <w:p w14:paraId="4294764B">
            <w:pPr>
              <w:widowControl/>
              <w:wordWrap w:val="0"/>
              <w:topLinePunct/>
              <w:jc w:val="center"/>
              <w:rPr>
                <w:rFonts w:hint="default" w:ascii="Times New Roman" w:hAnsi="Times New Roman" w:eastAsia="宋体" w:cs="Times New Roman"/>
                <w:color w:val="auto"/>
              </w:rPr>
            </w:pPr>
            <w:r>
              <w:rPr>
                <w:rFonts w:hint="default" w:ascii="Times New Roman" w:hAnsi="Times New Roman" w:eastAsia="宋体" w:cs="Times New Roman"/>
                <w:color w:val="auto"/>
              </w:rPr>
              <w:t>固体废物</w:t>
            </w:r>
          </w:p>
        </w:tc>
        <w:tc>
          <w:tcPr>
            <w:tcW w:w="7573" w:type="dxa"/>
            <w:gridSpan w:val="4"/>
            <w:tcBorders>
              <w:tl2br w:val="nil"/>
              <w:tr2bl w:val="nil"/>
            </w:tcBorders>
            <w:tcMar>
              <w:top w:w="60" w:type="dxa"/>
              <w:left w:w="120" w:type="dxa"/>
              <w:bottom w:w="30" w:type="dxa"/>
              <w:right w:w="120" w:type="dxa"/>
            </w:tcMar>
            <w:vAlign w:val="center"/>
          </w:tcPr>
          <w:p w14:paraId="61EA6A39">
            <w:pPr>
              <w:widowControl/>
              <w:wordWrap w:val="0"/>
              <w:topLinePunct/>
              <w:jc w:val="center"/>
              <w:rPr>
                <w:rFonts w:hint="default" w:ascii="Times New Roman" w:hAnsi="Times New Roman" w:eastAsia="宋体" w:cs="Times New Roman"/>
                <w:color w:val="auto"/>
              </w:rPr>
            </w:pPr>
            <w:r>
              <w:rPr>
                <w:rFonts w:hint="default" w:ascii="Times New Roman" w:hAnsi="Times New Roman" w:eastAsia="宋体" w:cs="Times New Roman"/>
                <w:color w:val="auto"/>
              </w:rPr>
              <w:t>生活垃圾分类收集，由园区环卫部门定期清运；废包装袋等一般工业固废分类收集</w:t>
            </w:r>
            <w:r>
              <w:rPr>
                <w:rFonts w:hint="default" w:cs="Times New Roman"/>
                <w:color w:val="auto"/>
                <w:lang w:val="en-US" w:eastAsia="zh-CN"/>
              </w:rPr>
              <w:t>外售处置</w:t>
            </w:r>
            <w:r>
              <w:rPr>
                <w:rFonts w:hint="default" w:ascii="Times New Roman" w:hAnsi="Times New Roman" w:eastAsia="宋体" w:cs="Times New Roman"/>
                <w:color w:val="auto"/>
              </w:rPr>
              <w:t>；废机油、废活性炭分类密闭储存于专用危废暂存间，规范化管理，定期委托具备危废资质单位转运处置，全程执行转移联单制度。</w:t>
            </w:r>
          </w:p>
        </w:tc>
      </w:tr>
      <w:tr w14:paraId="3121D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1227" w:type="dxa"/>
            <w:tcBorders>
              <w:tl2br w:val="nil"/>
              <w:tr2bl w:val="nil"/>
            </w:tcBorders>
            <w:tcMar>
              <w:top w:w="60" w:type="dxa"/>
              <w:left w:w="120" w:type="dxa"/>
              <w:bottom w:w="30" w:type="dxa"/>
              <w:right w:w="120" w:type="dxa"/>
            </w:tcMar>
            <w:vAlign w:val="center"/>
          </w:tcPr>
          <w:p w14:paraId="1BE55D95">
            <w:pPr>
              <w:widowControl/>
              <w:wordWrap w:val="0"/>
              <w:topLinePunct/>
              <w:jc w:val="center"/>
              <w:rPr>
                <w:rFonts w:hint="default" w:ascii="Times New Roman" w:hAnsi="Times New Roman" w:eastAsia="宋体" w:cs="Times New Roman"/>
                <w:color w:val="auto"/>
              </w:rPr>
            </w:pPr>
            <w:r>
              <w:rPr>
                <w:rFonts w:hint="default" w:ascii="Times New Roman" w:hAnsi="Times New Roman" w:eastAsia="宋体" w:cs="Times New Roman"/>
                <w:color w:val="auto"/>
              </w:rPr>
              <w:t>土壤及地下水污染防治措施</w:t>
            </w:r>
          </w:p>
        </w:tc>
        <w:tc>
          <w:tcPr>
            <w:tcW w:w="7573" w:type="dxa"/>
            <w:gridSpan w:val="4"/>
            <w:tcBorders>
              <w:tl2br w:val="nil"/>
              <w:tr2bl w:val="nil"/>
            </w:tcBorders>
            <w:tcMar>
              <w:top w:w="60" w:type="dxa"/>
              <w:left w:w="120" w:type="dxa"/>
              <w:bottom w:w="30" w:type="dxa"/>
              <w:right w:w="120" w:type="dxa"/>
            </w:tcMar>
            <w:vAlign w:val="center"/>
          </w:tcPr>
          <w:p w14:paraId="11261A4B">
            <w:pPr>
              <w:widowControl/>
              <w:wordWrap w:val="0"/>
              <w:topLinePunct/>
              <w:jc w:val="center"/>
              <w:rPr>
                <w:rFonts w:hint="default" w:ascii="Times New Roman" w:hAnsi="Times New Roman" w:eastAsia="宋体" w:cs="Times New Roman"/>
                <w:color w:val="auto"/>
              </w:rPr>
            </w:pPr>
            <w:r>
              <w:rPr>
                <w:rFonts w:hint="default" w:ascii="Times New Roman" w:hAnsi="Times New Roman" w:eastAsia="宋体" w:cs="Times New Roman"/>
                <w:color w:val="auto"/>
              </w:rPr>
              <w:t>危废暂存间、石蜡油原料储存区、设备检修区按重点防渗区要求硬化防渗、设置防渗托盘及收集设施；生产车间、仓库地面做一般防渗硬化处理，杜绝物料渗漏，有效防范土壤及地下水污染。</w:t>
            </w:r>
          </w:p>
        </w:tc>
      </w:tr>
      <w:tr w14:paraId="41931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1227" w:type="dxa"/>
            <w:tcBorders>
              <w:tl2br w:val="nil"/>
              <w:tr2bl w:val="nil"/>
            </w:tcBorders>
            <w:tcMar>
              <w:top w:w="60" w:type="dxa"/>
              <w:left w:w="120" w:type="dxa"/>
              <w:bottom w:w="30" w:type="dxa"/>
              <w:right w:w="120" w:type="dxa"/>
            </w:tcMar>
            <w:vAlign w:val="center"/>
          </w:tcPr>
          <w:p w14:paraId="7162DF6F">
            <w:pPr>
              <w:widowControl/>
              <w:wordWrap w:val="0"/>
              <w:topLinePunct/>
              <w:jc w:val="center"/>
              <w:rPr>
                <w:rFonts w:hint="default" w:ascii="Times New Roman" w:hAnsi="Times New Roman" w:eastAsia="宋体" w:cs="Times New Roman"/>
                <w:color w:val="auto"/>
              </w:rPr>
            </w:pPr>
            <w:r>
              <w:rPr>
                <w:rFonts w:hint="default" w:ascii="Times New Roman" w:hAnsi="Times New Roman" w:eastAsia="宋体" w:cs="Times New Roman"/>
                <w:color w:val="auto"/>
              </w:rPr>
              <w:t>生态保护措施</w:t>
            </w:r>
          </w:p>
        </w:tc>
        <w:tc>
          <w:tcPr>
            <w:tcW w:w="7573" w:type="dxa"/>
            <w:gridSpan w:val="4"/>
            <w:tcBorders>
              <w:tl2br w:val="nil"/>
              <w:tr2bl w:val="nil"/>
            </w:tcBorders>
            <w:tcMar>
              <w:top w:w="60" w:type="dxa"/>
              <w:left w:w="120" w:type="dxa"/>
              <w:bottom w:w="30" w:type="dxa"/>
              <w:right w:w="120" w:type="dxa"/>
            </w:tcMar>
            <w:vAlign w:val="center"/>
          </w:tcPr>
          <w:p w14:paraId="576CCFB1">
            <w:pPr>
              <w:widowControl/>
              <w:wordWrap w:val="0"/>
              <w:topLinePunct/>
              <w:jc w:val="center"/>
              <w:rPr>
                <w:rFonts w:hint="default" w:ascii="Times New Roman" w:hAnsi="Times New Roman" w:eastAsia="宋体" w:cs="Times New Roman"/>
                <w:color w:val="auto"/>
              </w:rPr>
            </w:pPr>
            <w:r>
              <w:rPr>
                <w:rFonts w:hint="default" w:ascii="Times New Roman" w:hAnsi="Times New Roman" w:eastAsia="宋体" w:cs="Times New Roman"/>
                <w:color w:val="auto"/>
              </w:rPr>
              <w:t>本项目租赁园区现有标准厂房，不新增用地、不破坏原有地表植被，施工及运营均在规划工业用地红线范围内，厂区无生态保护红线、珍稀动植物等敏感目标，无需专项生态保护措施。</w:t>
            </w:r>
          </w:p>
        </w:tc>
      </w:tr>
      <w:tr w14:paraId="092B2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1227" w:type="dxa"/>
            <w:tcBorders>
              <w:tl2br w:val="nil"/>
              <w:tr2bl w:val="nil"/>
            </w:tcBorders>
            <w:tcMar>
              <w:top w:w="60" w:type="dxa"/>
              <w:left w:w="120" w:type="dxa"/>
              <w:bottom w:w="30" w:type="dxa"/>
              <w:right w:w="120" w:type="dxa"/>
            </w:tcMar>
            <w:vAlign w:val="center"/>
          </w:tcPr>
          <w:p w14:paraId="1704E273">
            <w:pPr>
              <w:widowControl/>
              <w:wordWrap w:val="0"/>
              <w:topLinePunct/>
              <w:jc w:val="center"/>
              <w:rPr>
                <w:rFonts w:hint="default" w:ascii="Times New Roman" w:hAnsi="Times New Roman" w:eastAsia="宋体" w:cs="Times New Roman"/>
                <w:color w:val="auto"/>
              </w:rPr>
            </w:pPr>
            <w:r>
              <w:rPr>
                <w:rFonts w:hint="default" w:ascii="Times New Roman" w:hAnsi="Times New Roman" w:eastAsia="宋体" w:cs="Times New Roman"/>
                <w:color w:val="auto"/>
              </w:rPr>
              <w:t>环境风险防范措施</w:t>
            </w:r>
          </w:p>
        </w:tc>
        <w:tc>
          <w:tcPr>
            <w:tcW w:w="1280" w:type="dxa"/>
            <w:tcBorders>
              <w:tl2br w:val="nil"/>
              <w:tr2bl w:val="nil"/>
            </w:tcBorders>
            <w:tcMar>
              <w:top w:w="60" w:type="dxa"/>
              <w:left w:w="120" w:type="dxa"/>
              <w:bottom w:w="30" w:type="dxa"/>
              <w:right w:w="120" w:type="dxa"/>
            </w:tcMar>
            <w:vAlign w:val="center"/>
          </w:tcPr>
          <w:p w14:paraId="224AE108">
            <w:pPr>
              <w:widowControl/>
              <w:wordWrap w:val="0"/>
              <w:topLinePunct/>
              <w:jc w:val="center"/>
              <w:rPr>
                <w:rFonts w:hint="default" w:ascii="Times New Roman" w:hAnsi="Times New Roman" w:eastAsia="宋体" w:cs="Times New Roman"/>
                <w:color w:val="auto"/>
              </w:rPr>
            </w:pPr>
            <w:r>
              <w:rPr>
                <w:rFonts w:hint="default" w:ascii="Times New Roman" w:hAnsi="Times New Roman" w:eastAsia="宋体" w:cs="Times New Roman"/>
                <w:color w:val="auto"/>
              </w:rPr>
              <w:t>原料储存区、危废暂存间、生产车间</w:t>
            </w:r>
          </w:p>
        </w:tc>
        <w:tc>
          <w:tcPr>
            <w:tcW w:w="1335" w:type="dxa"/>
            <w:tcBorders>
              <w:tl2br w:val="nil"/>
              <w:tr2bl w:val="nil"/>
            </w:tcBorders>
            <w:tcMar>
              <w:top w:w="60" w:type="dxa"/>
              <w:left w:w="120" w:type="dxa"/>
              <w:bottom w:w="30" w:type="dxa"/>
              <w:right w:w="120" w:type="dxa"/>
            </w:tcMar>
            <w:vAlign w:val="center"/>
          </w:tcPr>
          <w:p w14:paraId="57D7296F">
            <w:pPr>
              <w:widowControl/>
              <w:wordWrap w:val="0"/>
              <w:topLinePunct/>
              <w:jc w:val="center"/>
              <w:rPr>
                <w:rFonts w:hint="default" w:ascii="Times New Roman" w:hAnsi="Times New Roman" w:eastAsia="宋体" w:cs="Times New Roman"/>
                <w:color w:val="auto"/>
              </w:rPr>
            </w:pPr>
            <w:r>
              <w:rPr>
                <w:rFonts w:hint="default" w:ascii="Times New Roman" w:hAnsi="Times New Roman" w:eastAsia="宋体" w:cs="Times New Roman"/>
                <w:color w:val="auto"/>
              </w:rPr>
              <w:t>泄漏、火灾、次生污染风险</w:t>
            </w:r>
          </w:p>
        </w:tc>
        <w:tc>
          <w:tcPr>
            <w:tcW w:w="2660" w:type="dxa"/>
            <w:tcBorders>
              <w:tl2br w:val="nil"/>
              <w:tr2bl w:val="nil"/>
            </w:tcBorders>
            <w:tcMar>
              <w:top w:w="60" w:type="dxa"/>
              <w:left w:w="120" w:type="dxa"/>
              <w:bottom w:w="30" w:type="dxa"/>
              <w:right w:w="120" w:type="dxa"/>
            </w:tcMar>
            <w:vAlign w:val="center"/>
          </w:tcPr>
          <w:p w14:paraId="06AFA34E">
            <w:pPr>
              <w:widowControl/>
              <w:wordWrap w:val="0"/>
              <w:topLinePunct/>
              <w:jc w:val="center"/>
              <w:rPr>
                <w:rFonts w:hint="default" w:ascii="Times New Roman" w:hAnsi="Times New Roman" w:eastAsia="宋体" w:cs="Times New Roman"/>
                <w:color w:val="auto"/>
              </w:rPr>
            </w:pPr>
            <w:r>
              <w:rPr>
                <w:rFonts w:hint="default" w:ascii="Times New Roman" w:hAnsi="Times New Roman" w:eastAsia="宋体" w:cs="Times New Roman"/>
                <w:color w:val="auto"/>
              </w:rPr>
              <w:t>厂区落实消防安全设施，配备干粉灭火器、消防沙、吸油毡等应急物资；橡胶石蜡油、机油等油类物料储存区设置防渗、防泄漏托盘及应急收集设施；设备做好防静电、防漏电措施；定期开展防火、防泄漏安全巡查，制定环境风险应急预案，杜绝物料泄漏、火灾次生污染风险。</w:t>
            </w:r>
          </w:p>
        </w:tc>
        <w:tc>
          <w:tcPr>
            <w:tcW w:w="2298" w:type="dxa"/>
            <w:tcBorders>
              <w:tl2br w:val="nil"/>
              <w:tr2bl w:val="nil"/>
            </w:tcBorders>
            <w:tcMar>
              <w:top w:w="60" w:type="dxa"/>
              <w:left w:w="120" w:type="dxa"/>
              <w:bottom w:w="30" w:type="dxa"/>
              <w:right w:w="120" w:type="dxa"/>
            </w:tcMar>
            <w:vAlign w:val="center"/>
          </w:tcPr>
          <w:p w14:paraId="4F0C111D">
            <w:pPr>
              <w:widowControl/>
              <w:wordWrap w:val="0"/>
              <w:topLinePunct/>
              <w:jc w:val="center"/>
              <w:rPr>
                <w:rFonts w:hint="default" w:ascii="Times New Roman" w:hAnsi="Times New Roman" w:eastAsia="宋体" w:cs="Times New Roman"/>
                <w:color w:val="auto"/>
              </w:rPr>
            </w:pPr>
            <w:r>
              <w:rPr>
                <w:rFonts w:hint="default" w:ascii="Times New Roman" w:hAnsi="Times New Roman" w:eastAsia="宋体" w:cs="Times New Roman"/>
                <w:color w:val="auto"/>
              </w:rPr>
              <w:t>《建设项目环境风险评价技术导则》（HJ169-2018）相关要求</w:t>
            </w:r>
          </w:p>
        </w:tc>
      </w:tr>
      <w:tr w14:paraId="7BBEB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4" w:hRule="atLeast"/>
        </w:trPr>
        <w:tc>
          <w:tcPr>
            <w:tcW w:w="1227" w:type="dxa"/>
            <w:tcBorders>
              <w:tl2br w:val="nil"/>
              <w:tr2bl w:val="nil"/>
            </w:tcBorders>
            <w:tcMar>
              <w:top w:w="60" w:type="dxa"/>
              <w:left w:w="120" w:type="dxa"/>
              <w:bottom w:w="30" w:type="dxa"/>
              <w:right w:w="120" w:type="dxa"/>
            </w:tcMar>
            <w:vAlign w:val="center"/>
          </w:tcPr>
          <w:p w14:paraId="6B08375A">
            <w:pPr>
              <w:widowControl/>
              <w:wordWrap w:val="0"/>
              <w:topLinePunct/>
              <w:jc w:val="center"/>
              <w:rPr>
                <w:rFonts w:hint="default" w:ascii="Times New Roman" w:hAnsi="Times New Roman" w:eastAsia="宋体" w:cs="Times New Roman"/>
                <w:color w:val="auto"/>
              </w:rPr>
            </w:pPr>
            <w:r>
              <w:rPr>
                <w:rFonts w:hint="default" w:ascii="Times New Roman" w:hAnsi="Times New Roman" w:eastAsia="宋体" w:cs="Times New Roman"/>
                <w:color w:val="auto"/>
              </w:rPr>
              <w:t>其他环境管理要求</w:t>
            </w:r>
          </w:p>
        </w:tc>
        <w:tc>
          <w:tcPr>
            <w:tcW w:w="7573" w:type="dxa"/>
            <w:gridSpan w:val="4"/>
            <w:tcBorders>
              <w:tl2br w:val="nil"/>
              <w:tr2bl w:val="nil"/>
            </w:tcBorders>
            <w:tcMar>
              <w:top w:w="60" w:type="dxa"/>
              <w:left w:w="120" w:type="dxa"/>
              <w:bottom w:w="30" w:type="dxa"/>
              <w:right w:w="120" w:type="dxa"/>
            </w:tcMar>
            <w:vAlign w:val="center"/>
          </w:tcPr>
          <w:p w14:paraId="3C758F6C">
            <w:pPr>
              <w:widowControl/>
              <w:wordWrap w:val="0"/>
              <w:topLinePunct/>
              <w:jc w:val="both"/>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①</w:t>
            </w:r>
            <w:r>
              <w:rPr>
                <w:rFonts w:ascii="Times New Roman" w:hAnsi="Times New Roman" w:eastAsia="宋体" w:cs="Times New Roman"/>
                <w:sz w:val="21"/>
                <w:szCs w:val="21"/>
              </w:rPr>
              <w:t>项目竣工后，配套环保设施须与主体工程同步建成；投产前严格按照《建设项目环境保护管理条例》规定组织开展竣工环境保护自主验收，验收合格后方可正式投入生产；项目投产前依法申请取得排污许可证，后续生产规模、工艺、治污设施发生变动时，及时按规定办理排污许可证变更手续</w:t>
            </w:r>
            <w:r>
              <w:rPr>
                <w:rFonts w:hint="default" w:ascii="Times New Roman" w:hAnsi="Times New Roman" w:eastAsia="宋体" w:cs="Times New Roman"/>
                <w:color w:val="auto"/>
                <w:szCs w:val="21"/>
              </w:rPr>
              <w:t>；</w:t>
            </w:r>
          </w:p>
          <w:p w14:paraId="6E0269A1">
            <w:pPr>
              <w:widowControl/>
              <w:wordWrap w:val="0"/>
              <w:topLinePunct/>
              <w:jc w:val="both"/>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②建立完善环保管理制度、设施运维制度、固废台账及风险管控制度，定期巡检维护环保设施，确保稳定达标运行；</w:t>
            </w:r>
          </w:p>
          <w:p w14:paraId="0D9AFD92">
            <w:pPr>
              <w:widowControl/>
              <w:wordWrap w:val="0"/>
              <w:topLinePunct/>
              <w:jc w:val="both"/>
              <w:rPr>
                <w:rFonts w:hint="default" w:ascii="Times New Roman" w:hAnsi="Times New Roman" w:eastAsia="宋体" w:cs="Times New Roman"/>
                <w:color w:val="auto"/>
                <w:szCs w:val="21"/>
              </w:rPr>
            </w:pPr>
            <w:r>
              <w:rPr>
                <w:rFonts w:hint="default" w:ascii="Times New Roman" w:hAnsi="Times New Roman" w:eastAsia="宋体" w:cs="Times New Roman"/>
                <w:color w:val="auto"/>
                <w:szCs w:val="21"/>
              </w:rPr>
              <w:t>③严格落实自行监测计划，委托CMA资质单位定期开展废气、厂界噪声监测，完整留存监测台账及环保资料；</w:t>
            </w:r>
          </w:p>
          <w:p w14:paraId="6F416AEC">
            <w:pPr>
              <w:widowControl/>
              <w:wordWrap w:val="0"/>
              <w:topLinePunct/>
              <w:jc w:val="both"/>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rPr>
              <w:t>④常态化开展员工环保及应急培训，规范生产操作，杜绝人为污染风险。</w:t>
            </w:r>
          </w:p>
          <w:p w14:paraId="21505772">
            <w:pPr>
              <w:widowControl/>
              <w:wordWrap w:val="0"/>
              <w:topLinePunct/>
              <w:bidi w:val="0"/>
              <w:rPr>
                <w:rFonts w:hint="default" w:ascii="Times New Roman" w:hAnsi="Times New Roman" w:cs="Times New Roman"/>
                <w:color w:val="auto"/>
                <w:szCs w:val="21"/>
                <w:lang w:val="en-US" w:eastAsia="zh-CN"/>
              </w:rPr>
            </w:pPr>
            <w:r>
              <w:rPr>
                <w:rFonts w:hint="default" w:cs="Times New Roman"/>
                <w:color w:val="auto"/>
                <w:szCs w:val="21"/>
                <w:lang w:val="en-US" w:eastAsia="zh-CN"/>
              </w:rPr>
              <w:t>⑤</w:t>
            </w:r>
            <w:r>
              <w:rPr>
                <w:rFonts w:hint="default" w:ascii="Times New Roman" w:hAnsi="Times New Roman" w:cs="Times New Roman"/>
                <w:color w:val="auto"/>
                <w:szCs w:val="21"/>
                <w:lang w:val="en-US" w:eastAsia="zh-CN"/>
              </w:rPr>
              <w:t>排污口</w:t>
            </w:r>
            <w:r>
              <w:rPr>
                <w:rFonts w:hint="default" w:cs="Times New Roman"/>
                <w:color w:val="auto"/>
                <w:szCs w:val="21"/>
                <w:lang w:val="en-US" w:eastAsia="zh-CN"/>
              </w:rPr>
              <w:t>标识管理</w:t>
            </w:r>
            <w:r>
              <w:rPr>
                <w:rFonts w:hint="eastAsia" w:ascii="Times New Roman" w:hAnsi="Times New Roman" w:eastAsia="宋体" w:cs="Times New Roman"/>
                <w:color w:val="auto"/>
                <w:szCs w:val="21"/>
                <w:lang w:val="en-US" w:eastAsia="zh-CN"/>
              </w:rPr>
              <w:t>：</w:t>
            </w:r>
            <w:r>
              <w:rPr>
                <w:rFonts w:ascii="Times New Roman" w:hAnsi="Times New Roman" w:eastAsia="宋体" w:cs="Times New Roman"/>
                <w:color w:val="auto"/>
                <w:sz w:val="21"/>
                <w:szCs w:val="21"/>
              </w:rPr>
              <w:t>本项目各类排污口严格按照</w:t>
            </w:r>
            <w:r>
              <w:rPr>
                <w:rStyle w:val="40"/>
                <w:rFonts w:ascii="Times New Roman" w:hAnsi="Times New Roman" w:eastAsia="宋体" w:cs="Times New Roman"/>
                <w:b w:val="0"/>
                <w:bCs w:val="0"/>
                <w:color w:val="auto"/>
                <w:sz w:val="21"/>
                <w:szCs w:val="21"/>
              </w:rPr>
              <w:t>HJ 1405-2024《排污单位污染物排放口监测点位设置技术规范》及《生态环境标志 排放口（源）》（</w:t>
            </w:r>
            <w:r>
              <w:rPr>
                <w:rFonts w:ascii="Times New Roman" w:hAnsi="Times New Roman" w:eastAsia="宋体" w:cs="Times New Roman"/>
                <w:color w:val="auto"/>
                <w:sz w:val="21"/>
                <w:szCs w:val="21"/>
              </w:rPr>
              <w:t>2025 征求意见稿</w:t>
            </w:r>
            <w:r>
              <w:rPr>
                <w:rStyle w:val="40"/>
                <w:rFonts w:ascii="Times New Roman" w:hAnsi="Times New Roman" w:eastAsia="宋体" w:cs="Times New Roman"/>
                <w:b w:val="0"/>
                <w:bCs w:val="0"/>
                <w:color w:val="auto"/>
                <w:sz w:val="21"/>
                <w:szCs w:val="21"/>
              </w:rPr>
              <w:t>）要求进行规范化布设与标识管理，做到定点、定位、定标识、定管理</w:t>
            </w:r>
            <w:r>
              <w:rPr>
                <w:rFonts w:ascii="Times New Roman" w:hAnsi="Times New Roman" w:eastAsia="宋体" w:cs="Times New Roman"/>
                <w:color w:val="auto"/>
                <w:sz w:val="21"/>
                <w:szCs w:val="21"/>
              </w:rPr>
              <w:t>，满足生态环境主管部门排污口规范化监督管理要求</w:t>
            </w:r>
            <w:r>
              <w:rPr>
                <w:rFonts w:hint="default" w:ascii="Times New Roman" w:hAnsi="Times New Roman" w:cs="Times New Roman"/>
                <w:color w:val="auto"/>
                <w:szCs w:val="21"/>
              </w:rPr>
              <w:t>。</w:t>
            </w:r>
          </w:p>
          <w:p w14:paraId="70EFC2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lang w:val="en-US" w:eastAsia="zh-CN"/>
              </w:rPr>
            </w:pPr>
            <w:r>
              <w:rPr>
                <w:rFonts w:hint="eastAsia" w:cs="Times New Roman"/>
                <w:b/>
                <w:bCs/>
                <w:lang w:val="en-US" w:eastAsia="zh-CN"/>
              </w:rPr>
              <w:t>表5-1  排放口（源）图形标志</w:t>
            </w:r>
          </w:p>
          <w:tbl>
            <w:tblPr>
              <w:tblStyle w:val="38"/>
              <w:tblW w:w="8517" w:type="dxa"/>
              <w:tblInd w:w="91"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Layout w:type="fixed"/>
              <w:tblCellMar>
                <w:top w:w="0" w:type="dxa"/>
                <w:left w:w="108" w:type="dxa"/>
                <w:bottom w:w="0" w:type="dxa"/>
                <w:right w:w="108" w:type="dxa"/>
              </w:tblCellMar>
            </w:tblPr>
            <w:tblGrid>
              <w:gridCol w:w="553"/>
              <w:gridCol w:w="1437"/>
              <w:gridCol w:w="748"/>
              <w:gridCol w:w="2760"/>
              <w:gridCol w:w="1712"/>
            </w:tblGrid>
            <w:tr w14:paraId="361C334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70" w:hRule="atLeast"/>
              </w:trPr>
              <w:tc>
                <w:tcPr>
                  <w:tcW w:w="676" w:type="dxa"/>
                  <w:tcBorders>
                    <w:tl2br w:val="nil"/>
                    <w:tr2bl w:val="nil"/>
                  </w:tcBorders>
                  <w:shd w:val="clear" w:color="auto" w:fill="auto"/>
                  <w:noWrap/>
                  <w:vAlign w:val="center"/>
                </w:tcPr>
                <w:p w14:paraId="459BD7B5">
                  <w:pPr>
                    <w:pStyle w:val="66"/>
                    <w:spacing w:line="240" w:lineRule="auto"/>
                    <w:jc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2"/>
                      <w:sz w:val="21"/>
                      <w:szCs w:val="21"/>
                      <w:u w:val="none" w:color="auto"/>
                      <w:lang w:val="en-US" w:eastAsia="zh-CN" w:bidi="ar"/>
                    </w:rPr>
                    <w:t>序号</w:t>
                  </w:r>
                </w:p>
              </w:tc>
              <w:tc>
                <w:tcPr>
                  <w:tcW w:w="1880" w:type="dxa"/>
                  <w:tcBorders>
                    <w:tl2br w:val="nil"/>
                    <w:tr2bl w:val="nil"/>
                  </w:tcBorders>
                  <w:shd w:val="clear" w:color="auto" w:fill="auto"/>
                  <w:noWrap/>
                  <w:vAlign w:val="center"/>
                </w:tcPr>
                <w:p w14:paraId="292F39D4">
                  <w:pPr>
                    <w:pStyle w:val="66"/>
                    <w:spacing w:line="240" w:lineRule="auto"/>
                    <w:jc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2"/>
                      <w:sz w:val="21"/>
                      <w:szCs w:val="21"/>
                      <w:u w:val="none" w:color="auto"/>
                      <w:lang w:val="en-US" w:eastAsia="zh-CN" w:bidi="ar"/>
                    </w:rPr>
                    <w:t>图形标志</w:t>
                  </w:r>
                </w:p>
              </w:tc>
              <w:tc>
                <w:tcPr>
                  <w:tcW w:w="941" w:type="dxa"/>
                  <w:tcBorders>
                    <w:tl2br w:val="nil"/>
                    <w:tr2bl w:val="nil"/>
                  </w:tcBorders>
                  <w:shd w:val="clear" w:color="auto" w:fill="auto"/>
                  <w:noWrap/>
                  <w:vAlign w:val="center"/>
                </w:tcPr>
                <w:p w14:paraId="761E4574">
                  <w:pPr>
                    <w:pStyle w:val="66"/>
                    <w:spacing w:line="240" w:lineRule="auto"/>
                    <w:jc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2"/>
                      <w:sz w:val="21"/>
                      <w:szCs w:val="21"/>
                      <w:u w:val="none" w:color="auto"/>
                      <w:lang w:val="en-US" w:eastAsia="zh-CN" w:bidi="ar"/>
                    </w:rPr>
                    <w:t>类型</w:t>
                  </w:r>
                </w:p>
              </w:tc>
              <w:tc>
                <w:tcPr>
                  <w:tcW w:w="3140" w:type="dxa"/>
                  <w:tcBorders>
                    <w:tl2br w:val="nil"/>
                    <w:tr2bl w:val="nil"/>
                  </w:tcBorders>
                  <w:shd w:val="clear" w:color="auto" w:fill="auto"/>
                  <w:noWrap/>
                  <w:vAlign w:val="center"/>
                </w:tcPr>
                <w:p w14:paraId="1E6F12BA">
                  <w:pPr>
                    <w:pStyle w:val="66"/>
                    <w:spacing w:line="240" w:lineRule="auto"/>
                    <w:jc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2"/>
                      <w:sz w:val="21"/>
                      <w:szCs w:val="21"/>
                      <w:u w:val="none" w:color="auto"/>
                      <w:lang w:val="en-US" w:eastAsia="zh-CN" w:bidi="ar"/>
                    </w:rPr>
                    <w:t>名称</w:t>
                  </w:r>
                </w:p>
              </w:tc>
              <w:tc>
                <w:tcPr>
                  <w:tcW w:w="1880" w:type="dxa"/>
                  <w:tcBorders>
                    <w:tl2br w:val="nil"/>
                    <w:tr2bl w:val="nil"/>
                  </w:tcBorders>
                  <w:shd w:val="clear" w:color="auto" w:fill="auto"/>
                  <w:noWrap/>
                  <w:vAlign w:val="center"/>
                </w:tcPr>
                <w:p w14:paraId="40A64210">
                  <w:pPr>
                    <w:pStyle w:val="66"/>
                    <w:spacing w:line="240" w:lineRule="auto"/>
                    <w:jc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2"/>
                      <w:sz w:val="21"/>
                      <w:szCs w:val="21"/>
                      <w:u w:val="none" w:color="auto"/>
                      <w:lang w:val="en-US" w:eastAsia="zh-CN" w:bidi="ar"/>
                    </w:rPr>
                    <w:t>说明</w:t>
                  </w:r>
                </w:p>
              </w:tc>
            </w:tr>
            <w:tr w14:paraId="5872CF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70" w:hRule="atLeast"/>
              </w:trPr>
              <w:tc>
                <w:tcPr>
                  <w:tcW w:w="588" w:type="dxa"/>
                  <w:tcBorders>
                    <w:tl2br w:val="nil"/>
                    <w:tr2bl w:val="nil"/>
                  </w:tcBorders>
                  <w:shd w:val="clear" w:color="auto" w:fill="auto"/>
                  <w:noWrap/>
                  <w:vAlign w:val="center"/>
                </w:tcPr>
                <w:p w14:paraId="2ADCA4DB">
                  <w:pPr>
                    <w:pStyle w:val="66"/>
                    <w:spacing w:line="240" w:lineRule="auto"/>
                    <w:jc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2"/>
                      <w:sz w:val="21"/>
                      <w:szCs w:val="21"/>
                      <w:u w:val="none" w:color="auto"/>
                      <w:lang w:val="en-US" w:eastAsia="zh-CN" w:bidi="ar"/>
                    </w:rPr>
                    <w:t>1</w:t>
                  </w:r>
                </w:p>
              </w:tc>
              <w:tc>
                <w:tcPr>
                  <w:tcW w:w="1770" w:type="dxa"/>
                  <w:tcBorders>
                    <w:tl2br w:val="nil"/>
                    <w:tr2bl w:val="nil"/>
                  </w:tcBorders>
                  <w:shd w:val="clear" w:color="auto" w:fill="auto"/>
                  <w:noWrap/>
                  <w:vAlign w:val="center"/>
                </w:tcPr>
                <w:p w14:paraId="135CCDB8">
                  <w:pPr>
                    <w:pStyle w:val="66"/>
                    <w:spacing w:line="240" w:lineRule="auto"/>
                    <w:jc w:val="center"/>
                    <w:rPr>
                      <w:rFonts w:hint="default" w:ascii="Times New Roman" w:hAnsi="Times New Roman" w:eastAsia="宋体" w:cs="Times New Roman"/>
                      <w:i w:val="0"/>
                      <w:iCs w:val="0"/>
                      <w:color w:val="auto"/>
                      <w:sz w:val="21"/>
                      <w:szCs w:val="21"/>
                      <w:u w:val="none" w:color="auto"/>
                    </w:rPr>
                  </w:pPr>
                  <w:r>
                    <w:drawing>
                      <wp:inline distT="0" distB="0" distL="114300" distR="114300">
                        <wp:extent cx="831850" cy="817245"/>
                        <wp:effectExtent l="0" t="0" r="6350" b="1905"/>
                        <wp:docPr id="2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9"/>
                                <pic:cNvPicPr>
                                  <a:picLocks noChangeAspect="1"/>
                                </pic:cNvPicPr>
                              </pic:nvPicPr>
                              <pic:blipFill>
                                <a:blip r:embed="rId13"/>
                                <a:stretch>
                                  <a:fillRect/>
                                </a:stretch>
                              </pic:blipFill>
                              <pic:spPr>
                                <a:xfrm>
                                  <a:off x="0" y="0"/>
                                  <a:ext cx="831850" cy="817245"/>
                                </a:xfrm>
                                <a:prstGeom prst="rect">
                                  <a:avLst/>
                                </a:prstGeom>
                                <a:noFill/>
                                <a:ln>
                                  <a:noFill/>
                                </a:ln>
                              </pic:spPr>
                            </pic:pic>
                          </a:graphicData>
                        </a:graphic>
                      </wp:inline>
                    </w:drawing>
                  </w:r>
                </w:p>
              </w:tc>
              <w:tc>
                <w:tcPr>
                  <w:tcW w:w="896" w:type="dxa"/>
                  <w:tcBorders>
                    <w:tl2br w:val="nil"/>
                    <w:tr2bl w:val="nil"/>
                  </w:tcBorders>
                  <w:shd w:val="clear" w:color="auto" w:fill="auto"/>
                  <w:noWrap/>
                  <w:vAlign w:val="center"/>
                </w:tcPr>
                <w:p w14:paraId="2617E8A5">
                  <w:pPr>
                    <w:widowControl/>
                    <w:wordWrap w:val="0"/>
                    <w:topLinePunct/>
                    <w:rPr>
                      <w:rFonts w:hint="default" w:ascii="Times New Roman" w:hAnsi="Times New Roman" w:eastAsia="宋体" w:cs="Times New Roman"/>
                      <w:i w:val="0"/>
                      <w:iCs w:val="0"/>
                      <w:color w:val="auto"/>
                      <w:sz w:val="21"/>
                      <w:szCs w:val="24"/>
                      <w:u w:val="none" w:color="auto"/>
                    </w:rPr>
                  </w:pPr>
                  <w:r>
                    <w:rPr>
                      <w:rFonts w:hint="default" w:ascii="Times New Roman" w:hAnsi="Times New Roman" w:eastAsia="宋体" w:cs="Times New Roman"/>
                      <w:i w:val="0"/>
                      <w:iCs w:val="0"/>
                      <w:color w:val="auto"/>
                      <w:kern w:val="2"/>
                      <w:sz w:val="21"/>
                      <w:szCs w:val="24"/>
                      <w:u w:val="none" w:color="auto"/>
                      <w:lang w:val="en-US" w:eastAsia="zh-CN" w:bidi="ar"/>
                    </w:rPr>
                    <w:t>提示标志</w:t>
                  </w:r>
                </w:p>
              </w:tc>
              <w:tc>
                <w:tcPr>
                  <w:tcW w:w="3684" w:type="dxa"/>
                  <w:tcBorders>
                    <w:tl2br w:val="nil"/>
                    <w:tr2bl w:val="nil"/>
                  </w:tcBorders>
                  <w:shd w:val="clear" w:color="auto" w:fill="auto"/>
                  <w:noWrap/>
                  <w:vAlign w:val="center"/>
                </w:tcPr>
                <w:p w14:paraId="2B1AEE11">
                  <w:pPr>
                    <w:widowControl/>
                    <w:wordWrap w:val="0"/>
                    <w:topLinePunct/>
                    <w:rPr>
                      <w:rFonts w:hint="default" w:ascii="Times New Roman" w:hAnsi="Times New Roman" w:eastAsia="宋体" w:cs="Times New Roman"/>
                      <w:i w:val="0"/>
                      <w:iCs w:val="0"/>
                      <w:color w:val="auto"/>
                      <w:sz w:val="21"/>
                      <w:szCs w:val="24"/>
                      <w:u w:val="none" w:color="auto"/>
                    </w:rPr>
                  </w:pPr>
                  <w:r>
                    <w:rPr>
                      <w:rFonts w:hint="default" w:ascii="Times New Roman" w:hAnsi="Times New Roman" w:eastAsia="宋体" w:cs="Times New Roman"/>
                      <w:i w:val="0"/>
                      <w:iCs w:val="0"/>
                      <w:color w:val="auto"/>
                      <w:kern w:val="2"/>
                      <w:sz w:val="21"/>
                      <w:szCs w:val="24"/>
                      <w:u w:val="none" w:color="auto"/>
                      <w:lang w:val="en-US" w:eastAsia="zh-CN" w:bidi="ar"/>
                    </w:rPr>
                    <w:t>污水排放口Sewage effluent outfalls</w:t>
                  </w:r>
                </w:p>
              </w:tc>
              <w:tc>
                <w:tcPr>
                  <w:tcW w:w="2256" w:type="dxa"/>
                  <w:tcBorders>
                    <w:tl2br w:val="nil"/>
                    <w:tr2bl w:val="nil"/>
                  </w:tcBorders>
                  <w:shd w:val="clear" w:color="auto" w:fill="auto"/>
                  <w:noWrap/>
                  <w:vAlign w:val="center"/>
                </w:tcPr>
                <w:p w14:paraId="4C087D82">
                  <w:pPr>
                    <w:widowControl/>
                    <w:wordWrap w:val="0"/>
                    <w:topLinePunct/>
                    <w:rPr>
                      <w:rFonts w:hint="default" w:ascii="Times New Roman" w:hAnsi="Times New Roman" w:eastAsia="宋体" w:cs="Times New Roman"/>
                      <w:i w:val="0"/>
                      <w:iCs w:val="0"/>
                      <w:color w:val="auto"/>
                      <w:sz w:val="21"/>
                      <w:szCs w:val="24"/>
                      <w:u w:val="none" w:color="auto"/>
                    </w:rPr>
                  </w:pPr>
                  <w:r>
                    <w:rPr>
                      <w:rFonts w:hint="default" w:ascii="Times New Roman" w:hAnsi="Times New Roman" w:eastAsia="宋体" w:cs="Times New Roman"/>
                      <w:i w:val="0"/>
                      <w:iCs w:val="0"/>
                      <w:color w:val="auto"/>
                      <w:kern w:val="2"/>
                      <w:sz w:val="21"/>
                      <w:szCs w:val="24"/>
                      <w:u w:val="none" w:color="auto"/>
                      <w:lang w:val="en-US" w:eastAsia="zh-CN" w:bidi="ar"/>
                    </w:rPr>
                    <w:t>提示污水排放口</w:t>
                  </w:r>
                </w:p>
              </w:tc>
            </w:tr>
            <w:tr w14:paraId="704B6B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shd w:val="clear" w:color="auto" w:fill="auto"/>
                <w:tblCellMar>
                  <w:top w:w="0" w:type="dxa"/>
                  <w:left w:w="108" w:type="dxa"/>
                  <w:bottom w:w="0" w:type="dxa"/>
                  <w:right w:w="108" w:type="dxa"/>
                </w:tblCellMar>
              </w:tblPrEx>
              <w:trPr>
                <w:trHeight w:val="270" w:hRule="atLeast"/>
              </w:trPr>
              <w:tc>
                <w:tcPr>
                  <w:tcW w:w="588" w:type="dxa"/>
                  <w:tcBorders>
                    <w:tl2br w:val="nil"/>
                    <w:tr2bl w:val="nil"/>
                  </w:tcBorders>
                  <w:shd w:val="clear" w:color="auto" w:fill="auto"/>
                  <w:noWrap/>
                  <w:vAlign w:val="center"/>
                </w:tcPr>
                <w:p w14:paraId="3EED8959">
                  <w:pPr>
                    <w:pStyle w:val="66"/>
                    <w:spacing w:line="240" w:lineRule="auto"/>
                    <w:jc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2"/>
                      <w:sz w:val="21"/>
                      <w:szCs w:val="21"/>
                      <w:u w:val="none" w:color="auto"/>
                      <w:lang w:val="en-US" w:eastAsia="zh-CN" w:bidi="ar"/>
                    </w:rPr>
                    <w:t>2</w:t>
                  </w:r>
                </w:p>
              </w:tc>
              <w:tc>
                <w:tcPr>
                  <w:tcW w:w="1770" w:type="dxa"/>
                  <w:tcBorders>
                    <w:tl2br w:val="nil"/>
                    <w:tr2bl w:val="nil"/>
                  </w:tcBorders>
                  <w:shd w:val="clear" w:color="auto" w:fill="auto"/>
                  <w:noWrap/>
                  <w:vAlign w:val="center"/>
                </w:tcPr>
                <w:p w14:paraId="474C54E8">
                  <w:pPr>
                    <w:pStyle w:val="66"/>
                    <w:spacing w:line="240" w:lineRule="auto"/>
                    <w:jc w:val="center"/>
                    <w:rPr>
                      <w:rFonts w:hint="default" w:ascii="Times New Roman" w:hAnsi="Times New Roman" w:eastAsia="宋体" w:cs="Times New Roman"/>
                      <w:i w:val="0"/>
                      <w:iCs w:val="0"/>
                      <w:color w:val="auto"/>
                      <w:sz w:val="21"/>
                      <w:szCs w:val="21"/>
                      <w:u w:val="none" w:color="auto"/>
                    </w:rPr>
                  </w:pPr>
                  <w:r>
                    <w:drawing>
                      <wp:inline distT="0" distB="0" distL="114300" distR="114300">
                        <wp:extent cx="814705" cy="732790"/>
                        <wp:effectExtent l="0" t="0" r="4445" b="10160"/>
                        <wp:docPr id="3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0"/>
                                <pic:cNvPicPr>
                                  <a:picLocks noChangeAspect="1"/>
                                </pic:cNvPicPr>
                              </pic:nvPicPr>
                              <pic:blipFill>
                                <a:blip r:embed="rId14"/>
                                <a:stretch>
                                  <a:fillRect/>
                                </a:stretch>
                              </pic:blipFill>
                              <pic:spPr>
                                <a:xfrm>
                                  <a:off x="0" y="0"/>
                                  <a:ext cx="814705" cy="732790"/>
                                </a:xfrm>
                                <a:prstGeom prst="rect">
                                  <a:avLst/>
                                </a:prstGeom>
                                <a:noFill/>
                                <a:ln>
                                  <a:noFill/>
                                </a:ln>
                              </pic:spPr>
                            </pic:pic>
                          </a:graphicData>
                        </a:graphic>
                      </wp:inline>
                    </w:drawing>
                  </w:r>
                </w:p>
              </w:tc>
              <w:tc>
                <w:tcPr>
                  <w:tcW w:w="896" w:type="dxa"/>
                  <w:tcBorders>
                    <w:tl2br w:val="nil"/>
                    <w:tr2bl w:val="nil"/>
                  </w:tcBorders>
                  <w:shd w:val="clear" w:color="auto" w:fill="auto"/>
                  <w:noWrap/>
                  <w:vAlign w:val="center"/>
                </w:tcPr>
                <w:p w14:paraId="7732D620">
                  <w:pPr>
                    <w:widowControl/>
                    <w:wordWrap w:val="0"/>
                    <w:topLinePunct/>
                    <w:rPr>
                      <w:rFonts w:hint="default" w:ascii="Times New Roman" w:hAnsi="Times New Roman" w:eastAsia="宋体" w:cs="Times New Roman"/>
                      <w:i w:val="0"/>
                      <w:iCs w:val="0"/>
                      <w:color w:val="auto"/>
                      <w:sz w:val="21"/>
                      <w:szCs w:val="24"/>
                      <w:u w:val="none" w:color="auto"/>
                    </w:rPr>
                  </w:pPr>
                  <w:r>
                    <w:rPr>
                      <w:rFonts w:hint="default" w:ascii="Times New Roman" w:hAnsi="Times New Roman" w:eastAsia="宋体" w:cs="Times New Roman"/>
                      <w:i w:val="0"/>
                      <w:iCs w:val="0"/>
                      <w:color w:val="auto"/>
                      <w:kern w:val="2"/>
                      <w:sz w:val="21"/>
                      <w:szCs w:val="24"/>
                      <w:u w:val="none" w:color="auto"/>
                      <w:lang w:val="en-US" w:eastAsia="zh-CN" w:bidi="ar"/>
                    </w:rPr>
                    <w:t>警告标志</w:t>
                  </w:r>
                </w:p>
              </w:tc>
              <w:tc>
                <w:tcPr>
                  <w:tcW w:w="3684" w:type="dxa"/>
                  <w:tcBorders>
                    <w:tl2br w:val="nil"/>
                    <w:tr2bl w:val="nil"/>
                  </w:tcBorders>
                  <w:shd w:val="clear" w:color="auto" w:fill="auto"/>
                  <w:noWrap/>
                  <w:vAlign w:val="center"/>
                </w:tcPr>
                <w:p w14:paraId="34721EDF">
                  <w:pPr>
                    <w:widowControl/>
                    <w:wordWrap w:val="0"/>
                    <w:topLinePunct/>
                    <w:rPr>
                      <w:rFonts w:hint="default" w:ascii="Times New Roman" w:hAnsi="Times New Roman" w:eastAsia="宋体" w:cs="Times New Roman"/>
                      <w:i w:val="0"/>
                      <w:iCs w:val="0"/>
                      <w:color w:val="auto"/>
                      <w:sz w:val="21"/>
                      <w:szCs w:val="24"/>
                      <w:u w:val="none" w:color="auto"/>
                    </w:rPr>
                  </w:pPr>
                  <w:r>
                    <w:rPr>
                      <w:rFonts w:hint="default" w:ascii="Times New Roman" w:hAnsi="Times New Roman" w:eastAsia="宋体" w:cs="Times New Roman"/>
                      <w:i w:val="0"/>
                      <w:iCs w:val="0"/>
                      <w:color w:val="auto"/>
                      <w:kern w:val="2"/>
                      <w:sz w:val="21"/>
                      <w:szCs w:val="24"/>
                      <w:u w:val="none" w:color="auto"/>
                      <w:lang w:val="en-US" w:eastAsia="zh-CN" w:bidi="ar"/>
                    </w:rPr>
                    <w:t>当心污水排放口Waming sewage effluent outfalls</w:t>
                  </w:r>
                </w:p>
              </w:tc>
              <w:tc>
                <w:tcPr>
                  <w:tcW w:w="2256" w:type="dxa"/>
                  <w:tcBorders>
                    <w:tl2br w:val="nil"/>
                    <w:tr2bl w:val="nil"/>
                  </w:tcBorders>
                  <w:shd w:val="clear" w:color="auto" w:fill="auto"/>
                  <w:noWrap/>
                  <w:vAlign w:val="center"/>
                </w:tcPr>
                <w:p w14:paraId="1090B1C9">
                  <w:pPr>
                    <w:widowControl/>
                    <w:wordWrap w:val="0"/>
                    <w:topLinePunct/>
                    <w:rPr>
                      <w:rFonts w:hint="default" w:ascii="Times New Roman" w:hAnsi="Times New Roman" w:eastAsia="宋体" w:cs="Times New Roman"/>
                      <w:i w:val="0"/>
                      <w:iCs w:val="0"/>
                      <w:color w:val="auto"/>
                      <w:sz w:val="21"/>
                      <w:szCs w:val="24"/>
                      <w:u w:val="none" w:color="auto"/>
                    </w:rPr>
                  </w:pPr>
                  <w:r>
                    <w:rPr>
                      <w:rFonts w:hint="default" w:ascii="Times New Roman" w:hAnsi="Times New Roman" w:eastAsia="宋体" w:cs="Times New Roman"/>
                      <w:i w:val="0"/>
                      <w:iCs w:val="0"/>
                      <w:color w:val="auto"/>
                      <w:kern w:val="2"/>
                      <w:sz w:val="21"/>
                      <w:szCs w:val="24"/>
                      <w:u w:val="none" w:color="auto"/>
                      <w:lang w:val="en-US" w:eastAsia="zh-CN" w:bidi="ar"/>
                    </w:rPr>
                    <w:t>警告来自污水排放口的危险</w:t>
                  </w:r>
                </w:p>
              </w:tc>
            </w:tr>
            <w:tr w14:paraId="7CF5F0D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588" w:type="dxa"/>
                  <w:tcBorders>
                    <w:tl2br w:val="nil"/>
                    <w:tr2bl w:val="nil"/>
                  </w:tcBorders>
                  <w:shd w:val="clear" w:color="auto" w:fill="auto"/>
                  <w:noWrap/>
                  <w:vAlign w:val="center"/>
                </w:tcPr>
                <w:p w14:paraId="1867611C">
                  <w:pPr>
                    <w:pStyle w:val="66"/>
                    <w:spacing w:line="240" w:lineRule="auto"/>
                    <w:jc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2"/>
                      <w:sz w:val="21"/>
                      <w:szCs w:val="21"/>
                      <w:u w:val="none" w:color="auto"/>
                      <w:lang w:val="en-US" w:eastAsia="zh-CN" w:bidi="ar"/>
                    </w:rPr>
                    <w:t>3</w:t>
                  </w:r>
                </w:p>
              </w:tc>
              <w:tc>
                <w:tcPr>
                  <w:tcW w:w="1770" w:type="dxa"/>
                  <w:tcBorders>
                    <w:tl2br w:val="nil"/>
                    <w:tr2bl w:val="nil"/>
                  </w:tcBorders>
                  <w:shd w:val="clear" w:color="auto" w:fill="auto"/>
                  <w:noWrap/>
                  <w:vAlign w:val="center"/>
                </w:tcPr>
                <w:p w14:paraId="020F7998">
                  <w:pPr>
                    <w:pStyle w:val="66"/>
                    <w:spacing w:line="240" w:lineRule="auto"/>
                    <w:jc w:val="center"/>
                    <w:rPr>
                      <w:rFonts w:hint="default" w:ascii="Times New Roman" w:hAnsi="Times New Roman" w:eastAsia="宋体" w:cs="Times New Roman"/>
                      <w:i w:val="0"/>
                      <w:iCs w:val="0"/>
                      <w:color w:val="auto"/>
                      <w:sz w:val="21"/>
                      <w:szCs w:val="21"/>
                      <w:u w:val="none" w:color="auto"/>
                    </w:rPr>
                  </w:pPr>
                  <w:r>
                    <w:drawing>
                      <wp:inline distT="0" distB="0" distL="114300" distR="114300">
                        <wp:extent cx="819785" cy="827405"/>
                        <wp:effectExtent l="0" t="0" r="18415" b="10795"/>
                        <wp:docPr id="4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1"/>
                                <pic:cNvPicPr>
                                  <a:picLocks noChangeAspect="1"/>
                                </pic:cNvPicPr>
                              </pic:nvPicPr>
                              <pic:blipFill>
                                <a:blip r:embed="rId15"/>
                                <a:stretch>
                                  <a:fillRect/>
                                </a:stretch>
                              </pic:blipFill>
                              <pic:spPr>
                                <a:xfrm>
                                  <a:off x="0" y="0"/>
                                  <a:ext cx="819785" cy="827405"/>
                                </a:xfrm>
                                <a:prstGeom prst="rect">
                                  <a:avLst/>
                                </a:prstGeom>
                                <a:noFill/>
                                <a:ln>
                                  <a:noFill/>
                                </a:ln>
                              </pic:spPr>
                            </pic:pic>
                          </a:graphicData>
                        </a:graphic>
                      </wp:inline>
                    </w:drawing>
                  </w:r>
                </w:p>
              </w:tc>
              <w:tc>
                <w:tcPr>
                  <w:tcW w:w="896" w:type="dxa"/>
                  <w:tcBorders>
                    <w:tl2br w:val="nil"/>
                    <w:tr2bl w:val="nil"/>
                  </w:tcBorders>
                  <w:shd w:val="clear" w:color="auto" w:fill="auto"/>
                  <w:noWrap/>
                  <w:vAlign w:val="center"/>
                </w:tcPr>
                <w:p w14:paraId="4910BB17">
                  <w:pPr>
                    <w:widowControl/>
                    <w:wordWrap w:val="0"/>
                    <w:topLinePunct/>
                    <w:rPr>
                      <w:rFonts w:hint="default" w:ascii="Times New Roman" w:hAnsi="Times New Roman" w:eastAsia="宋体" w:cs="Times New Roman"/>
                      <w:i w:val="0"/>
                      <w:iCs w:val="0"/>
                      <w:color w:val="auto"/>
                      <w:sz w:val="21"/>
                      <w:szCs w:val="24"/>
                      <w:u w:val="none" w:color="auto"/>
                    </w:rPr>
                  </w:pPr>
                  <w:r>
                    <w:rPr>
                      <w:rFonts w:hint="default" w:ascii="Times New Roman" w:hAnsi="Times New Roman" w:eastAsia="宋体" w:cs="Times New Roman"/>
                      <w:i w:val="0"/>
                      <w:iCs w:val="0"/>
                      <w:color w:val="auto"/>
                      <w:kern w:val="2"/>
                      <w:sz w:val="21"/>
                      <w:szCs w:val="24"/>
                      <w:u w:val="none" w:color="auto"/>
                      <w:lang w:val="en-US" w:eastAsia="zh-CN" w:bidi="ar"/>
                    </w:rPr>
                    <w:t>提示标志</w:t>
                  </w:r>
                </w:p>
              </w:tc>
              <w:tc>
                <w:tcPr>
                  <w:tcW w:w="3684" w:type="dxa"/>
                  <w:tcBorders>
                    <w:tl2br w:val="nil"/>
                    <w:tr2bl w:val="nil"/>
                  </w:tcBorders>
                  <w:shd w:val="clear" w:color="auto" w:fill="auto"/>
                  <w:noWrap/>
                  <w:vAlign w:val="center"/>
                </w:tcPr>
                <w:p w14:paraId="13184F9B">
                  <w:pPr>
                    <w:widowControl/>
                    <w:wordWrap w:val="0"/>
                    <w:topLinePunct/>
                    <w:rPr>
                      <w:rFonts w:hint="default" w:ascii="Times New Roman" w:hAnsi="Times New Roman" w:eastAsia="宋体" w:cs="Times New Roman"/>
                      <w:i w:val="0"/>
                      <w:iCs w:val="0"/>
                      <w:color w:val="auto"/>
                      <w:sz w:val="21"/>
                      <w:szCs w:val="24"/>
                      <w:u w:val="none" w:color="auto"/>
                    </w:rPr>
                  </w:pPr>
                  <w:r>
                    <w:rPr>
                      <w:rFonts w:hint="default" w:ascii="Times New Roman" w:hAnsi="Times New Roman" w:eastAsia="宋体" w:cs="Times New Roman"/>
                      <w:i w:val="0"/>
                      <w:iCs w:val="0"/>
                      <w:color w:val="auto"/>
                      <w:kern w:val="2"/>
                      <w:sz w:val="21"/>
                      <w:szCs w:val="24"/>
                      <w:u w:val="none" w:color="auto"/>
                      <w:lang w:val="en-US" w:eastAsia="zh-CN" w:bidi="ar"/>
                    </w:rPr>
                    <w:t>废气排放口Exhaust outlets</w:t>
                  </w:r>
                </w:p>
              </w:tc>
              <w:tc>
                <w:tcPr>
                  <w:tcW w:w="2256" w:type="dxa"/>
                  <w:tcBorders>
                    <w:tl2br w:val="nil"/>
                    <w:tr2bl w:val="nil"/>
                  </w:tcBorders>
                  <w:shd w:val="clear" w:color="auto" w:fill="auto"/>
                  <w:noWrap/>
                  <w:vAlign w:val="center"/>
                </w:tcPr>
                <w:p w14:paraId="1C551154">
                  <w:pPr>
                    <w:widowControl/>
                    <w:wordWrap w:val="0"/>
                    <w:topLinePunct/>
                    <w:rPr>
                      <w:rFonts w:hint="default" w:ascii="Times New Roman" w:hAnsi="Times New Roman" w:eastAsia="宋体" w:cs="Times New Roman"/>
                      <w:i w:val="0"/>
                      <w:iCs w:val="0"/>
                      <w:color w:val="auto"/>
                      <w:sz w:val="21"/>
                      <w:szCs w:val="24"/>
                      <w:u w:val="none" w:color="auto"/>
                    </w:rPr>
                  </w:pPr>
                  <w:r>
                    <w:rPr>
                      <w:rFonts w:hint="default" w:ascii="Times New Roman" w:hAnsi="Times New Roman" w:eastAsia="宋体" w:cs="Times New Roman"/>
                      <w:i w:val="0"/>
                      <w:iCs w:val="0"/>
                      <w:color w:val="auto"/>
                      <w:kern w:val="2"/>
                      <w:sz w:val="21"/>
                      <w:szCs w:val="24"/>
                      <w:u w:val="none" w:color="auto"/>
                      <w:lang w:val="en-US" w:eastAsia="zh-CN" w:bidi="ar"/>
                    </w:rPr>
                    <w:t>提示废气排放口</w:t>
                  </w:r>
                </w:p>
              </w:tc>
            </w:tr>
            <w:tr w14:paraId="06140F3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588" w:type="dxa"/>
                  <w:tcBorders>
                    <w:tl2br w:val="nil"/>
                    <w:tr2bl w:val="nil"/>
                  </w:tcBorders>
                  <w:shd w:val="clear" w:color="auto" w:fill="auto"/>
                  <w:noWrap/>
                  <w:vAlign w:val="center"/>
                </w:tcPr>
                <w:p w14:paraId="22C44A88">
                  <w:pPr>
                    <w:pStyle w:val="66"/>
                    <w:spacing w:line="240" w:lineRule="auto"/>
                    <w:jc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2"/>
                      <w:sz w:val="21"/>
                      <w:szCs w:val="21"/>
                      <w:u w:val="none" w:color="auto"/>
                      <w:lang w:val="en-US" w:eastAsia="zh-CN" w:bidi="ar"/>
                    </w:rPr>
                    <w:t>4</w:t>
                  </w:r>
                </w:p>
              </w:tc>
              <w:tc>
                <w:tcPr>
                  <w:tcW w:w="1770" w:type="dxa"/>
                  <w:tcBorders>
                    <w:tl2br w:val="nil"/>
                    <w:tr2bl w:val="nil"/>
                  </w:tcBorders>
                  <w:shd w:val="clear" w:color="auto" w:fill="auto"/>
                  <w:noWrap/>
                  <w:vAlign w:val="center"/>
                </w:tcPr>
                <w:p w14:paraId="05A2D456">
                  <w:pPr>
                    <w:pStyle w:val="66"/>
                    <w:spacing w:line="240" w:lineRule="auto"/>
                    <w:jc w:val="center"/>
                    <w:rPr>
                      <w:rFonts w:hint="default" w:ascii="Times New Roman" w:hAnsi="Times New Roman" w:eastAsia="宋体" w:cs="Times New Roman"/>
                      <w:i w:val="0"/>
                      <w:iCs w:val="0"/>
                      <w:color w:val="auto"/>
                      <w:sz w:val="21"/>
                      <w:szCs w:val="21"/>
                      <w:u w:val="none" w:color="auto"/>
                    </w:rPr>
                  </w:pPr>
                  <w:r>
                    <w:drawing>
                      <wp:inline distT="0" distB="0" distL="114300" distR="114300">
                        <wp:extent cx="842645" cy="730250"/>
                        <wp:effectExtent l="0" t="0" r="14605" b="12700"/>
                        <wp:docPr id="4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12"/>
                                <pic:cNvPicPr>
                                  <a:picLocks noChangeAspect="1"/>
                                </pic:cNvPicPr>
                              </pic:nvPicPr>
                              <pic:blipFill>
                                <a:blip r:embed="rId16"/>
                                <a:stretch>
                                  <a:fillRect/>
                                </a:stretch>
                              </pic:blipFill>
                              <pic:spPr>
                                <a:xfrm>
                                  <a:off x="0" y="0"/>
                                  <a:ext cx="842645" cy="730250"/>
                                </a:xfrm>
                                <a:prstGeom prst="rect">
                                  <a:avLst/>
                                </a:prstGeom>
                                <a:noFill/>
                                <a:ln>
                                  <a:noFill/>
                                </a:ln>
                              </pic:spPr>
                            </pic:pic>
                          </a:graphicData>
                        </a:graphic>
                      </wp:inline>
                    </w:drawing>
                  </w:r>
                </w:p>
              </w:tc>
              <w:tc>
                <w:tcPr>
                  <w:tcW w:w="896" w:type="dxa"/>
                  <w:tcBorders>
                    <w:tl2br w:val="nil"/>
                    <w:tr2bl w:val="nil"/>
                  </w:tcBorders>
                  <w:shd w:val="clear" w:color="auto" w:fill="auto"/>
                  <w:noWrap/>
                  <w:vAlign w:val="center"/>
                </w:tcPr>
                <w:p w14:paraId="556D05FF">
                  <w:pPr>
                    <w:widowControl/>
                    <w:wordWrap w:val="0"/>
                    <w:topLinePunct/>
                    <w:rPr>
                      <w:rFonts w:hint="default" w:ascii="Times New Roman" w:hAnsi="Times New Roman" w:eastAsia="宋体" w:cs="Times New Roman"/>
                      <w:i w:val="0"/>
                      <w:iCs w:val="0"/>
                      <w:color w:val="auto"/>
                      <w:sz w:val="21"/>
                      <w:szCs w:val="24"/>
                      <w:u w:val="none" w:color="auto"/>
                    </w:rPr>
                  </w:pPr>
                  <w:r>
                    <w:rPr>
                      <w:rFonts w:hint="default" w:ascii="Times New Roman" w:hAnsi="Times New Roman" w:eastAsia="宋体" w:cs="Times New Roman"/>
                      <w:i w:val="0"/>
                      <w:iCs w:val="0"/>
                      <w:color w:val="auto"/>
                      <w:kern w:val="2"/>
                      <w:sz w:val="21"/>
                      <w:szCs w:val="24"/>
                      <w:u w:val="none" w:color="auto"/>
                      <w:lang w:val="en-US" w:eastAsia="zh-CN" w:bidi="ar"/>
                    </w:rPr>
                    <w:t>警告标志</w:t>
                  </w:r>
                </w:p>
              </w:tc>
              <w:tc>
                <w:tcPr>
                  <w:tcW w:w="3684" w:type="dxa"/>
                  <w:tcBorders>
                    <w:tl2br w:val="nil"/>
                    <w:tr2bl w:val="nil"/>
                  </w:tcBorders>
                  <w:shd w:val="clear" w:color="auto" w:fill="auto"/>
                  <w:noWrap/>
                  <w:vAlign w:val="center"/>
                </w:tcPr>
                <w:p w14:paraId="6F5703E8">
                  <w:pPr>
                    <w:widowControl/>
                    <w:wordWrap w:val="0"/>
                    <w:topLinePunct/>
                    <w:rPr>
                      <w:rFonts w:hint="default" w:ascii="Times New Roman" w:hAnsi="Times New Roman" w:eastAsia="宋体" w:cs="Times New Roman"/>
                      <w:i w:val="0"/>
                      <w:iCs w:val="0"/>
                      <w:color w:val="auto"/>
                      <w:sz w:val="21"/>
                      <w:szCs w:val="24"/>
                      <w:u w:val="none" w:color="auto"/>
                    </w:rPr>
                  </w:pPr>
                  <w:r>
                    <w:rPr>
                      <w:rFonts w:hint="default" w:ascii="Times New Roman" w:hAnsi="Times New Roman" w:eastAsia="宋体" w:cs="Times New Roman"/>
                      <w:i w:val="0"/>
                      <w:iCs w:val="0"/>
                      <w:color w:val="auto"/>
                      <w:kern w:val="2"/>
                      <w:sz w:val="21"/>
                      <w:szCs w:val="24"/>
                      <w:u w:val="none" w:color="auto"/>
                      <w:lang w:val="en-US" w:eastAsia="zh-CN" w:bidi="ar"/>
                    </w:rPr>
                    <w:t>当心废气排放口Waming exhaust outlets</w:t>
                  </w:r>
                </w:p>
              </w:tc>
              <w:tc>
                <w:tcPr>
                  <w:tcW w:w="2256" w:type="dxa"/>
                  <w:tcBorders>
                    <w:tl2br w:val="nil"/>
                    <w:tr2bl w:val="nil"/>
                  </w:tcBorders>
                  <w:shd w:val="clear" w:color="auto" w:fill="auto"/>
                  <w:noWrap/>
                  <w:vAlign w:val="center"/>
                </w:tcPr>
                <w:p w14:paraId="010E18E9">
                  <w:pPr>
                    <w:widowControl/>
                    <w:wordWrap w:val="0"/>
                    <w:topLinePunct/>
                    <w:rPr>
                      <w:rFonts w:hint="default" w:ascii="Times New Roman" w:hAnsi="Times New Roman" w:eastAsia="宋体" w:cs="Times New Roman"/>
                      <w:i w:val="0"/>
                      <w:iCs w:val="0"/>
                      <w:color w:val="auto"/>
                      <w:sz w:val="21"/>
                      <w:szCs w:val="24"/>
                      <w:u w:val="none" w:color="auto"/>
                    </w:rPr>
                  </w:pPr>
                  <w:r>
                    <w:rPr>
                      <w:rFonts w:hint="default" w:ascii="Times New Roman" w:hAnsi="Times New Roman" w:eastAsia="宋体" w:cs="Times New Roman"/>
                      <w:i w:val="0"/>
                      <w:iCs w:val="0"/>
                      <w:color w:val="auto"/>
                      <w:kern w:val="2"/>
                      <w:sz w:val="21"/>
                      <w:szCs w:val="24"/>
                      <w:u w:val="none" w:color="auto"/>
                      <w:lang w:val="en-US" w:eastAsia="zh-CN" w:bidi="ar"/>
                    </w:rPr>
                    <w:t>警告来自废气排放口的危险</w:t>
                  </w:r>
                </w:p>
              </w:tc>
            </w:tr>
            <w:tr w14:paraId="39D63C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588" w:type="dxa"/>
                  <w:tcBorders>
                    <w:tl2br w:val="nil"/>
                    <w:tr2bl w:val="nil"/>
                  </w:tcBorders>
                  <w:shd w:val="clear" w:color="auto" w:fill="auto"/>
                  <w:noWrap/>
                  <w:vAlign w:val="center"/>
                </w:tcPr>
                <w:p w14:paraId="02A5610A">
                  <w:pPr>
                    <w:pStyle w:val="66"/>
                    <w:spacing w:line="240" w:lineRule="auto"/>
                    <w:jc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2"/>
                      <w:sz w:val="21"/>
                      <w:szCs w:val="21"/>
                      <w:u w:val="none" w:color="auto"/>
                      <w:lang w:val="en-US" w:eastAsia="zh-CN" w:bidi="ar"/>
                    </w:rPr>
                    <w:t>5</w:t>
                  </w:r>
                </w:p>
              </w:tc>
              <w:tc>
                <w:tcPr>
                  <w:tcW w:w="1770" w:type="dxa"/>
                  <w:tcBorders>
                    <w:tl2br w:val="nil"/>
                    <w:tr2bl w:val="nil"/>
                  </w:tcBorders>
                  <w:shd w:val="clear" w:color="auto" w:fill="auto"/>
                  <w:noWrap/>
                  <w:vAlign w:val="center"/>
                </w:tcPr>
                <w:p w14:paraId="12FDC662">
                  <w:pPr>
                    <w:pStyle w:val="66"/>
                    <w:spacing w:line="240" w:lineRule="auto"/>
                    <w:jc w:val="center"/>
                    <w:rPr>
                      <w:rFonts w:hint="default" w:ascii="Times New Roman" w:hAnsi="Times New Roman" w:eastAsia="宋体" w:cs="Times New Roman"/>
                      <w:i w:val="0"/>
                      <w:iCs w:val="0"/>
                      <w:color w:val="auto"/>
                      <w:sz w:val="21"/>
                      <w:szCs w:val="21"/>
                      <w:u w:val="none" w:color="auto"/>
                    </w:rPr>
                  </w:pPr>
                  <w:r>
                    <w:drawing>
                      <wp:inline distT="0" distB="0" distL="114300" distR="114300">
                        <wp:extent cx="875665" cy="859155"/>
                        <wp:effectExtent l="0" t="0" r="635" b="17145"/>
                        <wp:docPr id="4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3"/>
                                <pic:cNvPicPr>
                                  <a:picLocks noChangeAspect="1"/>
                                </pic:cNvPicPr>
                              </pic:nvPicPr>
                              <pic:blipFill>
                                <a:blip r:embed="rId17"/>
                                <a:stretch>
                                  <a:fillRect/>
                                </a:stretch>
                              </pic:blipFill>
                              <pic:spPr>
                                <a:xfrm>
                                  <a:off x="0" y="0"/>
                                  <a:ext cx="875665" cy="859155"/>
                                </a:xfrm>
                                <a:prstGeom prst="rect">
                                  <a:avLst/>
                                </a:prstGeom>
                                <a:noFill/>
                                <a:ln>
                                  <a:noFill/>
                                </a:ln>
                              </pic:spPr>
                            </pic:pic>
                          </a:graphicData>
                        </a:graphic>
                      </wp:inline>
                    </w:drawing>
                  </w:r>
                </w:p>
              </w:tc>
              <w:tc>
                <w:tcPr>
                  <w:tcW w:w="896" w:type="dxa"/>
                  <w:tcBorders>
                    <w:tl2br w:val="nil"/>
                    <w:tr2bl w:val="nil"/>
                  </w:tcBorders>
                  <w:shd w:val="clear" w:color="auto" w:fill="auto"/>
                  <w:noWrap/>
                  <w:vAlign w:val="center"/>
                </w:tcPr>
                <w:p w14:paraId="20BD5E95">
                  <w:pPr>
                    <w:widowControl/>
                    <w:wordWrap w:val="0"/>
                    <w:topLinePunct/>
                    <w:rPr>
                      <w:rFonts w:hint="default" w:ascii="Times New Roman" w:hAnsi="Times New Roman" w:eastAsia="宋体" w:cs="Times New Roman"/>
                      <w:i w:val="0"/>
                      <w:iCs w:val="0"/>
                      <w:color w:val="auto"/>
                      <w:sz w:val="21"/>
                      <w:szCs w:val="24"/>
                      <w:u w:val="none" w:color="auto"/>
                    </w:rPr>
                  </w:pPr>
                  <w:r>
                    <w:rPr>
                      <w:rFonts w:hint="default" w:ascii="Times New Roman" w:hAnsi="Times New Roman" w:eastAsia="宋体" w:cs="Times New Roman"/>
                      <w:i w:val="0"/>
                      <w:iCs w:val="0"/>
                      <w:color w:val="auto"/>
                      <w:kern w:val="2"/>
                      <w:sz w:val="21"/>
                      <w:szCs w:val="24"/>
                      <w:u w:val="none" w:color="auto"/>
                      <w:lang w:val="en-US" w:eastAsia="zh-CN" w:bidi="ar"/>
                    </w:rPr>
                    <w:t>提示标志</w:t>
                  </w:r>
                </w:p>
              </w:tc>
              <w:tc>
                <w:tcPr>
                  <w:tcW w:w="3684" w:type="dxa"/>
                  <w:tcBorders>
                    <w:tl2br w:val="nil"/>
                    <w:tr2bl w:val="nil"/>
                  </w:tcBorders>
                  <w:shd w:val="clear" w:color="auto" w:fill="auto"/>
                  <w:noWrap/>
                  <w:vAlign w:val="center"/>
                </w:tcPr>
                <w:p w14:paraId="3F14EEAF">
                  <w:pPr>
                    <w:widowControl/>
                    <w:wordWrap w:val="0"/>
                    <w:topLinePunct/>
                    <w:rPr>
                      <w:rFonts w:hint="default" w:ascii="Times New Roman" w:hAnsi="Times New Roman" w:eastAsia="宋体" w:cs="Times New Roman"/>
                      <w:i w:val="0"/>
                      <w:iCs w:val="0"/>
                      <w:color w:val="auto"/>
                      <w:sz w:val="21"/>
                      <w:szCs w:val="24"/>
                      <w:u w:val="none" w:color="auto"/>
                    </w:rPr>
                  </w:pPr>
                  <w:r>
                    <w:rPr>
                      <w:rFonts w:hint="default" w:ascii="Times New Roman" w:hAnsi="Times New Roman" w:eastAsia="宋体" w:cs="Times New Roman"/>
                      <w:i w:val="0"/>
                      <w:iCs w:val="0"/>
                      <w:color w:val="auto"/>
                      <w:kern w:val="2"/>
                      <w:sz w:val="21"/>
                      <w:szCs w:val="24"/>
                      <w:u w:val="none" w:color="auto"/>
                      <w:lang w:val="en-US" w:eastAsia="zh-CN" w:bidi="ar"/>
                    </w:rPr>
                    <w:t>噪声排放源Noise sources</w:t>
                  </w:r>
                </w:p>
              </w:tc>
              <w:tc>
                <w:tcPr>
                  <w:tcW w:w="2256" w:type="dxa"/>
                  <w:tcBorders>
                    <w:tl2br w:val="nil"/>
                    <w:tr2bl w:val="nil"/>
                  </w:tcBorders>
                  <w:shd w:val="clear" w:color="auto" w:fill="auto"/>
                  <w:noWrap/>
                  <w:vAlign w:val="center"/>
                </w:tcPr>
                <w:p w14:paraId="4AC6A8B4">
                  <w:pPr>
                    <w:widowControl/>
                    <w:wordWrap w:val="0"/>
                    <w:topLinePunct/>
                    <w:rPr>
                      <w:rFonts w:hint="default" w:ascii="Times New Roman" w:hAnsi="Times New Roman" w:eastAsia="宋体" w:cs="Times New Roman"/>
                      <w:i w:val="0"/>
                      <w:iCs w:val="0"/>
                      <w:color w:val="auto"/>
                      <w:sz w:val="21"/>
                      <w:szCs w:val="24"/>
                      <w:u w:val="none" w:color="auto"/>
                    </w:rPr>
                  </w:pPr>
                  <w:r>
                    <w:rPr>
                      <w:rFonts w:hint="default" w:ascii="Times New Roman" w:hAnsi="Times New Roman" w:eastAsia="宋体" w:cs="Times New Roman"/>
                      <w:i w:val="0"/>
                      <w:iCs w:val="0"/>
                      <w:color w:val="auto"/>
                      <w:kern w:val="2"/>
                      <w:sz w:val="21"/>
                      <w:szCs w:val="24"/>
                      <w:u w:val="none" w:color="auto"/>
                      <w:lang w:val="en-US" w:eastAsia="zh-CN" w:bidi="ar"/>
                    </w:rPr>
                    <w:t>提示有噪声排放</w:t>
                  </w:r>
                </w:p>
              </w:tc>
            </w:tr>
            <w:tr w14:paraId="296F079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70" w:hRule="atLeast"/>
              </w:trPr>
              <w:tc>
                <w:tcPr>
                  <w:tcW w:w="588" w:type="dxa"/>
                  <w:tcBorders>
                    <w:tl2br w:val="nil"/>
                    <w:tr2bl w:val="nil"/>
                  </w:tcBorders>
                  <w:shd w:val="clear" w:color="auto" w:fill="auto"/>
                  <w:noWrap/>
                  <w:vAlign w:val="center"/>
                </w:tcPr>
                <w:p w14:paraId="548C43A2">
                  <w:pPr>
                    <w:pStyle w:val="66"/>
                    <w:spacing w:line="240" w:lineRule="auto"/>
                    <w:jc w:val="center"/>
                    <w:rPr>
                      <w:rFonts w:hint="default" w:ascii="Times New Roman" w:hAnsi="Times New Roman" w:eastAsia="宋体" w:cs="Times New Roman"/>
                      <w:i w:val="0"/>
                      <w:iCs w:val="0"/>
                      <w:color w:val="auto"/>
                      <w:sz w:val="21"/>
                      <w:szCs w:val="21"/>
                      <w:u w:val="none" w:color="auto"/>
                    </w:rPr>
                  </w:pPr>
                  <w:r>
                    <w:rPr>
                      <w:rFonts w:hint="default" w:ascii="Times New Roman" w:hAnsi="Times New Roman" w:eastAsia="宋体" w:cs="Times New Roman"/>
                      <w:i w:val="0"/>
                      <w:iCs w:val="0"/>
                      <w:color w:val="auto"/>
                      <w:kern w:val="2"/>
                      <w:sz w:val="21"/>
                      <w:szCs w:val="21"/>
                      <w:u w:val="none" w:color="auto"/>
                      <w:lang w:val="en-US" w:eastAsia="zh-CN" w:bidi="ar"/>
                    </w:rPr>
                    <w:t>6</w:t>
                  </w:r>
                </w:p>
              </w:tc>
              <w:tc>
                <w:tcPr>
                  <w:tcW w:w="1770" w:type="dxa"/>
                  <w:tcBorders>
                    <w:tl2br w:val="nil"/>
                    <w:tr2bl w:val="nil"/>
                  </w:tcBorders>
                  <w:shd w:val="clear" w:color="auto" w:fill="auto"/>
                  <w:noWrap/>
                  <w:vAlign w:val="center"/>
                </w:tcPr>
                <w:p w14:paraId="1475647C">
                  <w:pPr>
                    <w:pStyle w:val="66"/>
                    <w:spacing w:line="240" w:lineRule="auto"/>
                    <w:jc w:val="center"/>
                    <w:rPr>
                      <w:rFonts w:hint="default" w:ascii="Times New Roman" w:hAnsi="Times New Roman" w:eastAsia="宋体" w:cs="Times New Roman"/>
                      <w:i w:val="0"/>
                      <w:iCs w:val="0"/>
                      <w:color w:val="auto"/>
                      <w:sz w:val="21"/>
                      <w:szCs w:val="21"/>
                      <w:u w:val="none" w:color="auto"/>
                    </w:rPr>
                  </w:pPr>
                  <w:r>
                    <w:drawing>
                      <wp:inline distT="0" distB="0" distL="114300" distR="114300">
                        <wp:extent cx="823595" cy="725170"/>
                        <wp:effectExtent l="0" t="0" r="14605" b="17780"/>
                        <wp:docPr id="4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4"/>
                                <pic:cNvPicPr>
                                  <a:picLocks noChangeAspect="1"/>
                                </pic:cNvPicPr>
                              </pic:nvPicPr>
                              <pic:blipFill>
                                <a:blip r:embed="rId18"/>
                                <a:stretch>
                                  <a:fillRect/>
                                </a:stretch>
                              </pic:blipFill>
                              <pic:spPr>
                                <a:xfrm>
                                  <a:off x="0" y="0"/>
                                  <a:ext cx="823595" cy="725170"/>
                                </a:xfrm>
                                <a:prstGeom prst="rect">
                                  <a:avLst/>
                                </a:prstGeom>
                                <a:noFill/>
                                <a:ln>
                                  <a:noFill/>
                                </a:ln>
                              </pic:spPr>
                            </pic:pic>
                          </a:graphicData>
                        </a:graphic>
                      </wp:inline>
                    </w:drawing>
                  </w:r>
                </w:p>
              </w:tc>
              <w:tc>
                <w:tcPr>
                  <w:tcW w:w="896" w:type="dxa"/>
                  <w:tcBorders>
                    <w:tl2br w:val="nil"/>
                    <w:tr2bl w:val="nil"/>
                  </w:tcBorders>
                  <w:shd w:val="clear" w:color="auto" w:fill="auto"/>
                  <w:noWrap/>
                  <w:vAlign w:val="center"/>
                </w:tcPr>
                <w:p w14:paraId="03FE32A4">
                  <w:pPr>
                    <w:widowControl/>
                    <w:wordWrap w:val="0"/>
                    <w:topLinePunct/>
                    <w:rPr>
                      <w:rFonts w:hint="default" w:ascii="Times New Roman" w:hAnsi="Times New Roman" w:eastAsia="宋体" w:cs="Times New Roman"/>
                      <w:i w:val="0"/>
                      <w:iCs w:val="0"/>
                      <w:color w:val="auto"/>
                      <w:sz w:val="21"/>
                      <w:szCs w:val="24"/>
                      <w:u w:val="none" w:color="auto"/>
                    </w:rPr>
                  </w:pPr>
                  <w:r>
                    <w:rPr>
                      <w:rFonts w:hint="default" w:ascii="Times New Roman" w:hAnsi="Times New Roman" w:eastAsia="宋体" w:cs="Times New Roman"/>
                      <w:i w:val="0"/>
                      <w:iCs w:val="0"/>
                      <w:color w:val="auto"/>
                      <w:kern w:val="2"/>
                      <w:sz w:val="21"/>
                      <w:szCs w:val="24"/>
                      <w:u w:val="none" w:color="auto"/>
                      <w:lang w:val="en-US" w:eastAsia="zh-CN" w:bidi="ar"/>
                    </w:rPr>
                    <w:t>警告标志</w:t>
                  </w:r>
                </w:p>
              </w:tc>
              <w:tc>
                <w:tcPr>
                  <w:tcW w:w="3684" w:type="dxa"/>
                  <w:tcBorders>
                    <w:tl2br w:val="nil"/>
                    <w:tr2bl w:val="nil"/>
                  </w:tcBorders>
                  <w:shd w:val="clear" w:color="auto" w:fill="auto"/>
                  <w:noWrap/>
                  <w:vAlign w:val="center"/>
                </w:tcPr>
                <w:p w14:paraId="240804A7">
                  <w:pPr>
                    <w:widowControl/>
                    <w:wordWrap w:val="0"/>
                    <w:topLinePunct/>
                    <w:rPr>
                      <w:rFonts w:hint="default" w:ascii="Times New Roman" w:hAnsi="Times New Roman" w:eastAsia="宋体" w:cs="Times New Roman"/>
                      <w:i w:val="0"/>
                      <w:iCs w:val="0"/>
                      <w:color w:val="auto"/>
                      <w:sz w:val="21"/>
                      <w:szCs w:val="24"/>
                      <w:u w:val="none" w:color="auto"/>
                    </w:rPr>
                  </w:pPr>
                  <w:r>
                    <w:rPr>
                      <w:rFonts w:hint="default" w:ascii="Times New Roman" w:hAnsi="Times New Roman" w:eastAsia="宋体" w:cs="Times New Roman"/>
                      <w:i w:val="0"/>
                      <w:iCs w:val="0"/>
                      <w:color w:val="auto"/>
                      <w:kern w:val="2"/>
                      <w:sz w:val="21"/>
                      <w:szCs w:val="24"/>
                      <w:u w:val="none" w:color="auto"/>
                      <w:lang w:val="en-US" w:eastAsia="zh-CN" w:bidi="ar"/>
                    </w:rPr>
                    <w:t>当心噪声排放源Waming noise sources</w:t>
                  </w:r>
                </w:p>
              </w:tc>
              <w:tc>
                <w:tcPr>
                  <w:tcW w:w="2256" w:type="dxa"/>
                  <w:tcBorders>
                    <w:tl2br w:val="nil"/>
                    <w:tr2bl w:val="nil"/>
                  </w:tcBorders>
                  <w:shd w:val="clear" w:color="auto" w:fill="auto"/>
                  <w:noWrap/>
                  <w:vAlign w:val="center"/>
                </w:tcPr>
                <w:p w14:paraId="6244DBCE">
                  <w:pPr>
                    <w:widowControl/>
                    <w:wordWrap w:val="0"/>
                    <w:topLinePunct/>
                    <w:rPr>
                      <w:rFonts w:hint="default" w:ascii="Times New Roman" w:hAnsi="Times New Roman" w:eastAsia="宋体" w:cs="Times New Roman"/>
                      <w:i w:val="0"/>
                      <w:iCs w:val="0"/>
                      <w:color w:val="auto"/>
                      <w:sz w:val="21"/>
                      <w:szCs w:val="24"/>
                      <w:u w:val="none" w:color="auto"/>
                    </w:rPr>
                  </w:pPr>
                  <w:r>
                    <w:rPr>
                      <w:rFonts w:hint="default" w:ascii="Times New Roman" w:hAnsi="Times New Roman" w:eastAsia="宋体" w:cs="Times New Roman"/>
                      <w:i w:val="0"/>
                      <w:iCs w:val="0"/>
                      <w:color w:val="auto"/>
                      <w:kern w:val="2"/>
                      <w:sz w:val="21"/>
                      <w:szCs w:val="24"/>
                      <w:u w:val="none" w:color="auto"/>
                      <w:lang w:val="en-US" w:eastAsia="zh-CN" w:bidi="ar"/>
                    </w:rPr>
                    <w:t>警告来自噪声排放源的危险</w:t>
                  </w:r>
                </w:p>
              </w:tc>
            </w:tr>
          </w:tbl>
          <w:p w14:paraId="254BFC81">
            <w:pPr>
              <w:widowControl/>
              <w:wordWrap w:val="0"/>
              <w:topLinePunct/>
              <w:jc w:val="both"/>
              <w:rPr>
                <w:rFonts w:hint="default" w:ascii="Times New Roman" w:hAnsi="Times New Roman" w:eastAsia="宋体" w:cs="Times New Roman"/>
                <w:color w:val="auto"/>
              </w:rPr>
            </w:pPr>
          </w:p>
        </w:tc>
      </w:tr>
    </w:tbl>
    <w:p w14:paraId="6F4D83A7">
      <w:pPr>
        <w:numPr>
          <w:ilvl w:val="0"/>
          <w:numId w:val="0"/>
        </w:numPr>
        <w:spacing w:line="360" w:lineRule="auto"/>
        <w:jc w:val="both"/>
        <w:outlineLvl w:val="0"/>
        <w:rPr>
          <w:rFonts w:hint="default" w:ascii="Times New Roman" w:hAnsi="Times New Roman" w:cs="Times New Roman"/>
          <w:b/>
          <w:bCs/>
          <w:color w:val="auto"/>
          <w:sz w:val="32"/>
          <w:szCs w:val="32"/>
          <w:u w:val="none"/>
        </w:rPr>
      </w:pPr>
    </w:p>
    <w:p w14:paraId="05C78368">
      <w:pPr>
        <w:widowControl w:val="0"/>
        <w:numPr>
          <w:ilvl w:val="0"/>
          <w:numId w:val="0"/>
        </w:numPr>
        <w:spacing w:line="360" w:lineRule="auto"/>
        <w:jc w:val="center"/>
        <w:outlineLvl w:val="0"/>
        <w:rPr>
          <w:rFonts w:hint="default" w:ascii="Times New Roman" w:hAnsi="Times New Roman" w:cs="Times New Roman"/>
          <w:b/>
          <w:bCs/>
          <w:color w:val="auto"/>
          <w:sz w:val="32"/>
          <w:szCs w:val="32"/>
          <w:u w:val="none"/>
        </w:rPr>
      </w:pPr>
    </w:p>
    <w:p w14:paraId="58E6AE24">
      <w:pPr>
        <w:rPr>
          <w:rFonts w:hint="default" w:ascii="Times New Roman" w:hAnsi="Times New Roman" w:cs="Times New Roman"/>
          <w:color w:val="auto"/>
          <w:u w:val="none"/>
        </w:rPr>
      </w:pPr>
    </w:p>
    <w:p w14:paraId="4188291B">
      <w:pPr>
        <w:pStyle w:val="34"/>
        <w:jc w:val="center"/>
        <w:outlineLvl w:val="0"/>
        <w:rPr>
          <w:rFonts w:hint="default" w:ascii="Times New Roman" w:hAnsi="Times New Roman" w:eastAsia="黑体" w:cs="Times New Roman"/>
          <w:snapToGrid w:val="0"/>
          <w:color w:val="auto"/>
          <w:sz w:val="30"/>
          <w:szCs w:val="30"/>
          <w:u w:val="none"/>
        </w:rPr>
      </w:pPr>
      <w:r>
        <w:rPr>
          <w:rFonts w:hint="default" w:ascii="Times New Roman" w:hAnsi="Times New Roman" w:cs="Times New Roman"/>
          <w:snapToGrid w:val="0"/>
          <w:color w:val="auto"/>
          <w:u w:val="none"/>
        </w:rPr>
        <w:br w:type="page"/>
      </w:r>
      <w:bookmarkStart w:id="26" w:name="_Toc17131"/>
      <w:bookmarkStart w:id="27" w:name="_Toc25071"/>
      <w:r>
        <w:rPr>
          <w:rFonts w:hint="default" w:ascii="Times New Roman" w:hAnsi="Times New Roman" w:cs="Times New Roman"/>
          <w:b/>
          <w:bCs/>
          <w:color w:val="auto"/>
          <w:kern w:val="2"/>
          <w:sz w:val="32"/>
          <w:szCs w:val="32"/>
          <w:u w:val="none"/>
        </w:rPr>
        <w:t>六、结论</w:t>
      </w:r>
      <w:bookmarkEnd w:id="26"/>
      <w:bookmarkEnd w:id="27"/>
    </w:p>
    <w:tbl>
      <w:tblPr>
        <w:tblStyle w:val="3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49610E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Pr>
          <w:p w14:paraId="331A9C19">
            <w:pPr>
              <w:autoSpaceDE w:val="0"/>
              <w:autoSpaceDN w:val="0"/>
              <w:adjustRightInd w:val="0"/>
              <w:snapToGrid w:val="0"/>
              <w:spacing w:line="360" w:lineRule="auto"/>
              <w:ind w:firstLine="480" w:firstLineChars="200"/>
              <w:rPr>
                <w:rFonts w:hint="default" w:ascii="Times New Roman" w:hAnsi="Times New Roman" w:cs="Times New Roman"/>
                <w:color w:val="auto"/>
                <w:kern w:val="0"/>
                <w:sz w:val="24"/>
                <w:u w:val="none"/>
              </w:rPr>
            </w:pPr>
            <w:r>
              <w:rPr>
                <w:rFonts w:hint="default" w:ascii="Times New Roman" w:hAnsi="Times New Roman" w:cs="Times New Roman"/>
                <w:color w:val="auto"/>
                <w:sz w:val="24"/>
                <w:u w:val="none"/>
              </w:rPr>
              <w:t>综上，本项目符合国家和地方产业政策，符合</w:t>
            </w:r>
            <w:r>
              <w:rPr>
                <w:rFonts w:hint="default" w:ascii="Times New Roman" w:hAnsi="Times New Roman" w:cs="Times New Roman"/>
                <w:color w:val="auto"/>
                <w:sz w:val="24"/>
                <w:u w:val="none"/>
                <w:lang w:eastAsia="zh-CN"/>
              </w:rPr>
              <w:t>生态环境管控</w:t>
            </w:r>
            <w:r>
              <w:rPr>
                <w:rFonts w:hint="default" w:ascii="Times New Roman" w:hAnsi="Times New Roman" w:cs="Times New Roman"/>
                <w:color w:val="auto"/>
                <w:sz w:val="24"/>
                <w:u w:val="none"/>
              </w:rPr>
              <w:t>要求。本项目性质与环境功能区划相符，符合规划布局要求，选址合理可行。本项目所在区域水、气、声环境质量现状良好，因此本项目应认真执行环保“三同时”管理规定，把对环境的影响控制在最低限度。在切实落实本评价提出的各项有关环保措施，并确保各种治理设施正常运转的前提下，本项目对周围环境质量的影响不大，对周边环境敏感点影响较小，故本项目的选址及建设从环境保护角度分析是可行的。</w:t>
            </w:r>
          </w:p>
          <w:p w14:paraId="3A198E89">
            <w:pPr>
              <w:spacing w:line="360" w:lineRule="auto"/>
              <w:rPr>
                <w:rFonts w:hint="default" w:ascii="Times New Roman" w:hAnsi="Times New Roman" w:cs="Times New Roman"/>
                <w:color w:val="auto"/>
                <w:sz w:val="24"/>
                <w:u w:val="none"/>
              </w:rPr>
            </w:pPr>
          </w:p>
        </w:tc>
      </w:tr>
    </w:tbl>
    <w:p w14:paraId="635A0867">
      <w:pPr>
        <w:rPr>
          <w:rFonts w:hint="default" w:ascii="Times New Roman" w:hAnsi="Times New Roman" w:cs="Times New Roman"/>
          <w:color w:val="auto"/>
          <w:u w:val="none"/>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4DBAA0FF">
      <w:pPr>
        <w:pStyle w:val="34"/>
        <w:adjustRightInd w:val="0"/>
        <w:snapToGrid w:val="0"/>
        <w:spacing w:before="0" w:beforeAutospacing="0" w:after="0" w:afterAutospacing="0"/>
        <w:outlineLvl w:val="0"/>
        <w:rPr>
          <w:rFonts w:hint="default" w:ascii="Times New Roman" w:hAnsi="Times New Roman" w:eastAsia="黑体" w:cs="Times New Roman"/>
          <w:snapToGrid w:val="0"/>
          <w:color w:val="auto"/>
          <w:sz w:val="32"/>
          <w:szCs w:val="32"/>
          <w:u w:val="none"/>
        </w:rPr>
      </w:pPr>
      <w:bookmarkStart w:id="28" w:name="_Toc17587"/>
      <w:bookmarkStart w:id="29" w:name="_Toc28633"/>
      <w:r>
        <w:rPr>
          <w:rFonts w:hint="default" w:ascii="Times New Roman" w:hAnsi="Times New Roman" w:eastAsia="黑体" w:cs="Times New Roman"/>
          <w:snapToGrid w:val="0"/>
          <w:color w:val="auto"/>
          <w:sz w:val="32"/>
          <w:szCs w:val="32"/>
          <w:u w:val="none"/>
        </w:rPr>
        <w:t>附表</w:t>
      </w:r>
      <w:bookmarkEnd w:id="28"/>
      <w:bookmarkEnd w:id="29"/>
    </w:p>
    <w:p w14:paraId="4CF03126">
      <w:pPr>
        <w:pStyle w:val="34"/>
        <w:adjustRightInd w:val="0"/>
        <w:snapToGrid w:val="0"/>
        <w:spacing w:before="0" w:beforeAutospacing="0" w:after="0" w:afterAutospacing="0"/>
        <w:jc w:val="center"/>
        <w:outlineLvl w:val="1"/>
        <w:rPr>
          <w:rFonts w:hint="default" w:ascii="Times New Roman" w:hAnsi="Times New Roman" w:eastAsia="方正小标宋_GBK" w:cs="Times New Roman"/>
          <w:snapToGrid w:val="0"/>
          <w:color w:val="auto"/>
          <w:sz w:val="38"/>
          <w:szCs w:val="38"/>
          <w:u w:val="none"/>
        </w:rPr>
      </w:pPr>
      <w:bookmarkStart w:id="30" w:name="_Toc20113"/>
      <w:bookmarkStart w:id="31" w:name="_Toc7051"/>
      <w:r>
        <w:rPr>
          <w:rFonts w:hint="default" w:ascii="Times New Roman" w:hAnsi="Times New Roman" w:eastAsia="方正小标宋_GBK" w:cs="Times New Roman"/>
          <w:snapToGrid w:val="0"/>
          <w:color w:val="auto"/>
          <w:sz w:val="38"/>
          <w:szCs w:val="38"/>
          <w:u w:val="none"/>
        </w:rPr>
        <w:t xml:space="preserve"> 建设项目污染物排放量汇总表</w:t>
      </w:r>
      <w:bookmarkEnd w:id="30"/>
      <w:bookmarkEnd w:id="31"/>
    </w:p>
    <w:tbl>
      <w:tblPr>
        <w:tblStyle w:val="38"/>
        <w:tblW w:w="1321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05"/>
        <w:gridCol w:w="1556"/>
        <w:gridCol w:w="1741"/>
        <w:gridCol w:w="1194"/>
        <w:gridCol w:w="1592"/>
        <w:gridCol w:w="1458"/>
        <w:gridCol w:w="1646"/>
        <w:gridCol w:w="1437"/>
        <w:gridCol w:w="1481"/>
      </w:tblGrid>
      <w:tr w14:paraId="5894C7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82" w:hRule="atLeast"/>
        </w:trPr>
        <w:tc>
          <w:tcPr>
            <w:tcW w:w="1105" w:type="dxa"/>
            <w:tcBorders>
              <w:tl2br w:val="single" w:color="auto" w:sz="4" w:space="0"/>
            </w:tcBorders>
            <w:tcMar>
              <w:left w:w="28" w:type="dxa"/>
              <w:right w:w="28" w:type="dxa"/>
            </w:tcMar>
            <w:vAlign w:val="center"/>
          </w:tcPr>
          <w:p w14:paraId="4DE2A82A">
            <w:pPr>
              <w:pStyle w:val="66"/>
              <w:spacing w:beforeLines="0" w:afterLines="0" w:line="240" w:lineRule="auto"/>
              <w:jc w:val="right"/>
              <w:rPr>
                <w:rFonts w:hint="default" w:ascii="Times New Roman" w:hAnsi="Times New Roman" w:eastAsia="宋体" w:cs="Times New Roman"/>
                <w:snapToGrid w:val="0"/>
                <w:color w:val="auto"/>
                <w:spacing w:val="-6"/>
                <w:kern w:val="21"/>
                <w:szCs w:val="21"/>
                <w:u w:val="none"/>
              </w:rPr>
            </w:pPr>
            <w:r>
              <w:rPr>
                <w:rFonts w:hint="default" w:ascii="Times New Roman" w:hAnsi="Times New Roman" w:eastAsia="宋体" w:cs="Times New Roman"/>
                <w:snapToGrid w:val="0"/>
                <w:color w:val="auto"/>
                <w:spacing w:val="-6"/>
                <w:kern w:val="21"/>
                <w:szCs w:val="21"/>
                <w:u w:val="none"/>
              </w:rPr>
              <w:t>项目</w:t>
            </w:r>
          </w:p>
          <w:p w14:paraId="11D91358">
            <w:pPr>
              <w:pStyle w:val="66"/>
              <w:spacing w:beforeLines="0" w:afterLines="0" w:line="240" w:lineRule="auto"/>
              <w:jc w:val="left"/>
              <w:rPr>
                <w:rFonts w:hint="default" w:ascii="Times New Roman" w:hAnsi="Times New Roman" w:eastAsia="宋体" w:cs="Times New Roman"/>
                <w:snapToGrid w:val="0"/>
                <w:color w:val="auto"/>
                <w:spacing w:val="-6"/>
                <w:kern w:val="21"/>
                <w:szCs w:val="21"/>
                <w:u w:val="none"/>
              </w:rPr>
            </w:pPr>
            <w:r>
              <w:rPr>
                <w:rFonts w:hint="default" w:ascii="Times New Roman" w:hAnsi="Times New Roman" w:eastAsia="宋体" w:cs="Times New Roman"/>
                <w:snapToGrid w:val="0"/>
                <w:color w:val="auto"/>
                <w:spacing w:val="-6"/>
                <w:kern w:val="21"/>
                <w:szCs w:val="21"/>
                <w:u w:val="none"/>
              </w:rPr>
              <w:t>分类</w:t>
            </w:r>
          </w:p>
        </w:tc>
        <w:tc>
          <w:tcPr>
            <w:tcW w:w="1556" w:type="dxa"/>
            <w:tcMar>
              <w:left w:w="28" w:type="dxa"/>
              <w:right w:w="28" w:type="dxa"/>
            </w:tcMar>
            <w:vAlign w:val="center"/>
          </w:tcPr>
          <w:p w14:paraId="7F171F82">
            <w:pPr>
              <w:pStyle w:val="66"/>
              <w:spacing w:beforeLines="0" w:afterLines="0" w:line="240" w:lineRule="auto"/>
              <w:rPr>
                <w:rFonts w:hint="default" w:ascii="Times New Roman" w:hAnsi="Times New Roman" w:eastAsia="宋体" w:cs="Times New Roman"/>
                <w:snapToGrid w:val="0"/>
                <w:color w:val="auto"/>
                <w:spacing w:val="-6"/>
                <w:kern w:val="21"/>
                <w:szCs w:val="21"/>
                <w:u w:val="none"/>
              </w:rPr>
            </w:pPr>
            <w:r>
              <w:rPr>
                <w:rFonts w:hint="default" w:ascii="Times New Roman" w:hAnsi="Times New Roman" w:eastAsia="宋体" w:cs="Times New Roman"/>
                <w:snapToGrid w:val="0"/>
                <w:color w:val="auto"/>
                <w:spacing w:val="-6"/>
                <w:kern w:val="21"/>
                <w:szCs w:val="21"/>
                <w:u w:val="none"/>
              </w:rPr>
              <w:t>污染物名称</w:t>
            </w:r>
          </w:p>
        </w:tc>
        <w:tc>
          <w:tcPr>
            <w:tcW w:w="1741" w:type="dxa"/>
            <w:tcMar>
              <w:left w:w="28" w:type="dxa"/>
              <w:right w:w="28" w:type="dxa"/>
            </w:tcMar>
            <w:vAlign w:val="center"/>
          </w:tcPr>
          <w:p w14:paraId="71C032C9">
            <w:pPr>
              <w:pStyle w:val="66"/>
              <w:spacing w:beforeLines="0" w:afterLines="0" w:line="240" w:lineRule="auto"/>
              <w:rPr>
                <w:rFonts w:hint="default" w:ascii="Times New Roman" w:hAnsi="Times New Roman" w:eastAsia="宋体" w:cs="Times New Roman"/>
                <w:snapToGrid w:val="0"/>
                <w:color w:val="auto"/>
                <w:spacing w:val="-6"/>
                <w:kern w:val="21"/>
                <w:szCs w:val="21"/>
                <w:u w:val="none"/>
              </w:rPr>
            </w:pPr>
            <w:r>
              <w:rPr>
                <w:rFonts w:hint="default" w:ascii="Times New Roman" w:hAnsi="Times New Roman" w:eastAsia="宋体" w:cs="Times New Roman"/>
                <w:snapToGrid w:val="0"/>
                <w:color w:val="auto"/>
                <w:spacing w:val="-6"/>
                <w:kern w:val="21"/>
                <w:szCs w:val="21"/>
                <w:u w:val="none"/>
              </w:rPr>
              <w:t>现有工程</w:t>
            </w:r>
          </w:p>
          <w:p w14:paraId="2ABF67AF">
            <w:pPr>
              <w:pStyle w:val="66"/>
              <w:spacing w:beforeLines="0" w:afterLines="0" w:line="240" w:lineRule="auto"/>
              <w:rPr>
                <w:rFonts w:hint="default" w:ascii="Times New Roman" w:hAnsi="Times New Roman" w:eastAsia="宋体" w:cs="Times New Roman"/>
                <w:snapToGrid w:val="0"/>
                <w:color w:val="auto"/>
                <w:spacing w:val="-6"/>
                <w:kern w:val="21"/>
                <w:szCs w:val="21"/>
                <w:u w:val="none"/>
              </w:rPr>
            </w:pPr>
            <w:r>
              <w:rPr>
                <w:rFonts w:hint="default" w:ascii="Times New Roman" w:hAnsi="Times New Roman" w:eastAsia="宋体" w:cs="Times New Roman"/>
                <w:snapToGrid w:val="0"/>
                <w:color w:val="auto"/>
                <w:spacing w:val="-6"/>
                <w:kern w:val="21"/>
                <w:szCs w:val="21"/>
                <w:u w:val="none"/>
              </w:rPr>
              <w:t>排放量（固体废物产生量）</w:t>
            </w:r>
            <w:r>
              <w:rPr>
                <w:rFonts w:hint="default" w:ascii="Times New Roman" w:hAnsi="Times New Roman" w:eastAsia="宋体" w:cs="Times New Roman"/>
                <w:snapToGrid w:val="0"/>
                <w:color w:val="auto"/>
                <w:spacing w:val="-6"/>
                <w:kern w:val="21"/>
                <w:szCs w:val="21"/>
                <w:u w:val="none"/>
              </w:rPr>
              <w:fldChar w:fldCharType="begin"/>
            </w:r>
            <w:r>
              <w:rPr>
                <w:rFonts w:hint="default" w:ascii="Times New Roman" w:hAnsi="Times New Roman" w:eastAsia="宋体" w:cs="Times New Roman"/>
                <w:snapToGrid w:val="0"/>
                <w:color w:val="auto"/>
                <w:spacing w:val="-6"/>
                <w:kern w:val="21"/>
                <w:szCs w:val="21"/>
                <w:u w:val="none"/>
              </w:rPr>
              <w:instrText xml:space="preserve"> = 1 \* GB3 \* MERGEFORMAT </w:instrText>
            </w:r>
            <w:r>
              <w:rPr>
                <w:rFonts w:hint="default" w:ascii="Times New Roman" w:hAnsi="Times New Roman" w:eastAsia="宋体" w:cs="Times New Roman"/>
                <w:snapToGrid w:val="0"/>
                <w:color w:val="auto"/>
                <w:spacing w:val="-6"/>
                <w:kern w:val="21"/>
                <w:szCs w:val="21"/>
                <w:u w:val="none"/>
              </w:rPr>
              <w:fldChar w:fldCharType="separate"/>
            </w:r>
            <w:r>
              <w:rPr>
                <w:rFonts w:hint="default" w:ascii="Times New Roman" w:hAnsi="Times New Roman" w:eastAsia="宋体" w:cs="Times New Roman"/>
                <w:color w:val="auto"/>
                <w:kern w:val="2"/>
                <w:szCs w:val="21"/>
                <w:u w:val="none"/>
              </w:rPr>
              <w:t>①</w:t>
            </w:r>
            <w:r>
              <w:rPr>
                <w:rFonts w:hint="default" w:ascii="Times New Roman" w:hAnsi="Times New Roman" w:eastAsia="宋体" w:cs="Times New Roman"/>
                <w:snapToGrid w:val="0"/>
                <w:color w:val="auto"/>
                <w:spacing w:val="-6"/>
                <w:kern w:val="21"/>
                <w:szCs w:val="21"/>
                <w:u w:val="none"/>
              </w:rPr>
              <w:fldChar w:fldCharType="end"/>
            </w:r>
          </w:p>
        </w:tc>
        <w:tc>
          <w:tcPr>
            <w:tcW w:w="1194" w:type="dxa"/>
            <w:tcMar>
              <w:left w:w="28" w:type="dxa"/>
              <w:right w:w="28" w:type="dxa"/>
            </w:tcMar>
            <w:vAlign w:val="center"/>
          </w:tcPr>
          <w:p w14:paraId="7EB334E6">
            <w:pPr>
              <w:pStyle w:val="66"/>
              <w:spacing w:beforeLines="0" w:afterLines="0" w:line="240" w:lineRule="auto"/>
              <w:rPr>
                <w:rFonts w:hint="default" w:ascii="Times New Roman" w:hAnsi="Times New Roman" w:eastAsia="宋体" w:cs="Times New Roman"/>
                <w:snapToGrid w:val="0"/>
                <w:color w:val="auto"/>
                <w:spacing w:val="-6"/>
                <w:kern w:val="21"/>
                <w:szCs w:val="21"/>
                <w:u w:val="none"/>
              </w:rPr>
            </w:pPr>
            <w:r>
              <w:rPr>
                <w:rFonts w:hint="default" w:ascii="Times New Roman" w:hAnsi="Times New Roman" w:eastAsia="宋体" w:cs="Times New Roman"/>
                <w:snapToGrid w:val="0"/>
                <w:color w:val="auto"/>
                <w:spacing w:val="-6"/>
                <w:kern w:val="21"/>
                <w:szCs w:val="21"/>
                <w:u w:val="none"/>
              </w:rPr>
              <w:t>现有工程</w:t>
            </w:r>
          </w:p>
          <w:p w14:paraId="326277EA">
            <w:pPr>
              <w:pStyle w:val="66"/>
              <w:spacing w:beforeLines="0" w:afterLines="0" w:line="240" w:lineRule="auto"/>
              <w:rPr>
                <w:rFonts w:hint="default" w:ascii="Times New Roman" w:hAnsi="Times New Roman" w:eastAsia="宋体" w:cs="Times New Roman"/>
                <w:snapToGrid w:val="0"/>
                <w:color w:val="auto"/>
                <w:spacing w:val="-6"/>
                <w:kern w:val="21"/>
                <w:szCs w:val="21"/>
                <w:u w:val="none"/>
              </w:rPr>
            </w:pPr>
            <w:r>
              <w:rPr>
                <w:rFonts w:hint="default" w:ascii="Times New Roman" w:hAnsi="Times New Roman" w:eastAsia="宋体" w:cs="Times New Roman"/>
                <w:snapToGrid w:val="0"/>
                <w:color w:val="auto"/>
                <w:spacing w:val="-6"/>
                <w:kern w:val="21"/>
                <w:szCs w:val="21"/>
                <w:u w:val="none"/>
              </w:rPr>
              <w:t>许可排放量</w:t>
            </w:r>
          </w:p>
          <w:p w14:paraId="05192297">
            <w:pPr>
              <w:pStyle w:val="66"/>
              <w:spacing w:beforeLines="0" w:afterLines="0"/>
              <w:rPr>
                <w:rFonts w:hint="default" w:ascii="Times New Roman" w:hAnsi="Times New Roman" w:eastAsia="宋体" w:cs="Times New Roman"/>
                <w:snapToGrid w:val="0"/>
                <w:color w:val="auto"/>
                <w:spacing w:val="-6"/>
                <w:kern w:val="21"/>
                <w:szCs w:val="21"/>
                <w:u w:val="none"/>
              </w:rPr>
            </w:pPr>
            <w:r>
              <w:rPr>
                <w:rFonts w:hint="default" w:ascii="Times New Roman" w:hAnsi="Times New Roman" w:eastAsia="宋体" w:cs="Times New Roman"/>
                <w:snapToGrid w:val="0"/>
                <w:color w:val="auto"/>
                <w:spacing w:val="-6"/>
                <w:kern w:val="21"/>
                <w:szCs w:val="21"/>
                <w:u w:val="none"/>
              </w:rPr>
              <w:fldChar w:fldCharType="begin"/>
            </w:r>
            <w:r>
              <w:rPr>
                <w:rFonts w:hint="default" w:ascii="Times New Roman" w:hAnsi="Times New Roman" w:eastAsia="宋体" w:cs="Times New Roman"/>
                <w:snapToGrid w:val="0"/>
                <w:color w:val="auto"/>
                <w:spacing w:val="-6"/>
                <w:kern w:val="21"/>
                <w:szCs w:val="21"/>
                <w:u w:val="none"/>
              </w:rPr>
              <w:instrText xml:space="preserve"> = 2 \* GB3 \* MERGEFORMAT </w:instrText>
            </w:r>
            <w:r>
              <w:rPr>
                <w:rFonts w:hint="default" w:ascii="Times New Roman" w:hAnsi="Times New Roman" w:eastAsia="宋体" w:cs="Times New Roman"/>
                <w:snapToGrid w:val="0"/>
                <w:color w:val="auto"/>
                <w:spacing w:val="-6"/>
                <w:kern w:val="21"/>
                <w:szCs w:val="21"/>
                <w:u w:val="none"/>
              </w:rPr>
              <w:fldChar w:fldCharType="separate"/>
            </w:r>
            <w:r>
              <w:rPr>
                <w:rFonts w:hint="default" w:ascii="Times New Roman" w:hAnsi="Times New Roman" w:eastAsia="宋体" w:cs="Times New Roman"/>
                <w:snapToGrid w:val="0"/>
                <w:color w:val="auto"/>
                <w:spacing w:val="-6"/>
                <w:kern w:val="21"/>
                <w:szCs w:val="21"/>
                <w:u w:val="none"/>
              </w:rPr>
              <w:t>②</w:t>
            </w:r>
            <w:r>
              <w:rPr>
                <w:rFonts w:hint="default" w:ascii="Times New Roman" w:hAnsi="Times New Roman" w:eastAsia="宋体" w:cs="Times New Roman"/>
                <w:snapToGrid w:val="0"/>
                <w:color w:val="auto"/>
                <w:spacing w:val="-6"/>
                <w:kern w:val="21"/>
                <w:szCs w:val="21"/>
                <w:u w:val="none"/>
              </w:rPr>
              <w:fldChar w:fldCharType="end"/>
            </w:r>
          </w:p>
        </w:tc>
        <w:tc>
          <w:tcPr>
            <w:tcW w:w="1592" w:type="dxa"/>
            <w:tcMar>
              <w:left w:w="28" w:type="dxa"/>
              <w:right w:w="28" w:type="dxa"/>
            </w:tcMar>
            <w:vAlign w:val="center"/>
          </w:tcPr>
          <w:p w14:paraId="55D10A66">
            <w:pPr>
              <w:pStyle w:val="66"/>
              <w:spacing w:beforeLines="0" w:afterLines="0" w:line="240" w:lineRule="auto"/>
              <w:rPr>
                <w:rFonts w:hint="default" w:ascii="Times New Roman" w:hAnsi="Times New Roman" w:eastAsia="宋体" w:cs="Times New Roman"/>
                <w:snapToGrid w:val="0"/>
                <w:color w:val="auto"/>
                <w:spacing w:val="-6"/>
                <w:kern w:val="21"/>
                <w:szCs w:val="21"/>
                <w:u w:val="none"/>
              </w:rPr>
            </w:pPr>
            <w:r>
              <w:rPr>
                <w:rFonts w:hint="default" w:ascii="Times New Roman" w:hAnsi="Times New Roman" w:eastAsia="宋体" w:cs="Times New Roman"/>
                <w:snapToGrid w:val="0"/>
                <w:color w:val="auto"/>
                <w:spacing w:val="-6"/>
                <w:kern w:val="21"/>
                <w:szCs w:val="21"/>
                <w:u w:val="none"/>
              </w:rPr>
              <w:t>在建工程</w:t>
            </w:r>
          </w:p>
          <w:p w14:paraId="2B318632">
            <w:pPr>
              <w:pStyle w:val="66"/>
              <w:spacing w:beforeLines="0" w:afterLines="0" w:line="240" w:lineRule="auto"/>
              <w:rPr>
                <w:rFonts w:hint="default" w:ascii="Times New Roman" w:hAnsi="Times New Roman" w:eastAsia="宋体" w:cs="Times New Roman"/>
                <w:snapToGrid w:val="0"/>
                <w:color w:val="auto"/>
                <w:spacing w:val="-6"/>
                <w:kern w:val="21"/>
                <w:szCs w:val="21"/>
                <w:u w:val="none"/>
              </w:rPr>
            </w:pPr>
            <w:r>
              <w:rPr>
                <w:rFonts w:hint="default" w:ascii="Times New Roman" w:hAnsi="Times New Roman" w:eastAsia="宋体" w:cs="Times New Roman"/>
                <w:snapToGrid w:val="0"/>
                <w:color w:val="auto"/>
                <w:spacing w:val="-6"/>
                <w:kern w:val="21"/>
                <w:szCs w:val="21"/>
                <w:u w:val="none"/>
              </w:rPr>
              <w:t>排放量（固体废物产生量）</w:t>
            </w:r>
            <w:r>
              <w:rPr>
                <w:rFonts w:hint="default" w:ascii="Times New Roman" w:hAnsi="Times New Roman" w:eastAsia="宋体" w:cs="Times New Roman"/>
                <w:snapToGrid w:val="0"/>
                <w:color w:val="auto"/>
                <w:spacing w:val="-6"/>
                <w:kern w:val="21"/>
                <w:szCs w:val="21"/>
                <w:u w:val="none"/>
              </w:rPr>
              <w:fldChar w:fldCharType="begin"/>
            </w:r>
            <w:r>
              <w:rPr>
                <w:rFonts w:hint="default" w:ascii="Times New Roman" w:hAnsi="Times New Roman" w:eastAsia="宋体" w:cs="Times New Roman"/>
                <w:snapToGrid w:val="0"/>
                <w:color w:val="auto"/>
                <w:spacing w:val="-6"/>
                <w:kern w:val="21"/>
                <w:szCs w:val="21"/>
                <w:u w:val="none"/>
              </w:rPr>
              <w:instrText xml:space="preserve"> = 3 \* GB3 \* MERGEFORMAT </w:instrText>
            </w:r>
            <w:r>
              <w:rPr>
                <w:rFonts w:hint="default" w:ascii="Times New Roman" w:hAnsi="Times New Roman" w:eastAsia="宋体" w:cs="Times New Roman"/>
                <w:snapToGrid w:val="0"/>
                <w:color w:val="auto"/>
                <w:spacing w:val="-6"/>
                <w:kern w:val="21"/>
                <w:szCs w:val="21"/>
                <w:u w:val="none"/>
              </w:rPr>
              <w:fldChar w:fldCharType="separate"/>
            </w:r>
            <w:r>
              <w:rPr>
                <w:rFonts w:hint="default" w:ascii="Times New Roman" w:hAnsi="Times New Roman" w:eastAsia="宋体" w:cs="Times New Roman"/>
                <w:color w:val="auto"/>
                <w:kern w:val="2"/>
                <w:szCs w:val="21"/>
                <w:u w:val="none"/>
              </w:rPr>
              <w:t>③</w:t>
            </w:r>
            <w:r>
              <w:rPr>
                <w:rFonts w:hint="default" w:ascii="Times New Roman" w:hAnsi="Times New Roman" w:eastAsia="宋体" w:cs="Times New Roman"/>
                <w:snapToGrid w:val="0"/>
                <w:color w:val="auto"/>
                <w:spacing w:val="-6"/>
                <w:kern w:val="21"/>
                <w:szCs w:val="21"/>
                <w:u w:val="none"/>
              </w:rPr>
              <w:fldChar w:fldCharType="end"/>
            </w:r>
          </w:p>
        </w:tc>
        <w:tc>
          <w:tcPr>
            <w:tcW w:w="1458" w:type="dxa"/>
            <w:tcMar>
              <w:left w:w="28" w:type="dxa"/>
              <w:right w:w="28" w:type="dxa"/>
            </w:tcMar>
            <w:vAlign w:val="center"/>
          </w:tcPr>
          <w:p w14:paraId="27A5AEFB">
            <w:pPr>
              <w:pStyle w:val="66"/>
              <w:spacing w:beforeLines="0" w:afterLines="0" w:line="240" w:lineRule="auto"/>
              <w:rPr>
                <w:rFonts w:hint="default" w:ascii="Times New Roman" w:hAnsi="Times New Roman" w:eastAsia="宋体" w:cs="Times New Roman"/>
                <w:snapToGrid w:val="0"/>
                <w:color w:val="auto"/>
                <w:spacing w:val="-6"/>
                <w:kern w:val="21"/>
                <w:szCs w:val="21"/>
                <w:u w:val="none"/>
              </w:rPr>
            </w:pPr>
            <w:r>
              <w:rPr>
                <w:rFonts w:hint="default" w:ascii="Times New Roman" w:hAnsi="Times New Roman" w:eastAsia="宋体" w:cs="Times New Roman"/>
                <w:snapToGrid w:val="0"/>
                <w:color w:val="auto"/>
                <w:spacing w:val="-6"/>
                <w:kern w:val="21"/>
                <w:szCs w:val="21"/>
                <w:u w:val="none"/>
              </w:rPr>
              <w:t>本项目</w:t>
            </w:r>
          </w:p>
          <w:p w14:paraId="39C5DDA9">
            <w:pPr>
              <w:pStyle w:val="66"/>
              <w:spacing w:beforeLines="0" w:afterLines="0" w:line="240" w:lineRule="auto"/>
              <w:rPr>
                <w:rFonts w:hint="default" w:ascii="Times New Roman" w:hAnsi="Times New Roman" w:eastAsia="宋体" w:cs="Times New Roman"/>
                <w:snapToGrid w:val="0"/>
                <w:color w:val="auto"/>
                <w:spacing w:val="-6"/>
                <w:kern w:val="21"/>
                <w:szCs w:val="21"/>
                <w:u w:val="none"/>
              </w:rPr>
            </w:pPr>
            <w:r>
              <w:rPr>
                <w:rFonts w:hint="default" w:ascii="Times New Roman" w:hAnsi="Times New Roman" w:eastAsia="宋体" w:cs="Times New Roman"/>
                <w:snapToGrid w:val="0"/>
                <w:color w:val="auto"/>
                <w:spacing w:val="-6"/>
                <w:kern w:val="21"/>
                <w:szCs w:val="21"/>
                <w:u w:val="none"/>
              </w:rPr>
              <w:t>排放量（固体废物产生量）</w:t>
            </w:r>
            <w:r>
              <w:rPr>
                <w:rFonts w:hint="default" w:ascii="Times New Roman" w:hAnsi="Times New Roman" w:eastAsia="宋体" w:cs="Times New Roman"/>
                <w:snapToGrid w:val="0"/>
                <w:color w:val="auto"/>
                <w:spacing w:val="-6"/>
                <w:kern w:val="21"/>
                <w:szCs w:val="21"/>
                <w:u w:val="none"/>
              </w:rPr>
              <w:fldChar w:fldCharType="begin"/>
            </w:r>
            <w:r>
              <w:rPr>
                <w:rFonts w:hint="default" w:ascii="Times New Roman" w:hAnsi="Times New Roman" w:eastAsia="宋体" w:cs="Times New Roman"/>
                <w:snapToGrid w:val="0"/>
                <w:color w:val="auto"/>
                <w:spacing w:val="-6"/>
                <w:kern w:val="21"/>
                <w:szCs w:val="21"/>
                <w:u w:val="none"/>
              </w:rPr>
              <w:instrText xml:space="preserve"> = 4 \* GB3 \* MERGEFORMAT </w:instrText>
            </w:r>
            <w:r>
              <w:rPr>
                <w:rFonts w:hint="default" w:ascii="Times New Roman" w:hAnsi="Times New Roman" w:eastAsia="宋体" w:cs="Times New Roman"/>
                <w:snapToGrid w:val="0"/>
                <w:color w:val="auto"/>
                <w:spacing w:val="-6"/>
                <w:kern w:val="21"/>
                <w:szCs w:val="21"/>
                <w:u w:val="none"/>
              </w:rPr>
              <w:fldChar w:fldCharType="separate"/>
            </w:r>
            <w:r>
              <w:rPr>
                <w:rFonts w:hint="default" w:ascii="Times New Roman" w:hAnsi="Times New Roman" w:eastAsia="宋体" w:cs="Times New Roman"/>
                <w:color w:val="auto"/>
                <w:kern w:val="2"/>
                <w:szCs w:val="21"/>
                <w:u w:val="none"/>
              </w:rPr>
              <w:t>④</w:t>
            </w:r>
            <w:r>
              <w:rPr>
                <w:rFonts w:hint="default" w:ascii="Times New Roman" w:hAnsi="Times New Roman" w:eastAsia="宋体" w:cs="Times New Roman"/>
                <w:snapToGrid w:val="0"/>
                <w:color w:val="auto"/>
                <w:spacing w:val="-6"/>
                <w:kern w:val="21"/>
                <w:szCs w:val="21"/>
                <w:u w:val="none"/>
              </w:rPr>
              <w:fldChar w:fldCharType="end"/>
            </w:r>
          </w:p>
        </w:tc>
        <w:tc>
          <w:tcPr>
            <w:tcW w:w="1646" w:type="dxa"/>
            <w:tcMar>
              <w:left w:w="28" w:type="dxa"/>
              <w:right w:w="28" w:type="dxa"/>
            </w:tcMar>
            <w:vAlign w:val="center"/>
          </w:tcPr>
          <w:p w14:paraId="2DE258DA">
            <w:pPr>
              <w:pStyle w:val="66"/>
              <w:spacing w:beforeLines="0" w:afterLines="0" w:line="240" w:lineRule="auto"/>
              <w:rPr>
                <w:rFonts w:hint="default" w:ascii="Times New Roman" w:hAnsi="Times New Roman" w:eastAsia="宋体" w:cs="Times New Roman"/>
                <w:snapToGrid w:val="0"/>
                <w:color w:val="auto"/>
                <w:spacing w:val="-16"/>
                <w:kern w:val="21"/>
                <w:szCs w:val="21"/>
                <w:u w:val="none"/>
              </w:rPr>
            </w:pPr>
            <w:r>
              <w:rPr>
                <w:rFonts w:hint="default" w:ascii="Times New Roman" w:hAnsi="Times New Roman" w:eastAsia="宋体" w:cs="Times New Roman"/>
                <w:snapToGrid w:val="0"/>
                <w:color w:val="auto"/>
                <w:spacing w:val="-16"/>
                <w:kern w:val="21"/>
                <w:szCs w:val="21"/>
                <w:u w:val="none"/>
              </w:rPr>
              <w:t>以新带老削减量</w:t>
            </w:r>
          </w:p>
          <w:p w14:paraId="314393C1">
            <w:pPr>
              <w:pStyle w:val="66"/>
              <w:spacing w:beforeLines="0" w:afterLines="0" w:line="240" w:lineRule="auto"/>
              <w:rPr>
                <w:rFonts w:hint="default" w:ascii="Times New Roman" w:hAnsi="Times New Roman" w:eastAsia="宋体" w:cs="Times New Roman"/>
                <w:snapToGrid w:val="0"/>
                <w:color w:val="auto"/>
                <w:spacing w:val="-16"/>
                <w:kern w:val="21"/>
                <w:szCs w:val="21"/>
                <w:u w:val="none"/>
              </w:rPr>
            </w:pPr>
            <w:r>
              <w:rPr>
                <w:rFonts w:hint="default" w:ascii="Times New Roman" w:hAnsi="Times New Roman" w:eastAsia="宋体" w:cs="Times New Roman"/>
                <w:snapToGrid w:val="0"/>
                <w:color w:val="auto"/>
                <w:spacing w:val="-16"/>
                <w:kern w:val="21"/>
                <w:szCs w:val="21"/>
                <w:u w:val="none"/>
              </w:rPr>
              <w:t>（新建项目不填）</w:t>
            </w:r>
            <w:r>
              <w:rPr>
                <w:rFonts w:hint="default" w:ascii="Times New Roman" w:hAnsi="Times New Roman" w:eastAsia="宋体" w:cs="Times New Roman"/>
                <w:snapToGrid w:val="0"/>
                <w:color w:val="auto"/>
                <w:spacing w:val="-16"/>
                <w:kern w:val="21"/>
                <w:szCs w:val="21"/>
                <w:u w:val="none"/>
              </w:rPr>
              <w:fldChar w:fldCharType="begin"/>
            </w:r>
            <w:r>
              <w:rPr>
                <w:rFonts w:hint="default" w:ascii="Times New Roman" w:hAnsi="Times New Roman" w:eastAsia="宋体" w:cs="Times New Roman"/>
                <w:snapToGrid w:val="0"/>
                <w:color w:val="auto"/>
                <w:spacing w:val="-16"/>
                <w:kern w:val="21"/>
                <w:szCs w:val="21"/>
                <w:u w:val="none"/>
              </w:rPr>
              <w:instrText xml:space="preserve"> = 5 \* GB3 \* MERGEFORMAT </w:instrText>
            </w:r>
            <w:r>
              <w:rPr>
                <w:rFonts w:hint="default" w:ascii="Times New Roman" w:hAnsi="Times New Roman" w:eastAsia="宋体" w:cs="Times New Roman"/>
                <w:snapToGrid w:val="0"/>
                <w:color w:val="auto"/>
                <w:spacing w:val="-16"/>
                <w:kern w:val="21"/>
                <w:szCs w:val="21"/>
                <w:u w:val="none"/>
              </w:rPr>
              <w:fldChar w:fldCharType="separate"/>
            </w:r>
            <w:r>
              <w:rPr>
                <w:rFonts w:hint="default" w:ascii="Times New Roman" w:hAnsi="Times New Roman" w:eastAsia="宋体" w:cs="Times New Roman"/>
                <w:color w:val="auto"/>
                <w:kern w:val="2"/>
                <w:szCs w:val="21"/>
                <w:u w:val="none"/>
              </w:rPr>
              <w:t>⑤</w:t>
            </w:r>
            <w:r>
              <w:rPr>
                <w:rFonts w:hint="default" w:ascii="Times New Roman" w:hAnsi="Times New Roman" w:eastAsia="宋体" w:cs="Times New Roman"/>
                <w:snapToGrid w:val="0"/>
                <w:color w:val="auto"/>
                <w:spacing w:val="-16"/>
                <w:kern w:val="21"/>
                <w:szCs w:val="21"/>
                <w:u w:val="none"/>
              </w:rPr>
              <w:fldChar w:fldCharType="end"/>
            </w:r>
          </w:p>
        </w:tc>
        <w:tc>
          <w:tcPr>
            <w:tcW w:w="1437" w:type="dxa"/>
            <w:tcMar>
              <w:left w:w="28" w:type="dxa"/>
              <w:right w:w="28" w:type="dxa"/>
            </w:tcMar>
            <w:vAlign w:val="center"/>
          </w:tcPr>
          <w:p w14:paraId="40C0141A">
            <w:pPr>
              <w:pStyle w:val="66"/>
              <w:spacing w:beforeLines="0" w:afterLines="0" w:line="240" w:lineRule="auto"/>
              <w:rPr>
                <w:rFonts w:hint="default" w:ascii="Times New Roman" w:hAnsi="Times New Roman" w:eastAsia="宋体" w:cs="Times New Roman"/>
                <w:snapToGrid w:val="0"/>
                <w:color w:val="auto"/>
                <w:spacing w:val="-16"/>
                <w:kern w:val="21"/>
                <w:szCs w:val="21"/>
                <w:u w:val="none"/>
              </w:rPr>
            </w:pPr>
            <w:r>
              <w:rPr>
                <w:rFonts w:hint="default" w:ascii="Times New Roman" w:hAnsi="Times New Roman" w:eastAsia="宋体" w:cs="Times New Roman"/>
                <w:snapToGrid w:val="0"/>
                <w:color w:val="auto"/>
                <w:spacing w:val="-16"/>
                <w:kern w:val="21"/>
                <w:szCs w:val="21"/>
                <w:u w:val="none"/>
              </w:rPr>
              <w:t>本项目建成后</w:t>
            </w:r>
          </w:p>
          <w:p w14:paraId="0F5E2278">
            <w:pPr>
              <w:pStyle w:val="66"/>
              <w:spacing w:beforeLines="0" w:afterLines="0" w:line="240" w:lineRule="auto"/>
              <w:rPr>
                <w:rFonts w:hint="default" w:ascii="Times New Roman" w:hAnsi="Times New Roman" w:eastAsia="宋体" w:cs="Times New Roman"/>
                <w:snapToGrid w:val="0"/>
                <w:color w:val="auto"/>
                <w:spacing w:val="-16"/>
                <w:kern w:val="21"/>
                <w:szCs w:val="21"/>
                <w:u w:val="none"/>
              </w:rPr>
            </w:pPr>
            <w:r>
              <w:rPr>
                <w:rFonts w:hint="default" w:ascii="Times New Roman" w:hAnsi="Times New Roman" w:eastAsia="宋体" w:cs="Times New Roman"/>
                <w:snapToGrid w:val="0"/>
                <w:color w:val="auto"/>
                <w:spacing w:val="-16"/>
                <w:kern w:val="21"/>
                <w:szCs w:val="21"/>
                <w:u w:val="none"/>
              </w:rPr>
              <w:t>全厂排放量（固体废物产生量）</w:t>
            </w:r>
            <w:r>
              <w:rPr>
                <w:rFonts w:hint="default" w:ascii="Times New Roman" w:hAnsi="Times New Roman" w:eastAsia="宋体" w:cs="Times New Roman"/>
                <w:snapToGrid w:val="0"/>
                <w:color w:val="auto"/>
                <w:spacing w:val="-16"/>
                <w:kern w:val="21"/>
                <w:szCs w:val="21"/>
                <w:u w:val="none"/>
              </w:rPr>
              <w:fldChar w:fldCharType="begin"/>
            </w:r>
            <w:r>
              <w:rPr>
                <w:rFonts w:hint="default" w:ascii="Times New Roman" w:hAnsi="Times New Roman" w:eastAsia="宋体" w:cs="Times New Roman"/>
                <w:snapToGrid w:val="0"/>
                <w:color w:val="auto"/>
                <w:spacing w:val="-16"/>
                <w:kern w:val="21"/>
                <w:szCs w:val="21"/>
                <w:u w:val="none"/>
              </w:rPr>
              <w:instrText xml:space="preserve"> = 6 \* GB3 \* MERGEFORMAT </w:instrText>
            </w:r>
            <w:r>
              <w:rPr>
                <w:rFonts w:hint="default" w:ascii="Times New Roman" w:hAnsi="Times New Roman" w:eastAsia="宋体" w:cs="Times New Roman"/>
                <w:snapToGrid w:val="0"/>
                <w:color w:val="auto"/>
                <w:spacing w:val="-16"/>
                <w:kern w:val="21"/>
                <w:szCs w:val="21"/>
                <w:u w:val="none"/>
              </w:rPr>
              <w:fldChar w:fldCharType="separate"/>
            </w:r>
            <w:r>
              <w:rPr>
                <w:rFonts w:hint="default" w:ascii="Times New Roman" w:hAnsi="Times New Roman" w:eastAsia="宋体" w:cs="Times New Roman"/>
                <w:color w:val="auto"/>
                <w:kern w:val="2"/>
                <w:szCs w:val="21"/>
                <w:u w:val="none"/>
              </w:rPr>
              <w:t>⑥</w:t>
            </w:r>
            <w:r>
              <w:rPr>
                <w:rFonts w:hint="default" w:ascii="Times New Roman" w:hAnsi="Times New Roman" w:eastAsia="宋体" w:cs="Times New Roman"/>
                <w:snapToGrid w:val="0"/>
                <w:color w:val="auto"/>
                <w:spacing w:val="-16"/>
                <w:kern w:val="21"/>
                <w:szCs w:val="21"/>
                <w:u w:val="none"/>
              </w:rPr>
              <w:fldChar w:fldCharType="end"/>
            </w:r>
          </w:p>
        </w:tc>
        <w:tc>
          <w:tcPr>
            <w:tcW w:w="1481" w:type="dxa"/>
            <w:tcMar>
              <w:left w:w="28" w:type="dxa"/>
              <w:right w:w="28" w:type="dxa"/>
            </w:tcMar>
            <w:vAlign w:val="center"/>
          </w:tcPr>
          <w:p w14:paraId="753AC465">
            <w:pPr>
              <w:pStyle w:val="66"/>
              <w:spacing w:beforeLines="0" w:afterLines="0" w:line="240" w:lineRule="auto"/>
              <w:rPr>
                <w:rFonts w:hint="default" w:ascii="Times New Roman" w:hAnsi="Times New Roman" w:eastAsia="宋体" w:cs="Times New Roman"/>
                <w:snapToGrid w:val="0"/>
                <w:color w:val="auto"/>
                <w:spacing w:val="-6"/>
                <w:kern w:val="21"/>
                <w:szCs w:val="21"/>
                <w:u w:val="none"/>
              </w:rPr>
            </w:pPr>
            <w:r>
              <w:rPr>
                <w:rFonts w:hint="default" w:ascii="Times New Roman" w:hAnsi="Times New Roman" w:eastAsia="宋体" w:cs="Times New Roman"/>
                <w:snapToGrid w:val="0"/>
                <w:color w:val="auto"/>
                <w:spacing w:val="-6"/>
                <w:kern w:val="21"/>
                <w:szCs w:val="21"/>
                <w:u w:val="none"/>
              </w:rPr>
              <w:t>变化量</w:t>
            </w:r>
            <w:r>
              <w:rPr>
                <w:rFonts w:hint="default" w:ascii="Times New Roman" w:hAnsi="Times New Roman" w:eastAsia="宋体" w:cs="Times New Roman"/>
                <w:snapToGrid w:val="0"/>
                <w:color w:val="auto"/>
                <w:spacing w:val="-6"/>
                <w:kern w:val="21"/>
                <w:szCs w:val="21"/>
                <w:u w:val="none"/>
              </w:rPr>
              <w:fldChar w:fldCharType="begin"/>
            </w:r>
            <w:r>
              <w:rPr>
                <w:rFonts w:hint="default" w:ascii="Times New Roman" w:hAnsi="Times New Roman" w:eastAsia="宋体" w:cs="Times New Roman"/>
                <w:snapToGrid w:val="0"/>
                <w:color w:val="auto"/>
                <w:spacing w:val="-6"/>
                <w:kern w:val="21"/>
                <w:szCs w:val="21"/>
                <w:u w:val="none"/>
              </w:rPr>
              <w:instrText xml:space="preserve"> = 7 \* GB3 \* MERGEFORMAT </w:instrText>
            </w:r>
            <w:r>
              <w:rPr>
                <w:rFonts w:hint="default" w:ascii="Times New Roman" w:hAnsi="Times New Roman" w:eastAsia="宋体" w:cs="Times New Roman"/>
                <w:snapToGrid w:val="0"/>
                <w:color w:val="auto"/>
                <w:spacing w:val="-6"/>
                <w:kern w:val="21"/>
                <w:szCs w:val="21"/>
                <w:u w:val="none"/>
              </w:rPr>
              <w:fldChar w:fldCharType="separate"/>
            </w:r>
            <w:r>
              <w:rPr>
                <w:rFonts w:hint="default" w:ascii="Times New Roman" w:hAnsi="Times New Roman" w:eastAsia="宋体" w:cs="Times New Roman"/>
                <w:color w:val="auto"/>
                <w:kern w:val="2"/>
                <w:szCs w:val="21"/>
                <w:u w:val="none"/>
              </w:rPr>
              <w:t>⑦</w:t>
            </w:r>
            <w:r>
              <w:rPr>
                <w:rFonts w:hint="default" w:ascii="Times New Roman" w:hAnsi="Times New Roman" w:eastAsia="宋体" w:cs="Times New Roman"/>
                <w:snapToGrid w:val="0"/>
                <w:color w:val="auto"/>
                <w:spacing w:val="-6"/>
                <w:kern w:val="21"/>
                <w:szCs w:val="21"/>
                <w:u w:val="none"/>
              </w:rPr>
              <w:fldChar w:fldCharType="end"/>
            </w:r>
          </w:p>
        </w:tc>
      </w:tr>
      <w:tr w14:paraId="3A45E1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105" w:type="dxa"/>
            <w:vMerge w:val="restart"/>
            <w:vAlign w:val="center"/>
          </w:tcPr>
          <w:p w14:paraId="54794FEC">
            <w:pPr>
              <w:pStyle w:val="66"/>
              <w:spacing w:beforeLines="0" w:afterLines="0" w:line="240" w:lineRule="auto"/>
              <w:rPr>
                <w:rFonts w:hint="default" w:ascii="Times New Roman" w:hAnsi="Times New Roman" w:eastAsia="宋体" w:cs="Times New Roman"/>
                <w:snapToGrid w:val="0"/>
                <w:color w:val="auto"/>
                <w:kern w:val="21"/>
                <w:szCs w:val="21"/>
                <w:u w:val="none"/>
              </w:rPr>
            </w:pPr>
            <w:r>
              <w:rPr>
                <w:rFonts w:hint="default" w:ascii="Times New Roman" w:hAnsi="Times New Roman" w:eastAsia="宋体" w:cs="Times New Roman"/>
                <w:snapToGrid w:val="0"/>
                <w:color w:val="auto"/>
                <w:kern w:val="21"/>
                <w:szCs w:val="21"/>
                <w:u w:val="none"/>
              </w:rPr>
              <w:t>废气</w:t>
            </w:r>
          </w:p>
        </w:tc>
        <w:tc>
          <w:tcPr>
            <w:tcW w:w="1556" w:type="dxa"/>
            <w:vAlign w:val="center"/>
          </w:tcPr>
          <w:p w14:paraId="037A2EC5">
            <w:pPr>
              <w:tabs>
                <w:tab w:val="left" w:pos="8820"/>
                <w:tab w:val="left" w:pos="9000"/>
              </w:tabs>
              <w:jc w:val="center"/>
              <w:rPr>
                <w:rFonts w:hint="default" w:ascii="Times New Roman" w:hAnsi="Times New Roman" w:eastAsia="宋体" w:cs="Times New Roman"/>
                <w:snapToGrid w:val="0"/>
                <w:color w:val="auto"/>
                <w:kern w:val="21"/>
                <w:szCs w:val="21"/>
                <w:u w:val="none"/>
                <w:lang w:eastAsia="zh-CN"/>
              </w:rPr>
            </w:pPr>
            <w:r>
              <w:rPr>
                <w:rFonts w:hint="default" w:cs="Times New Roman"/>
                <w:color w:val="auto"/>
                <w:szCs w:val="21"/>
                <w:u w:val="none"/>
                <w:lang w:eastAsia="zh-CN"/>
              </w:rPr>
              <w:t>非甲烷总烃/VOCs</w:t>
            </w:r>
          </w:p>
        </w:tc>
        <w:tc>
          <w:tcPr>
            <w:tcW w:w="1741" w:type="dxa"/>
            <w:vAlign w:val="center"/>
          </w:tcPr>
          <w:p w14:paraId="23EB87C2">
            <w:pPr>
              <w:widowControl/>
              <w:jc w:val="center"/>
              <w:textAlignment w:val="center"/>
              <w:rPr>
                <w:rFonts w:hint="default" w:ascii="Times New Roman" w:hAnsi="Times New Roman" w:eastAsia="宋体" w:cs="Times New Roman"/>
                <w:snapToGrid w:val="0"/>
                <w:color w:val="auto"/>
                <w:kern w:val="21"/>
                <w:szCs w:val="21"/>
                <w:u w:val="none"/>
              </w:rPr>
            </w:pPr>
            <w:r>
              <w:rPr>
                <w:rFonts w:hint="default" w:ascii="Times New Roman" w:hAnsi="Times New Roman" w:eastAsia="宋体" w:cs="Times New Roman"/>
                <w:snapToGrid w:val="0"/>
                <w:color w:val="auto"/>
                <w:kern w:val="21"/>
                <w:szCs w:val="21"/>
                <w:u w:val="none"/>
              </w:rPr>
              <w:t>/</w:t>
            </w:r>
          </w:p>
        </w:tc>
        <w:tc>
          <w:tcPr>
            <w:tcW w:w="1194" w:type="dxa"/>
            <w:vAlign w:val="center"/>
          </w:tcPr>
          <w:p w14:paraId="3FE35CAF">
            <w:pPr>
              <w:widowControl/>
              <w:jc w:val="center"/>
              <w:textAlignment w:val="center"/>
              <w:rPr>
                <w:rFonts w:hint="default" w:ascii="Times New Roman" w:hAnsi="Times New Roman" w:eastAsia="宋体" w:cs="Times New Roman"/>
                <w:snapToGrid w:val="0"/>
                <w:color w:val="auto"/>
                <w:kern w:val="21"/>
                <w:sz w:val="21"/>
                <w:szCs w:val="21"/>
                <w:u w:val="none"/>
                <w:lang w:val="en-US" w:eastAsia="zh-CN" w:bidi="ar-SA"/>
              </w:rPr>
            </w:pPr>
            <w:r>
              <w:rPr>
                <w:rFonts w:hint="default" w:ascii="Times New Roman" w:hAnsi="Times New Roman" w:eastAsia="宋体" w:cs="Times New Roman"/>
                <w:snapToGrid w:val="0"/>
                <w:color w:val="auto"/>
                <w:kern w:val="21"/>
                <w:szCs w:val="21"/>
                <w:u w:val="none"/>
              </w:rPr>
              <w:t>/</w:t>
            </w:r>
          </w:p>
        </w:tc>
        <w:tc>
          <w:tcPr>
            <w:tcW w:w="1592" w:type="dxa"/>
            <w:vAlign w:val="center"/>
          </w:tcPr>
          <w:p w14:paraId="4810DB25">
            <w:pPr>
              <w:widowControl/>
              <w:jc w:val="center"/>
              <w:textAlignment w:val="center"/>
              <w:rPr>
                <w:rFonts w:hint="default" w:ascii="Times New Roman" w:hAnsi="Times New Roman" w:eastAsia="宋体" w:cs="Times New Roman"/>
                <w:snapToGrid w:val="0"/>
                <w:color w:val="auto"/>
                <w:kern w:val="21"/>
                <w:sz w:val="21"/>
                <w:szCs w:val="21"/>
                <w:u w:val="none"/>
                <w:lang w:val="en-US" w:eastAsia="zh-CN" w:bidi="ar-SA"/>
              </w:rPr>
            </w:pPr>
            <w:r>
              <w:rPr>
                <w:rFonts w:hint="default" w:ascii="Times New Roman" w:hAnsi="Times New Roman" w:eastAsia="宋体" w:cs="Times New Roman"/>
                <w:snapToGrid w:val="0"/>
                <w:color w:val="auto"/>
                <w:kern w:val="21"/>
                <w:szCs w:val="21"/>
                <w:u w:val="none"/>
              </w:rPr>
              <w:t>/</w:t>
            </w:r>
          </w:p>
        </w:tc>
        <w:tc>
          <w:tcPr>
            <w:tcW w:w="1458" w:type="dxa"/>
            <w:vAlign w:val="center"/>
          </w:tcPr>
          <w:p w14:paraId="2AE66972">
            <w:pPr>
              <w:spacing w:line="300" w:lineRule="exact"/>
              <w:jc w:val="center"/>
              <w:rPr>
                <w:rFonts w:hint="default" w:ascii="Times New Roman" w:hAnsi="Times New Roman" w:eastAsia="宋体" w:cs="Times New Roman"/>
                <w:snapToGrid w:val="0"/>
                <w:color w:val="auto"/>
                <w:kern w:val="21"/>
                <w:szCs w:val="21"/>
                <w:u w:val="none"/>
              </w:rPr>
            </w:pPr>
            <w:r>
              <w:rPr>
                <w:rFonts w:hint="default" w:cs="Times New Roman"/>
                <w:color w:val="auto"/>
                <w:szCs w:val="21"/>
                <w:u w:val="none"/>
                <w:lang w:val="en-US" w:eastAsia="zh-CN"/>
              </w:rPr>
              <w:t>0.1881</w:t>
            </w:r>
            <w:r>
              <w:rPr>
                <w:rFonts w:hint="default" w:ascii="Times New Roman" w:hAnsi="Times New Roman" w:eastAsia="宋体" w:cs="Times New Roman"/>
                <w:color w:val="auto"/>
                <w:kern w:val="0"/>
                <w:szCs w:val="21"/>
                <w:u w:val="none"/>
                <w:lang w:bidi="ar"/>
              </w:rPr>
              <w:t>t/a</w:t>
            </w:r>
          </w:p>
        </w:tc>
        <w:tc>
          <w:tcPr>
            <w:tcW w:w="1646" w:type="dxa"/>
            <w:vAlign w:val="center"/>
          </w:tcPr>
          <w:p w14:paraId="49C09CE6">
            <w:pPr>
              <w:widowControl/>
              <w:jc w:val="center"/>
              <w:textAlignment w:val="center"/>
              <w:rPr>
                <w:rFonts w:hint="default" w:ascii="Times New Roman" w:hAnsi="Times New Roman" w:eastAsia="宋体" w:cs="Times New Roman"/>
                <w:snapToGrid w:val="0"/>
                <w:color w:val="auto"/>
                <w:kern w:val="21"/>
                <w:sz w:val="21"/>
                <w:szCs w:val="21"/>
                <w:u w:val="none"/>
                <w:lang w:val="en-US" w:eastAsia="zh-CN" w:bidi="ar-SA"/>
              </w:rPr>
            </w:pPr>
            <w:r>
              <w:rPr>
                <w:rFonts w:hint="default" w:ascii="Times New Roman" w:hAnsi="Times New Roman" w:eastAsia="宋体" w:cs="Times New Roman"/>
                <w:snapToGrid w:val="0"/>
                <w:color w:val="auto"/>
                <w:kern w:val="21"/>
                <w:szCs w:val="21"/>
                <w:u w:val="none"/>
              </w:rPr>
              <w:t>/</w:t>
            </w:r>
          </w:p>
        </w:tc>
        <w:tc>
          <w:tcPr>
            <w:tcW w:w="1437" w:type="dxa"/>
            <w:vAlign w:val="center"/>
          </w:tcPr>
          <w:p w14:paraId="08FAAD48">
            <w:pPr>
              <w:spacing w:line="300" w:lineRule="exact"/>
              <w:jc w:val="center"/>
              <w:rPr>
                <w:rFonts w:hint="default" w:ascii="Times New Roman" w:hAnsi="Times New Roman" w:eastAsia="宋体" w:cs="Times New Roman"/>
                <w:snapToGrid w:val="0"/>
                <w:color w:val="auto"/>
                <w:kern w:val="21"/>
                <w:sz w:val="21"/>
                <w:szCs w:val="21"/>
                <w:u w:val="none"/>
                <w:lang w:val="en-US" w:eastAsia="zh-CN" w:bidi="ar-SA"/>
              </w:rPr>
            </w:pPr>
            <w:r>
              <w:rPr>
                <w:rFonts w:hint="default" w:cs="Times New Roman"/>
                <w:color w:val="auto"/>
                <w:szCs w:val="21"/>
                <w:u w:val="none"/>
                <w:lang w:val="en-US" w:eastAsia="zh-CN"/>
              </w:rPr>
              <w:t>0.1881</w:t>
            </w:r>
            <w:r>
              <w:rPr>
                <w:rFonts w:hint="default" w:ascii="Times New Roman" w:hAnsi="Times New Roman" w:eastAsia="宋体" w:cs="Times New Roman"/>
                <w:color w:val="auto"/>
                <w:kern w:val="0"/>
                <w:szCs w:val="21"/>
                <w:u w:val="none"/>
                <w:lang w:bidi="ar"/>
              </w:rPr>
              <w:t>t/a</w:t>
            </w:r>
          </w:p>
        </w:tc>
        <w:tc>
          <w:tcPr>
            <w:tcW w:w="1481" w:type="dxa"/>
            <w:vAlign w:val="center"/>
          </w:tcPr>
          <w:p w14:paraId="69A6E71D">
            <w:pPr>
              <w:spacing w:line="300" w:lineRule="exact"/>
              <w:jc w:val="center"/>
              <w:rPr>
                <w:rFonts w:hint="default" w:ascii="Times New Roman" w:hAnsi="Times New Roman" w:eastAsia="宋体" w:cs="Times New Roman"/>
                <w:snapToGrid w:val="0"/>
                <w:color w:val="auto"/>
                <w:kern w:val="21"/>
                <w:szCs w:val="21"/>
                <w:u w:val="none"/>
              </w:rPr>
            </w:pPr>
          </w:p>
        </w:tc>
      </w:tr>
      <w:tr w14:paraId="62792A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105" w:type="dxa"/>
            <w:vMerge w:val="continue"/>
            <w:vAlign w:val="center"/>
          </w:tcPr>
          <w:p w14:paraId="79792294">
            <w:pPr>
              <w:pStyle w:val="66"/>
              <w:spacing w:beforeLines="0" w:afterLines="0" w:line="240" w:lineRule="auto"/>
              <w:rPr>
                <w:rFonts w:hint="default" w:ascii="Times New Roman" w:hAnsi="Times New Roman" w:eastAsia="宋体" w:cs="Times New Roman"/>
                <w:snapToGrid w:val="0"/>
                <w:color w:val="auto"/>
                <w:kern w:val="21"/>
                <w:szCs w:val="21"/>
                <w:u w:val="none"/>
              </w:rPr>
            </w:pPr>
          </w:p>
        </w:tc>
        <w:tc>
          <w:tcPr>
            <w:tcW w:w="1556" w:type="dxa"/>
            <w:vAlign w:val="center"/>
          </w:tcPr>
          <w:p w14:paraId="768E970E">
            <w:pPr>
              <w:tabs>
                <w:tab w:val="left" w:pos="8820"/>
                <w:tab w:val="left" w:pos="9000"/>
              </w:tabs>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SO</w:t>
            </w:r>
            <w:r>
              <w:rPr>
                <w:rFonts w:hint="default" w:ascii="Times New Roman" w:hAnsi="Times New Roman" w:eastAsia="宋体" w:cs="Times New Roman"/>
                <w:color w:val="auto"/>
                <w:szCs w:val="21"/>
                <w:u w:val="none"/>
                <w:vertAlign w:val="subscript"/>
              </w:rPr>
              <w:t>2</w:t>
            </w:r>
          </w:p>
        </w:tc>
        <w:tc>
          <w:tcPr>
            <w:tcW w:w="1741" w:type="dxa"/>
            <w:vAlign w:val="center"/>
          </w:tcPr>
          <w:p w14:paraId="5100D599">
            <w:pPr>
              <w:widowControl/>
              <w:jc w:val="center"/>
              <w:textAlignment w:val="center"/>
              <w:rPr>
                <w:rFonts w:hint="default" w:ascii="Times New Roman" w:hAnsi="Times New Roman" w:eastAsia="宋体" w:cs="Times New Roman"/>
                <w:snapToGrid w:val="0"/>
                <w:color w:val="auto"/>
                <w:kern w:val="21"/>
                <w:szCs w:val="21"/>
                <w:u w:val="none"/>
              </w:rPr>
            </w:pPr>
            <w:r>
              <w:rPr>
                <w:rFonts w:hint="default" w:ascii="Times New Roman" w:hAnsi="Times New Roman" w:eastAsia="宋体" w:cs="Times New Roman"/>
                <w:snapToGrid w:val="0"/>
                <w:color w:val="auto"/>
                <w:kern w:val="21"/>
                <w:szCs w:val="21"/>
                <w:u w:val="none"/>
              </w:rPr>
              <w:t>/</w:t>
            </w:r>
          </w:p>
        </w:tc>
        <w:tc>
          <w:tcPr>
            <w:tcW w:w="1194" w:type="dxa"/>
            <w:vAlign w:val="center"/>
          </w:tcPr>
          <w:p w14:paraId="2F572921">
            <w:pPr>
              <w:widowControl/>
              <w:jc w:val="center"/>
              <w:textAlignment w:val="center"/>
              <w:rPr>
                <w:rFonts w:hint="default" w:ascii="Times New Roman" w:hAnsi="Times New Roman" w:eastAsia="宋体" w:cs="Times New Roman"/>
                <w:snapToGrid w:val="0"/>
                <w:color w:val="auto"/>
                <w:kern w:val="21"/>
                <w:sz w:val="21"/>
                <w:szCs w:val="21"/>
                <w:u w:val="none"/>
                <w:lang w:val="en-US" w:eastAsia="zh-CN" w:bidi="ar-SA"/>
              </w:rPr>
            </w:pPr>
            <w:r>
              <w:rPr>
                <w:rFonts w:hint="default" w:ascii="Times New Roman" w:hAnsi="Times New Roman" w:eastAsia="宋体" w:cs="Times New Roman"/>
                <w:snapToGrid w:val="0"/>
                <w:color w:val="auto"/>
                <w:kern w:val="21"/>
                <w:szCs w:val="21"/>
                <w:u w:val="none"/>
              </w:rPr>
              <w:t>/</w:t>
            </w:r>
          </w:p>
        </w:tc>
        <w:tc>
          <w:tcPr>
            <w:tcW w:w="1592" w:type="dxa"/>
            <w:vAlign w:val="center"/>
          </w:tcPr>
          <w:p w14:paraId="1E165642">
            <w:pPr>
              <w:widowControl/>
              <w:jc w:val="center"/>
              <w:textAlignment w:val="center"/>
              <w:rPr>
                <w:rFonts w:hint="default" w:ascii="Times New Roman" w:hAnsi="Times New Roman" w:eastAsia="宋体" w:cs="Times New Roman"/>
                <w:snapToGrid w:val="0"/>
                <w:color w:val="auto"/>
                <w:kern w:val="21"/>
                <w:sz w:val="21"/>
                <w:szCs w:val="21"/>
                <w:u w:val="none"/>
                <w:lang w:val="en-US" w:eastAsia="zh-CN" w:bidi="ar-SA"/>
              </w:rPr>
            </w:pPr>
            <w:r>
              <w:rPr>
                <w:rFonts w:hint="default" w:ascii="Times New Roman" w:hAnsi="Times New Roman" w:eastAsia="宋体" w:cs="Times New Roman"/>
                <w:snapToGrid w:val="0"/>
                <w:color w:val="auto"/>
                <w:kern w:val="21"/>
                <w:szCs w:val="21"/>
                <w:u w:val="none"/>
              </w:rPr>
              <w:t>/</w:t>
            </w:r>
          </w:p>
        </w:tc>
        <w:tc>
          <w:tcPr>
            <w:tcW w:w="1458" w:type="dxa"/>
            <w:vAlign w:val="center"/>
          </w:tcPr>
          <w:p w14:paraId="4ABD7532">
            <w:pPr>
              <w:spacing w:line="300" w:lineRule="exact"/>
              <w:jc w:val="center"/>
              <w:rPr>
                <w:rFonts w:hint="default" w:ascii="Times New Roman" w:hAnsi="Times New Roman" w:eastAsia="宋体" w:cs="Times New Roman"/>
                <w:color w:val="auto"/>
                <w:kern w:val="0"/>
                <w:szCs w:val="21"/>
                <w:u w:val="none"/>
                <w:lang w:bidi="ar"/>
              </w:rPr>
            </w:pPr>
            <w:r>
              <w:rPr>
                <w:rFonts w:hint="default" w:ascii="Times New Roman" w:hAnsi="Times New Roman" w:eastAsia="宋体" w:cs="Times New Roman"/>
                <w:snapToGrid w:val="0"/>
                <w:color w:val="auto"/>
                <w:kern w:val="21"/>
                <w:szCs w:val="21"/>
                <w:u w:val="none"/>
              </w:rPr>
              <w:t>/</w:t>
            </w:r>
          </w:p>
        </w:tc>
        <w:tc>
          <w:tcPr>
            <w:tcW w:w="1646" w:type="dxa"/>
            <w:vAlign w:val="center"/>
          </w:tcPr>
          <w:p w14:paraId="501D2596">
            <w:pPr>
              <w:widowControl/>
              <w:jc w:val="center"/>
              <w:textAlignment w:val="center"/>
              <w:rPr>
                <w:rFonts w:hint="default" w:ascii="Times New Roman" w:hAnsi="Times New Roman" w:eastAsia="宋体" w:cs="Times New Roman"/>
                <w:snapToGrid w:val="0"/>
                <w:color w:val="auto"/>
                <w:kern w:val="21"/>
                <w:sz w:val="21"/>
                <w:szCs w:val="21"/>
                <w:u w:val="none"/>
                <w:lang w:val="en-US" w:eastAsia="zh-CN" w:bidi="ar-SA"/>
              </w:rPr>
            </w:pPr>
            <w:r>
              <w:rPr>
                <w:rFonts w:hint="default" w:ascii="Times New Roman" w:hAnsi="Times New Roman" w:eastAsia="宋体" w:cs="Times New Roman"/>
                <w:snapToGrid w:val="0"/>
                <w:color w:val="auto"/>
                <w:kern w:val="21"/>
                <w:szCs w:val="21"/>
                <w:u w:val="none"/>
              </w:rPr>
              <w:t>/</w:t>
            </w:r>
          </w:p>
        </w:tc>
        <w:tc>
          <w:tcPr>
            <w:tcW w:w="1437" w:type="dxa"/>
            <w:vAlign w:val="center"/>
          </w:tcPr>
          <w:p w14:paraId="54B2F7E6">
            <w:pPr>
              <w:spacing w:line="300" w:lineRule="exact"/>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snapToGrid w:val="0"/>
                <w:color w:val="auto"/>
                <w:kern w:val="21"/>
                <w:szCs w:val="21"/>
                <w:u w:val="none"/>
              </w:rPr>
              <w:t>/</w:t>
            </w:r>
          </w:p>
        </w:tc>
        <w:tc>
          <w:tcPr>
            <w:tcW w:w="1481" w:type="dxa"/>
            <w:vAlign w:val="center"/>
          </w:tcPr>
          <w:p w14:paraId="5DA262F7">
            <w:pPr>
              <w:spacing w:line="300" w:lineRule="exact"/>
              <w:jc w:val="center"/>
              <w:rPr>
                <w:rFonts w:hint="default" w:ascii="Times New Roman" w:hAnsi="Times New Roman" w:eastAsia="宋体" w:cs="Times New Roman"/>
                <w:color w:val="auto"/>
                <w:kern w:val="0"/>
                <w:szCs w:val="21"/>
                <w:u w:val="none"/>
                <w:lang w:bidi="ar"/>
              </w:rPr>
            </w:pPr>
          </w:p>
        </w:tc>
      </w:tr>
      <w:tr w14:paraId="5E1398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105" w:type="dxa"/>
            <w:vMerge w:val="continue"/>
            <w:vAlign w:val="center"/>
          </w:tcPr>
          <w:p w14:paraId="7EE80ED6">
            <w:pPr>
              <w:pStyle w:val="66"/>
              <w:spacing w:beforeLines="0" w:afterLines="0" w:line="240" w:lineRule="auto"/>
              <w:rPr>
                <w:rFonts w:hint="default" w:ascii="Times New Roman" w:hAnsi="Times New Roman" w:eastAsia="宋体" w:cs="Times New Roman"/>
                <w:snapToGrid w:val="0"/>
                <w:color w:val="auto"/>
                <w:kern w:val="21"/>
                <w:szCs w:val="21"/>
                <w:u w:val="none"/>
              </w:rPr>
            </w:pPr>
          </w:p>
        </w:tc>
        <w:tc>
          <w:tcPr>
            <w:tcW w:w="1556" w:type="dxa"/>
            <w:vAlign w:val="center"/>
          </w:tcPr>
          <w:p w14:paraId="2DEA628B">
            <w:pPr>
              <w:tabs>
                <w:tab w:val="left" w:pos="8820"/>
                <w:tab w:val="left" w:pos="9000"/>
              </w:tabs>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NO</w:t>
            </w:r>
            <w:r>
              <w:rPr>
                <w:rFonts w:hint="default" w:ascii="Times New Roman" w:hAnsi="Times New Roman" w:eastAsia="宋体" w:cs="Times New Roman"/>
                <w:color w:val="auto"/>
                <w:szCs w:val="21"/>
                <w:u w:val="none"/>
                <w:vertAlign w:val="subscript"/>
              </w:rPr>
              <w:t>x</w:t>
            </w:r>
          </w:p>
        </w:tc>
        <w:tc>
          <w:tcPr>
            <w:tcW w:w="1741" w:type="dxa"/>
            <w:vAlign w:val="center"/>
          </w:tcPr>
          <w:p w14:paraId="5E646BFC">
            <w:pPr>
              <w:widowControl/>
              <w:jc w:val="center"/>
              <w:textAlignment w:val="center"/>
              <w:rPr>
                <w:rFonts w:hint="default" w:ascii="Times New Roman" w:hAnsi="Times New Roman" w:eastAsia="宋体" w:cs="Times New Roman"/>
                <w:snapToGrid w:val="0"/>
                <w:color w:val="auto"/>
                <w:kern w:val="21"/>
                <w:szCs w:val="21"/>
                <w:u w:val="none"/>
              </w:rPr>
            </w:pPr>
            <w:r>
              <w:rPr>
                <w:rFonts w:hint="default" w:ascii="Times New Roman" w:hAnsi="Times New Roman" w:eastAsia="宋体" w:cs="Times New Roman"/>
                <w:snapToGrid w:val="0"/>
                <w:color w:val="auto"/>
                <w:kern w:val="21"/>
                <w:szCs w:val="21"/>
                <w:u w:val="none"/>
              </w:rPr>
              <w:t>/</w:t>
            </w:r>
          </w:p>
        </w:tc>
        <w:tc>
          <w:tcPr>
            <w:tcW w:w="1194" w:type="dxa"/>
            <w:vAlign w:val="center"/>
          </w:tcPr>
          <w:p w14:paraId="227A76EF">
            <w:pPr>
              <w:widowControl/>
              <w:jc w:val="center"/>
              <w:textAlignment w:val="center"/>
              <w:rPr>
                <w:rFonts w:hint="default" w:ascii="Times New Roman" w:hAnsi="Times New Roman" w:eastAsia="宋体" w:cs="Times New Roman"/>
                <w:snapToGrid w:val="0"/>
                <w:color w:val="auto"/>
                <w:kern w:val="21"/>
                <w:sz w:val="21"/>
                <w:szCs w:val="21"/>
                <w:u w:val="none"/>
                <w:lang w:val="en-US" w:eastAsia="zh-CN" w:bidi="ar-SA"/>
              </w:rPr>
            </w:pPr>
            <w:r>
              <w:rPr>
                <w:rFonts w:hint="default" w:ascii="Times New Roman" w:hAnsi="Times New Roman" w:eastAsia="宋体" w:cs="Times New Roman"/>
                <w:snapToGrid w:val="0"/>
                <w:color w:val="auto"/>
                <w:kern w:val="21"/>
                <w:szCs w:val="21"/>
                <w:u w:val="none"/>
              </w:rPr>
              <w:t>/</w:t>
            </w:r>
          </w:p>
        </w:tc>
        <w:tc>
          <w:tcPr>
            <w:tcW w:w="1592" w:type="dxa"/>
            <w:vAlign w:val="center"/>
          </w:tcPr>
          <w:p w14:paraId="14C78CAB">
            <w:pPr>
              <w:widowControl/>
              <w:jc w:val="center"/>
              <w:textAlignment w:val="center"/>
              <w:rPr>
                <w:rFonts w:hint="default" w:ascii="Times New Roman" w:hAnsi="Times New Roman" w:eastAsia="宋体" w:cs="Times New Roman"/>
                <w:snapToGrid w:val="0"/>
                <w:color w:val="auto"/>
                <w:kern w:val="21"/>
                <w:sz w:val="21"/>
                <w:szCs w:val="21"/>
                <w:u w:val="none"/>
                <w:lang w:val="en-US" w:eastAsia="zh-CN" w:bidi="ar-SA"/>
              </w:rPr>
            </w:pPr>
            <w:r>
              <w:rPr>
                <w:rFonts w:hint="default" w:ascii="Times New Roman" w:hAnsi="Times New Roman" w:eastAsia="宋体" w:cs="Times New Roman"/>
                <w:snapToGrid w:val="0"/>
                <w:color w:val="auto"/>
                <w:kern w:val="21"/>
                <w:szCs w:val="21"/>
                <w:u w:val="none"/>
              </w:rPr>
              <w:t>/</w:t>
            </w:r>
          </w:p>
        </w:tc>
        <w:tc>
          <w:tcPr>
            <w:tcW w:w="1458" w:type="dxa"/>
            <w:vAlign w:val="center"/>
          </w:tcPr>
          <w:p w14:paraId="3F6B75A9">
            <w:pPr>
              <w:spacing w:line="300" w:lineRule="exact"/>
              <w:jc w:val="center"/>
              <w:rPr>
                <w:rFonts w:hint="default" w:ascii="Times New Roman" w:hAnsi="Times New Roman" w:eastAsia="宋体" w:cs="Times New Roman"/>
                <w:color w:val="auto"/>
                <w:kern w:val="0"/>
                <w:szCs w:val="21"/>
                <w:u w:val="none"/>
                <w:lang w:bidi="ar"/>
              </w:rPr>
            </w:pPr>
            <w:r>
              <w:rPr>
                <w:rFonts w:hint="default" w:ascii="Times New Roman" w:hAnsi="Times New Roman" w:eastAsia="宋体" w:cs="Times New Roman"/>
                <w:snapToGrid w:val="0"/>
                <w:color w:val="auto"/>
                <w:kern w:val="21"/>
                <w:szCs w:val="21"/>
                <w:u w:val="none"/>
              </w:rPr>
              <w:t>/</w:t>
            </w:r>
          </w:p>
        </w:tc>
        <w:tc>
          <w:tcPr>
            <w:tcW w:w="1646" w:type="dxa"/>
            <w:vAlign w:val="center"/>
          </w:tcPr>
          <w:p w14:paraId="751745FE">
            <w:pPr>
              <w:widowControl/>
              <w:jc w:val="center"/>
              <w:textAlignment w:val="center"/>
              <w:rPr>
                <w:rFonts w:hint="default" w:ascii="Times New Roman" w:hAnsi="Times New Roman" w:eastAsia="宋体" w:cs="Times New Roman"/>
                <w:snapToGrid w:val="0"/>
                <w:color w:val="auto"/>
                <w:kern w:val="21"/>
                <w:sz w:val="21"/>
                <w:szCs w:val="21"/>
                <w:u w:val="none"/>
                <w:lang w:val="en-US" w:eastAsia="zh-CN" w:bidi="ar-SA"/>
              </w:rPr>
            </w:pPr>
            <w:r>
              <w:rPr>
                <w:rFonts w:hint="default" w:ascii="Times New Roman" w:hAnsi="Times New Roman" w:eastAsia="宋体" w:cs="Times New Roman"/>
                <w:snapToGrid w:val="0"/>
                <w:color w:val="auto"/>
                <w:kern w:val="21"/>
                <w:szCs w:val="21"/>
                <w:u w:val="none"/>
              </w:rPr>
              <w:t>/</w:t>
            </w:r>
          </w:p>
        </w:tc>
        <w:tc>
          <w:tcPr>
            <w:tcW w:w="1437" w:type="dxa"/>
            <w:vAlign w:val="center"/>
          </w:tcPr>
          <w:p w14:paraId="2902F5CF">
            <w:pPr>
              <w:spacing w:line="300" w:lineRule="exact"/>
              <w:jc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snapToGrid w:val="0"/>
                <w:color w:val="auto"/>
                <w:kern w:val="21"/>
                <w:szCs w:val="21"/>
                <w:u w:val="none"/>
              </w:rPr>
              <w:t>/</w:t>
            </w:r>
          </w:p>
        </w:tc>
        <w:tc>
          <w:tcPr>
            <w:tcW w:w="1481" w:type="dxa"/>
            <w:vAlign w:val="center"/>
          </w:tcPr>
          <w:p w14:paraId="7BB94138">
            <w:pPr>
              <w:spacing w:line="300" w:lineRule="exact"/>
              <w:jc w:val="center"/>
              <w:rPr>
                <w:rFonts w:hint="default" w:ascii="Times New Roman" w:hAnsi="Times New Roman" w:eastAsia="宋体" w:cs="Times New Roman"/>
                <w:color w:val="auto"/>
                <w:kern w:val="0"/>
                <w:szCs w:val="21"/>
                <w:u w:val="none"/>
                <w:lang w:bidi="ar"/>
              </w:rPr>
            </w:pPr>
          </w:p>
        </w:tc>
      </w:tr>
      <w:tr w14:paraId="68F1A6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105" w:type="dxa"/>
            <w:vMerge w:val="continue"/>
            <w:vAlign w:val="center"/>
          </w:tcPr>
          <w:p w14:paraId="30E9EB6B">
            <w:pPr>
              <w:pStyle w:val="66"/>
              <w:spacing w:beforeLines="0" w:afterLines="0" w:line="240" w:lineRule="auto"/>
              <w:rPr>
                <w:rFonts w:hint="default" w:ascii="Times New Roman" w:hAnsi="Times New Roman" w:eastAsia="宋体" w:cs="Times New Roman"/>
                <w:snapToGrid w:val="0"/>
                <w:color w:val="auto"/>
                <w:kern w:val="21"/>
                <w:szCs w:val="21"/>
                <w:u w:val="none"/>
              </w:rPr>
            </w:pPr>
          </w:p>
        </w:tc>
        <w:tc>
          <w:tcPr>
            <w:tcW w:w="1556" w:type="dxa"/>
            <w:vAlign w:val="center"/>
          </w:tcPr>
          <w:p w14:paraId="2122FCEC">
            <w:pPr>
              <w:tabs>
                <w:tab w:val="left" w:pos="8820"/>
                <w:tab w:val="left" w:pos="9000"/>
              </w:tabs>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颗粒物</w:t>
            </w:r>
          </w:p>
        </w:tc>
        <w:tc>
          <w:tcPr>
            <w:tcW w:w="1741" w:type="dxa"/>
            <w:vAlign w:val="center"/>
          </w:tcPr>
          <w:p w14:paraId="610760D8">
            <w:pPr>
              <w:widowControl/>
              <w:jc w:val="center"/>
              <w:textAlignment w:val="center"/>
              <w:rPr>
                <w:rFonts w:hint="default" w:ascii="Times New Roman" w:hAnsi="Times New Roman" w:eastAsia="宋体" w:cs="Times New Roman"/>
                <w:snapToGrid w:val="0"/>
                <w:color w:val="auto"/>
                <w:kern w:val="21"/>
                <w:szCs w:val="21"/>
                <w:u w:val="none"/>
              </w:rPr>
            </w:pPr>
            <w:r>
              <w:rPr>
                <w:rFonts w:hint="default" w:ascii="Times New Roman" w:hAnsi="Times New Roman" w:eastAsia="宋体" w:cs="Times New Roman"/>
                <w:snapToGrid w:val="0"/>
                <w:color w:val="auto"/>
                <w:kern w:val="21"/>
                <w:szCs w:val="21"/>
                <w:u w:val="none"/>
              </w:rPr>
              <w:t>/</w:t>
            </w:r>
          </w:p>
        </w:tc>
        <w:tc>
          <w:tcPr>
            <w:tcW w:w="1194" w:type="dxa"/>
            <w:vAlign w:val="center"/>
          </w:tcPr>
          <w:p w14:paraId="45217D21">
            <w:pPr>
              <w:widowControl/>
              <w:jc w:val="center"/>
              <w:textAlignment w:val="center"/>
              <w:rPr>
                <w:rFonts w:hint="default" w:ascii="Times New Roman" w:hAnsi="Times New Roman" w:eastAsia="宋体" w:cs="Times New Roman"/>
                <w:snapToGrid w:val="0"/>
                <w:color w:val="auto"/>
                <w:kern w:val="21"/>
                <w:sz w:val="21"/>
                <w:szCs w:val="21"/>
                <w:u w:val="none"/>
                <w:lang w:val="en-US" w:eastAsia="zh-CN" w:bidi="ar-SA"/>
              </w:rPr>
            </w:pPr>
            <w:r>
              <w:rPr>
                <w:rFonts w:hint="default" w:ascii="Times New Roman" w:hAnsi="Times New Roman" w:eastAsia="宋体" w:cs="Times New Roman"/>
                <w:snapToGrid w:val="0"/>
                <w:color w:val="auto"/>
                <w:kern w:val="21"/>
                <w:szCs w:val="21"/>
                <w:u w:val="none"/>
              </w:rPr>
              <w:t>/</w:t>
            </w:r>
          </w:p>
        </w:tc>
        <w:tc>
          <w:tcPr>
            <w:tcW w:w="1592" w:type="dxa"/>
            <w:vAlign w:val="center"/>
          </w:tcPr>
          <w:p w14:paraId="67A78B29">
            <w:pPr>
              <w:widowControl/>
              <w:jc w:val="center"/>
              <w:textAlignment w:val="center"/>
              <w:rPr>
                <w:rFonts w:hint="default" w:ascii="Times New Roman" w:hAnsi="Times New Roman" w:eastAsia="宋体" w:cs="Times New Roman"/>
                <w:snapToGrid w:val="0"/>
                <w:color w:val="auto"/>
                <w:kern w:val="21"/>
                <w:sz w:val="21"/>
                <w:szCs w:val="21"/>
                <w:u w:val="none"/>
                <w:lang w:val="en-US" w:eastAsia="zh-CN" w:bidi="ar-SA"/>
              </w:rPr>
            </w:pPr>
            <w:r>
              <w:rPr>
                <w:rFonts w:hint="default" w:ascii="Times New Roman" w:hAnsi="Times New Roman" w:eastAsia="宋体" w:cs="Times New Roman"/>
                <w:snapToGrid w:val="0"/>
                <w:color w:val="auto"/>
                <w:kern w:val="21"/>
                <w:szCs w:val="21"/>
                <w:u w:val="none"/>
              </w:rPr>
              <w:t>/</w:t>
            </w:r>
          </w:p>
        </w:tc>
        <w:tc>
          <w:tcPr>
            <w:tcW w:w="1458" w:type="dxa"/>
            <w:vAlign w:val="center"/>
          </w:tcPr>
          <w:p w14:paraId="7619E456">
            <w:pPr>
              <w:spacing w:line="300" w:lineRule="exact"/>
              <w:jc w:val="center"/>
              <w:rPr>
                <w:rFonts w:hint="default" w:ascii="Times New Roman" w:hAnsi="Times New Roman" w:eastAsia="宋体" w:cs="Times New Roman"/>
                <w:color w:val="auto"/>
                <w:kern w:val="0"/>
                <w:szCs w:val="21"/>
                <w:u w:val="none"/>
                <w:lang w:bidi="ar"/>
              </w:rPr>
            </w:pPr>
            <w:r>
              <w:rPr>
                <w:rFonts w:hint="default" w:cs="Times New Roman"/>
                <w:color w:val="auto"/>
                <w:szCs w:val="21"/>
                <w:u w:val="none"/>
                <w:lang w:val="en-US" w:eastAsia="zh-CN"/>
              </w:rPr>
              <w:t>0.</w:t>
            </w:r>
            <w:r>
              <w:rPr>
                <w:rFonts w:hint="eastAsia" w:cs="Times New Roman"/>
                <w:color w:val="auto"/>
                <w:szCs w:val="21"/>
                <w:u w:val="none"/>
                <w:lang w:val="en-US" w:eastAsia="zh-CN"/>
              </w:rPr>
              <w:t>3005</w:t>
            </w:r>
            <w:r>
              <w:rPr>
                <w:rFonts w:hint="default" w:ascii="Times New Roman" w:hAnsi="Times New Roman" w:eastAsia="宋体" w:cs="Times New Roman"/>
                <w:color w:val="auto"/>
                <w:kern w:val="0"/>
                <w:szCs w:val="21"/>
                <w:u w:val="none"/>
                <w:lang w:bidi="ar"/>
              </w:rPr>
              <w:t>t/a</w:t>
            </w:r>
          </w:p>
        </w:tc>
        <w:tc>
          <w:tcPr>
            <w:tcW w:w="1646" w:type="dxa"/>
            <w:vAlign w:val="center"/>
          </w:tcPr>
          <w:p w14:paraId="7EFD2D93">
            <w:pPr>
              <w:widowControl/>
              <w:jc w:val="center"/>
              <w:textAlignment w:val="center"/>
              <w:rPr>
                <w:rFonts w:hint="default" w:ascii="Times New Roman" w:hAnsi="Times New Roman" w:eastAsia="宋体" w:cs="Times New Roman"/>
                <w:snapToGrid w:val="0"/>
                <w:color w:val="auto"/>
                <w:kern w:val="21"/>
                <w:sz w:val="21"/>
                <w:szCs w:val="21"/>
                <w:u w:val="none"/>
                <w:lang w:val="en-US" w:eastAsia="zh-CN" w:bidi="ar-SA"/>
              </w:rPr>
            </w:pPr>
            <w:r>
              <w:rPr>
                <w:rFonts w:hint="default" w:ascii="Times New Roman" w:hAnsi="Times New Roman" w:eastAsia="宋体" w:cs="Times New Roman"/>
                <w:snapToGrid w:val="0"/>
                <w:color w:val="auto"/>
                <w:kern w:val="21"/>
                <w:szCs w:val="21"/>
                <w:u w:val="none"/>
              </w:rPr>
              <w:t>/</w:t>
            </w:r>
          </w:p>
        </w:tc>
        <w:tc>
          <w:tcPr>
            <w:tcW w:w="1437" w:type="dxa"/>
            <w:vAlign w:val="center"/>
          </w:tcPr>
          <w:p w14:paraId="370FCBB1">
            <w:pPr>
              <w:spacing w:line="300" w:lineRule="exact"/>
              <w:jc w:val="center"/>
              <w:rPr>
                <w:rFonts w:hint="default" w:ascii="Times New Roman" w:hAnsi="Times New Roman" w:eastAsia="宋体" w:cs="Times New Roman"/>
                <w:color w:val="auto"/>
                <w:kern w:val="0"/>
                <w:sz w:val="21"/>
                <w:szCs w:val="21"/>
                <w:u w:val="none"/>
                <w:lang w:val="en-US" w:eastAsia="zh-CN" w:bidi="ar"/>
              </w:rPr>
            </w:pPr>
            <w:r>
              <w:rPr>
                <w:rFonts w:hint="default" w:cs="Times New Roman"/>
                <w:color w:val="auto"/>
                <w:szCs w:val="21"/>
                <w:u w:val="none"/>
                <w:lang w:val="en-US" w:eastAsia="zh-CN"/>
              </w:rPr>
              <w:t>0.</w:t>
            </w:r>
            <w:r>
              <w:rPr>
                <w:rFonts w:hint="eastAsia" w:cs="Times New Roman"/>
                <w:color w:val="auto"/>
                <w:szCs w:val="21"/>
                <w:u w:val="none"/>
                <w:lang w:val="en-US" w:eastAsia="zh-CN"/>
              </w:rPr>
              <w:t>3005</w:t>
            </w:r>
            <w:r>
              <w:rPr>
                <w:rFonts w:hint="default" w:ascii="Times New Roman" w:hAnsi="Times New Roman" w:eastAsia="宋体" w:cs="Times New Roman"/>
                <w:color w:val="auto"/>
                <w:kern w:val="0"/>
                <w:szCs w:val="21"/>
                <w:u w:val="none"/>
                <w:lang w:bidi="ar"/>
              </w:rPr>
              <w:t>t/a</w:t>
            </w:r>
          </w:p>
        </w:tc>
        <w:tc>
          <w:tcPr>
            <w:tcW w:w="1481" w:type="dxa"/>
            <w:vAlign w:val="center"/>
          </w:tcPr>
          <w:p w14:paraId="63230B78">
            <w:pPr>
              <w:spacing w:line="300" w:lineRule="exact"/>
              <w:jc w:val="center"/>
              <w:rPr>
                <w:rFonts w:hint="default" w:ascii="Times New Roman" w:hAnsi="Times New Roman" w:eastAsia="宋体" w:cs="Times New Roman"/>
                <w:color w:val="auto"/>
                <w:kern w:val="0"/>
                <w:szCs w:val="21"/>
                <w:u w:val="none"/>
                <w:lang w:bidi="ar"/>
              </w:rPr>
            </w:pPr>
          </w:p>
        </w:tc>
      </w:tr>
      <w:tr w14:paraId="72B5CE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05" w:type="dxa"/>
            <w:vMerge w:val="restart"/>
            <w:vAlign w:val="center"/>
          </w:tcPr>
          <w:p w14:paraId="533B5887">
            <w:pPr>
              <w:pStyle w:val="66"/>
              <w:spacing w:beforeLines="0" w:afterLines="0" w:line="240" w:lineRule="auto"/>
              <w:rPr>
                <w:rFonts w:hint="default" w:ascii="Times New Roman" w:hAnsi="Times New Roman" w:eastAsia="宋体" w:cs="Times New Roman"/>
                <w:snapToGrid w:val="0"/>
                <w:color w:val="auto"/>
                <w:kern w:val="21"/>
                <w:szCs w:val="21"/>
                <w:u w:val="none"/>
              </w:rPr>
            </w:pPr>
            <w:r>
              <w:rPr>
                <w:rFonts w:hint="default" w:ascii="Times New Roman" w:hAnsi="Times New Roman" w:eastAsia="宋体" w:cs="Times New Roman"/>
                <w:snapToGrid w:val="0"/>
                <w:color w:val="auto"/>
                <w:kern w:val="21"/>
                <w:szCs w:val="21"/>
                <w:u w:val="none"/>
              </w:rPr>
              <w:t>废水</w:t>
            </w:r>
          </w:p>
        </w:tc>
        <w:tc>
          <w:tcPr>
            <w:tcW w:w="1556" w:type="dxa"/>
            <w:vAlign w:val="center"/>
          </w:tcPr>
          <w:p w14:paraId="57F1C9FF">
            <w:pPr>
              <w:jc w:val="center"/>
              <w:rPr>
                <w:rFonts w:hint="default" w:ascii="Times New Roman" w:hAnsi="Times New Roman" w:eastAsia="宋体" w:cs="Times New Roman"/>
                <w:snapToGrid w:val="0"/>
                <w:color w:val="auto"/>
                <w:kern w:val="21"/>
                <w:szCs w:val="21"/>
                <w:u w:val="none"/>
              </w:rPr>
            </w:pPr>
            <w:r>
              <w:rPr>
                <w:rFonts w:hint="default" w:ascii="Times New Roman" w:hAnsi="Times New Roman" w:eastAsia="宋体" w:cs="Times New Roman"/>
                <w:color w:val="auto"/>
                <w:szCs w:val="21"/>
                <w:u w:val="none"/>
              </w:rPr>
              <w:t>废水量</w:t>
            </w:r>
          </w:p>
        </w:tc>
        <w:tc>
          <w:tcPr>
            <w:tcW w:w="1741" w:type="dxa"/>
            <w:vAlign w:val="center"/>
          </w:tcPr>
          <w:p w14:paraId="1B3A9BAA">
            <w:pPr>
              <w:widowControl/>
              <w:jc w:val="center"/>
              <w:textAlignment w:val="center"/>
              <w:rPr>
                <w:rFonts w:hint="default" w:ascii="Times New Roman" w:hAnsi="Times New Roman" w:eastAsia="宋体" w:cs="Times New Roman"/>
                <w:snapToGrid w:val="0"/>
                <w:color w:val="auto"/>
                <w:kern w:val="21"/>
                <w:szCs w:val="21"/>
                <w:u w:val="none"/>
              </w:rPr>
            </w:pPr>
            <w:r>
              <w:rPr>
                <w:rFonts w:hint="default" w:ascii="Times New Roman" w:hAnsi="Times New Roman" w:eastAsia="宋体" w:cs="Times New Roman"/>
                <w:snapToGrid w:val="0"/>
                <w:color w:val="auto"/>
                <w:kern w:val="21"/>
                <w:szCs w:val="21"/>
                <w:u w:val="none"/>
              </w:rPr>
              <w:t>/</w:t>
            </w:r>
          </w:p>
        </w:tc>
        <w:tc>
          <w:tcPr>
            <w:tcW w:w="1194" w:type="dxa"/>
            <w:vAlign w:val="center"/>
          </w:tcPr>
          <w:p w14:paraId="740E769D">
            <w:pPr>
              <w:widowControl/>
              <w:jc w:val="center"/>
              <w:textAlignment w:val="center"/>
              <w:rPr>
                <w:rFonts w:hint="default" w:ascii="Times New Roman" w:hAnsi="Times New Roman" w:eastAsia="宋体" w:cs="Times New Roman"/>
                <w:snapToGrid w:val="0"/>
                <w:color w:val="auto"/>
                <w:kern w:val="21"/>
                <w:sz w:val="21"/>
                <w:szCs w:val="21"/>
                <w:u w:val="none"/>
                <w:lang w:val="en-US" w:eastAsia="zh-CN" w:bidi="ar-SA"/>
              </w:rPr>
            </w:pPr>
            <w:r>
              <w:rPr>
                <w:rFonts w:hint="default" w:ascii="Times New Roman" w:hAnsi="Times New Roman" w:eastAsia="宋体" w:cs="Times New Roman"/>
                <w:snapToGrid w:val="0"/>
                <w:color w:val="auto"/>
                <w:kern w:val="21"/>
                <w:szCs w:val="21"/>
                <w:u w:val="none"/>
              </w:rPr>
              <w:t>/</w:t>
            </w:r>
          </w:p>
        </w:tc>
        <w:tc>
          <w:tcPr>
            <w:tcW w:w="1592" w:type="dxa"/>
            <w:vAlign w:val="center"/>
          </w:tcPr>
          <w:p w14:paraId="6CD17946">
            <w:pPr>
              <w:widowControl/>
              <w:jc w:val="center"/>
              <w:textAlignment w:val="center"/>
              <w:rPr>
                <w:rFonts w:hint="default" w:ascii="Times New Roman" w:hAnsi="Times New Roman" w:eastAsia="宋体" w:cs="Times New Roman"/>
                <w:snapToGrid w:val="0"/>
                <w:color w:val="auto"/>
                <w:kern w:val="21"/>
                <w:sz w:val="21"/>
                <w:szCs w:val="21"/>
                <w:u w:val="none"/>
                <w:lang w:val="en-US" w:eastAsia="zh-CN" w:bidi="ar-SA"/>
              </w:rPr>
            </w:pPr>
            <w:r>
              <w:rPr>
                <w:rFonts w:hint="default" w:ascii="Times New Roman" w:hAnsi="Times New Roman" w:eastAsia="宋体" w:cs="Times New Roman"/>
                <w:snapToGrid w:val="0"/>
                <w:color w:val="auto"/>
                <w:kern w:val="21"/>
                <w:szCs w:val="21"/>
                <w:u w:val="none"/>
              </w:rPr>
              <w:t>/</w:t>
            </w:r>
          </w:p>
        </w:tc>
        <w:tc>
          <w:tcPr>
            <w:tcW w:w="1458" w:type="dxa"/>
            <w:vAlign w:val="center"/>
          </w:tcPr>
          <w:p w14:paraId="6EA342BF">
            <w:pPr>
              <w:jc w:val="center"/>
              <w:rPr>
                <w:rFonts w:hint="default" w:ascii="Times New Roman" w:hAnsi="Times New Roman" w:eastAsia="宋体" w:cs="Times New Roman"/>
                <w:snapToGrid w:val="0"/>
                <w:color w:val="auto"/>
                <w:kern w:val="21"/>
                <w:szCs w:val="21"/>
                <w:u w:val="none"/>
              </w:rPr>
            </w:pPr>
            <w:r>
              <w:rPr>
                <w:rFonts w:hint="default" w:ascii="Times New Roman" w:hAnsi="Times New Roman" w:eastAsia="宋体" w:cs="Times New Roman"/>
                <w:color w:val="auto"/>
                <w:sz w:val="21"/>
                <w:szCs w:val="21"/>
                <w:u w:val="none"/>
                <w:lang w:val="en-US" w:eastAsia="zh-CN"/>
              </w:rPr>
              <w:t>76.5t/a</w:t>
            </w:r>
          </w:p>
        </w:tc>
        <w:tc>
          <w:tcPr>
            <w:tcW w:w="1646" w:type="dxa"/>
            <w:vAlign w:val="center"/>
          </w:tcPr>
          <w:p w14:paraId="2E18A4B5">
            <w:pPr>
              <w:widowControl/>
              <w:jc w:val="center"/>
              <w:textAlignment w:val="center"/>
              <w:rPr>
                <w:rFonts w:hint="default" w:ascii="Times New Roman" w:hAnsi="Times New Roman" w:eastAsia="宋体" w:cs="Times New Roman"/>
                <w:snapToGrid w:val="0"/>
                <w:color w:val="auto"/>
                <w:kern w:val="21"/>
                <w:sz w:val="21"/>
                <w:szCs w:val="21"/>
                <w:u w:val="none"/>
                <w:lang w:val="en-US" w:eastAsia="zh-CN" w:bidi="ar-SA"/>
              </w:rPr>
            </w:pPr>
            <w:r>
              <w:rPr>
                <w:rFonts w:hint="default" w:ascii="Times New Roman" w:hAnsi="Times New Roman" w:eastAsia="宋体" w:cs="Times New Roman"/>
                <w:snapToGrid w:val="0"/>
                <w:color w:val="auto"/>
                <w:kern w:val="21"/>
                <w:szCs w:val="21"/>
                <w:u w:val="none"/>
              </w:rPr>
              <w:t>/</w:t>
            </w:r>
          </w:p>
        </w:tc>
        <w:tc>
          <w:tcPr>
            <w:tcW w:w="1437" w:type="dxa"/>
            <w:vAlign w:val="center"/>
          </w:tcPr>
          <w:p w14:paraId="2E145897">
            <w:pPr>
              <w:jc w:val="center"/>
              <w:rPr>
                <w:rFonts w:hint="default" w:ascii="Times New Roman" w:hAnsi="Times New Roman" w:eastAsia="宋体" w:cs="Times New Roman"/>
                <w:snapToGrid w:val="0"/>
                <w:color w:val="auto"/>
                <w:kern w:val="21"/>
                <w:sz w:val="21"/>
                <w:szCs w:val="21"/>
                <w:u w:val="none"/>
                <w:lang w:val="en-US" w:eastAsia="zh-CN" w:bidi="ar-SA"/>
              </w:rPr>
            </w:pPr>
            <w:r>
              <w:rPr>
                <w:rFonts w:hint="default" w:ascii="Times New Roman" w:hAnsi="Times New Roman" w:eastAsia="宋体" w:cs="Times New Roman"/>
                <w:color w:val="auto"/>
                <w:sz w:val="21"/>
                <w:szCs w:val="21"/>
                <w:u w:val="none"/>
                <w:lang w:val="en-US" w:eastAsia="zh-CN"/>
              </w:rPr>
              <w:t>76.5t/a</w:t>
            </w:r>
          </w:p>
        </w:tc>
        <w:tc>
          <w:tcPr>
            <w:tcW w:w="1481" w:type="dxa"/>
            <w:vAlign w:val="center"/>
          </w:tcPr>
          <w:p w14:paraId="03A3D8B8">
            <w:pPr>
              <w:jc w:val="center"/>
              <w:rPr>
                <w:rFonts w:hint="default" w:ascii="Times New Roman" w:hAnsi="Times New Roman" w:eastAsia="宋体" w:cs="Times New Roman"/>
                <w:snapToGrid w:val="0"/>
                <w:color w:val="auto"/>
                <w:kern w:val="21"/>
                <w:szCs w:val="21"/>
                <w:u w:val="none"/>
              </w:rPr>
            </w:pPr>
          </w:p>
        </w:tc>
      </w:tr>
      <w:tr w14:paraId="0BCDEC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105" w:type="dxa"/>
            <w:vMerge w:val="continue"/>
            <w:vAlign w:val="center"/>
          </w:tcPr>
          <w:p w14:paraId="33967862">
            <w:pPr>
              <w:pStyle w:val="66"/>
              <w:spacing w:beforeLines="0" w:afterLines="0" w:line="240" w:lineRule="auto"/>
              <w:rPr>
                <w:rFonts w:hint="default" w:ascii="Times New Roman" w:hAnsi="Times New Roman" w:eastAsia="宋体" w:cs="Times New Roman"/>
                <w:snapToGrid w:val="0"/>
                <w:color w:val="auto"/>
                <w:kern w:val="21"/>
                <w:szCs w:val="21"/>
                <w:u w:val="none"/>
              </w:rPr>
            </w:pPr>
          </w:p>
        </w:tc>
        <w:tc>
          <w:tcPr>
            <w:tcW w:w="1556" w:type="dxa"/>
            <w:vAlign w:val="center"/>
          </w:tcPr>
          <w:p w14:paraId="7911FAC3">
            <w:pPr>
              <w:pStyle w:val="66"/>
              <w:spacing w:beforeLines="0" w:afterLines="0" w:line="240" w:lineRule="auto"/>
              <w:rPr>
                <w:rFonts w:hint="default" w:ascii="Times New Roman" w:hAnsi="Times New Roman" w:eastAsia="宋体" w:cs="Times New Roman"/>
                <w:color w:val="auto"/>
                <w:szCs w:val="21"/>
                <w:u w:val="none"/>
              </w:rPr>
            </w:pPr>
            <w:r>
              <w:rPr>
                <w:rFonts w:hint="default" w:ascii="Times New Roman" w:hAnsi="Times New Roman" w:eastAsia="宋体" w:cs="Times New Roman"/>
                <w:snapToGrid w:val="0"/>
                <w:color w:val="auto"/>
                <w:kern w:val="21"/>
                <w:szCs w:val="21"/>
                <w:u w:val="none"/>
              </w:rPr>
              <w:t>CODcr</w:t>
            </w:r>
          </w:p>
        </w:tc>
        <w:tc>
          <w:tcPr>
            <w:tcW w:w="1741" w:type="dxa"/>
            <w:vAlign w:val="center"/>
          </w:tcPr>
          <w:p w14:paraId="3DAEF269">
            <w:pPr>
              <w:widowControl/>
              <w:jc w:val="center"/>
              <w:textAlignment w:val="center"/>
              <w:rPr>
                <w:rFonts w:hint="default" w:ascii="Times New Roman" w:hAnsi="Times New Roman" w:eastAsia="宋体" w:cs="Times New Roman"/>
                <w:snapToGrid w:val="0"/>
                <w:color w:val="auto"/>
                <w:kern w:val="21"/>
                <w:szCs w:val="21"/>
                <w:u w:val="none"/>
              </w:rPr>
            </w:pPr>
            <w:r>
              <w:rPr>
                <w:rFonts w:hint="default" w:ascii="Times New Roman" w:hAnsi="Times New Roman" w:eastAsia="宋体" w:cs="Times New Roman"/>
                <w:snapToGrid w:val="0"/>
                <w:color w:val="auto"/>
                <w:kern w:val="21"/>
                <w:szCs w:val="21"/>
                <w:u w:val="none"/>
              </w:rPr>
              <w:t>/</w:t>
            </w:r>
          </w:p>
        </w:tc>
        <w:tc>
          <w:tcPr>
            <w:tcW w:w="1194" w:type="dxa"/>
            <w:vAlign w:val="center"/>
          </w:tcPr>
          <w:p w14:paraId="5329DCC0">
            <w:pPr>
              <w:widowControl/>
              <w:jc w:val="center"/>
              <w:textAlignment w:val="center"/>
              <w:rPr>
                <w:rFonts w:hint="default" w:ascii="Times New Roman" w:hAnsi="Times New Roman" w:eastAsia="宋体" w:cs="Times New Roman"/>
                <w:snapToGrid w:val="0"/>
                <w:color w:val="auto"/>
                <w:kern w:val="21"/>
                <w:sz w:val="21"/>
                <w:szCs w:val="21"/>
                <w:u w:val="none"/>
                <w:lang w:val="en-US" w:eastAsia="zh-CN" w:bidi="ar-SA"/>
              </w:rPr>
            </w:pPr>
            <w:r>
              <w:rPr>
                <w:rFonts w:hint="default" w:ascii="Times New Roman" w:hAnsi="Times New Roman" w:eastAsia="宋体" w:cs="Times New Roman"/>
                <w:snapToGrid w:val="0"/>
                <w:color w:val="auto"/>
                <w:kern w:val="21"/>
                <w:szCs w:val="21"/>
                <w:u w:val="none"/>
              </w:rPr>
              <w:t>/</w:t>
            </w:r>
          </w:p>
        </w:tc>
        <w:tc>
          <w:tcPr>
            <w:tcW w:w="1592" w:type="dxa"/>
            <w:vAlign w:val="center"/>
          </w:tcPr>
          <w:p w14:paraId="48784A4A">
            <w:pPr>
              <w:widowControl/>
              <w:jc w:val="center"/>
              <w:textAlignment w:val="center"/>
              <w:rPr>
                <w:rFonts w:hint="default" w:ascii="Times New Roman" w:hAnsi="Times New Roman" w:eastAsia="宋体" w:cs="Times New Roman"/>
                <w:snapToGrid w:val="0"/>
                <w:color w:val="auto"/>
                <w:kern w:val="21"/>
                <w:sz w:val="21"/>
                <w:szCs w:val="21"/>
                <w:u w:val="none"/>
                <w:lang w:val="en-US" w:eastAsia="zh-CN" w:bidi="ar-SA"/>
              </w:rPr>
            </w:pPr>
            <w:r>
              <w:rPr>
                <w:rFonts w:hint="default" w:ascii="Times New Roman" w:hAnsi="Times New Roman" w:eastAsia="宋体" w:cs="Times New Roman"/>
                <w:snapToGrid w:val="0"/>
                <w:color w:val="auto"/>
                <w:kern w:val="21"/>
                <w:szCs w:val="21"/>
                <w:u w:val="none"/>
              </w:rPr>
              <w:t>/</w:t>
            </w:r>
          </w:p>
        </w:tc>
        <w:tc>
          <w:tcPr>
            <w:tcW w:w="1458" w:type="dxa"/>
            <w:vAlign w:val="center"/>
          </w:tcPr>
          <w:p w14:paraId="1E803323">
            <w:pPr>
              <w:jc w:val="center"/>
              <w:rPr>
                <w:rFonts w:hint="default" w:ascii="Times New Roman" w:hAnsi="Times New Roman" w:eastAsia="宋体" w:cs="Times New Roman"/>
                <w:snapToGrid w:val="0"/>
                <w:color w:val="auto"/>
                <w:kern w:val="21"/>
                <w:szCs w:val="21"/>
                <w:u w:val="none"/>
              </w:rPr>
            </w:pPr>
            <w:r>
              <w:rPr>
                <w:rFonts w:hint="default" w:ascii="Times New Roman" w:hAnsi="Times New Roman" w:eastAsia="宋体" w:cs="Times New Roman"/>
                <w:color w:val="auto"/>
                <w:sz w:val="21"/>
                <w:szCs w:val="21"/>
                <w:u w:val="none"/>
                <w:lang w:val="en-US" w:eastAsia="zh-CN"/>
              </w:rPr>
              <w:t>0.0038t/a</w:t>
            </w:r>
          </w:p>
        </w:tc>
        <w:tc>
          <w:tcPr>
            <w:tcW w:w="1646" w:type="dxa"/>
            <w:vAlign w:val="center"/>
          </w:tcPr>
          <w:p w14:paraId="764AC25E">
            <w:pPr>
              <w:widowControl/>
              <w:jc w:val="center"/>
              <w:textAlignment w:val="center"/>
              <w:rPr>
                <w:rFonts w:hint="default" w:ascii="Times New Roman" w:hAnsi="Times New Roman" w:eastAsia="宋体" w:cs="Times New Roman"/>
                <w:snapToGrid w:val="0"/>
                <w:color w:val="auto"/>
                <w:kern w:val="21"/>
                <w:sz w:val="21"/>
                <w:szCs w:val="21"/>
                <w:u w:val="none"/>
                <w:lang w:val="en-US" w:eastAsia="zh-CN" w:bidi="ar-SA"/>
              </w:rPr>
            </w:pPr>
            <w:r>
              <w:rPr>
                <w:rFonts w:hint="default" w:ascii="Times New Roman" w:hAnsi="Times New Roman" w:eastAsia="宋体" w:cs="Times New Roman"/>
                <w:snapToGrid w:val="0"/>
                <w:color w:val="auto"/>
                <w:kern w:val="21"/>
                <w:szCs w:val="21"/>
                <w:u w:val="none"/>
              </w:rPr>
              <w:t>/</w:t>
            </w:r>
          </w:p>
        </w:tc>
        <w:tc>
          <w:tcPr>
            <w:tcW w:w="1437" w:type="dxa"/>
            <w:vAlign w:val="center"/>
          </w:tcPr>
          <w:p w14:paraId="0B1FE4B0">
            <w:pPr>
              <w:jc w:val="center"/>
              <w:rPr>
                <w:rFonts w:hint="default" w:ascii="Times New Roman" w:hAnsi="Times New Roman" w:eastAsia="宋体" w:cs="Times New Roman"/>
                <w:snapToGrid w:val="0"/>
                <w:color w:val="auto"/>
                <w:kern w:val="21"/>
                <w:sz w:val="21"/>
                <w:szCs w:val="21"/>
                <w:u w:val="none"/>
                <w:lang w:val="en-US" w:eastAsia="zh-CN" w:bidi="ar-SA"/>
              </w:rPr>
            </w:pPr>
            <w:r>
              <w:rPr>
                <w:rFonts w:hint="default" w:ascii="Times New Roman" w:hAnsi="Times New Roman" w:eastAsia="宋体" w:cs="Times New Roman"/>
                <w:color w:val="auto"/>
                <w:sz w:val="21"/>
                <w:szCs w:val="21"/>
                <w:u w:val="none"/>
                <w:lang w:val="en-US" w:eastAsia="zh-CN"/>
              </w:rPr>
              <w:t>0.0038t/a</w:t>
            </w:r>
          </w:p>
        </w:tc>
        <w:tc>
          <w:tcPr>
            <w:tcW w:w="1481" w:type="dxa"/>
            <w:vAlign w:val="center"/>
          </w:tcPr>
          <w:p w14:paraId="2DEF19FF">
            <w:pPr>
              <w:jc w:val="center"/>
              <w:rPr>
                <w:rFonts w:hint="default" w:ascii="Times New Roman" w:hAnsi="Times New Roman" w:eastAsia="宋体" w:cs="Times New Roman"/>
                <w:snapToGrid w:val="0"/>
                <w:color w:val="auto"/>
                <w:kern w:val="21"/>
                <w:szCs w:val="21"/>
                <w:u w:val="none"/>
              </w:rPr>
            </w:pPr>
          </w:p>
        </w:tc>
      </w:tr>
      <w:tr w14:paraId="36BD36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05" w:type="dxa"/>
            <w:vMerge w:val="continue"/>
            <w:vAlign w:val="center"/>
          </w:tcPr>
          <w:p w14:paraId="27EE5CD8">
            <w:pPr>
              <w:jc w:val="center"/>
              <w:rPr>
                <w:rFonts w:hint="default" w:ascii="Times New Roman" w:hAnsi="Times New Roman" w:eastAsia="宋体" w:cs="Times New Roman"/>
                <w:snapToGrid w:val="0"/>
                <w:color w:val="auto"/>
                <w:kern w:val="21"/>
                <w:szCs w:val="21"/>
                <w:u w:val="none"/>
              </w:rPr>
            </w:pPr>
          </w:p>
        </w:tc>
        <w:tc>
          <w:tcPr>
            <w:tcW w:w="1556" w:type="dxa"/>
            <w:vAlign w:val="center"/>
          </w:tcPr>
          <w:p w14:paraId="00255D23">
            <w:pPr>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氨氮</w:t>
            </w:r>
          </w:p>
        </w:tc>
        <w:tc>
          <w:tcPr>
            <w:tcW w:w="1741" w:type="dxa"/>
            <w:vAlign w:val="center"/>
          </w:tcPr>
          <w:p w14:paraId="34C7740F">
            <w:pPr>
              <w:widowControl/>
              <w:jc w:val="center"/>
              <w:textAlignment w:val="center"/>
              <w:rPr>
                <w:rFonts w:hint="default" w:ascii="Times New Roman" w:hAnsi="Times New Roman" w:eastAsia="宋体" w:cs="Times New Roman"/>
                <w:snapToGrid w:val="0"/>
                <w:color w:val="auto"/>
                <w:kern w:val="21"/>
                <w:szCs w:val="21"/>
                <w:u w:val="none"/>
              </w:rPr>
            </w:pPr>
            <w:r>
              <w:rPr>
                <w:rFonts w:hint="default" w:ascii="Times New Roman" w:hAnsi="Times New Roman" w:eastAsia="宋体" w:cs="Times New Roman"/>
                <w:snapToGrid w:val="0"/>
                <w:color w:val="auto"/>
                <w:kern w:val="21"/>
                <w:szCs w:val="21"/>
                <w:u w:val="none"/>
              </w:rPr>
              <w:t>/</w:t>
            </w:r>
          </w:p>
        </w:tc>
        <w:tc>
          <w:tcPr>
            <w:tcW w:w="1194" w:type="dxa"/>
            <w:vAlign w:val="center"/>
          </w:tcPr>
          <w:p w14:paraId="520E553A">
            <w:pPr>
              <w:widowControl/>
              <w:jc w:val="center"/>
              <w:textAlignment w:val="center"/>
              <w:rPr>
                <w:rFonts w:hint="default" w:ascii="Times New Roman" w:hAnsi="Times New Roman" w:eastAsia="宋体" w:cs="Times New Roman"/>
                <w:snapToGrid w:val="0"/>
                <w:color w:val="auto"/>
                <w:kern w:val="21"/>
                <w:sz w:val="21"/>
                <w:szCs w:val="21"/>
                <w:u w:val="none"/>
                <w:lang w:val="en-US" w:eastAsia="zh-CN" w:bidi="ar-SA"/>
              </w:rPr>
            </w:pPr>
            <w:r>
              <w:rPr>
                <w:rFonts w:hint="default" w:ascii="Times New Roman" w:hAnsi="Times New Roman" w:eastAsia="宋体" w:cs="Times New Roman"/>
                <w:snapToGrid w:val="0"/>
                <w:color w:val="auto"/>
                <w:kern w:val="21"/>
                <w:szCs w:val="21"/>
                <w:u w:val="none"/>
              </w:rPr>
              <w:t>/</w:t>
            </w:r>
          </w:p>
        </w:tc>
        <w:tc>
          <w:tcPr>
            <w:tcW w:w="1592" w:type="dxa"/>
            <w:vAlign w:val="center"/>
          </w:tcPr>
          <w:p w14:paraId="0FF2045A">
            <w:pPr>
              <w:widowControl/>
              <w:jc w:val="center"/>
              <w:textAlignment w:val="center"/>
              <w:rPr>
                <w:rFonts w:hint="default" w:ascii="Times New Roman" w:hAnsi="Times New Roman" w:eastAsia="宋体" w:cs="Times New Roman"/>
                <w:snapToGrid w:val="0"/>
                <w:color w:val="auto"/>
                <w:kern w:val="21"/>
                <w:sz w:val="21"/>
                <w:szCs w:val="21"/>
                <w:u w:val="none"/>
                <w:lang w:val="en-US" w:eastAsia="zh-CN" w:bidi="ar-SA"/>
              </w:rPr>
            </w:pPr>
            <w:r>
              <w:rPr>
                <w:rFonts w:hint="default" w:ascii="Times New Roman" w:hAnsi="Times New Roman" w:eastAsia="宋体" w:cs="Times New Roman"/>
                <w:snapToGrid w:val="0"/>
                <w:color w:val="auto"/>
                <w:kern w:val="21"/>
                <w:szCs w:val="21"/>
                <w:u w:val="none"/>
              </w:rPr>
              <w:t>/</w:t>
            </w:r>
          </w:p>
        </w:tc>
        <w:tc>
          <w:tcPr>
            <w:tcW w:w="1458" w:type="dxa"/>
            <w:vAlign w:val="center"/>
          </w:tcPr>
          <w:p w14:paraId="6D1885F6">
            <w:pPr>
              <w:jc w:val="center"/>
              <w:rPr>
                <w:rFonts w:hint="default" w:ascii="Times New Roman" w:hAnsi="Times New Roman" w:eastAsia="宋体" w:cs="Times New Roman"/>
                <w:snapToGrid w:val="0"/>
                <w:color w:val="auto"/>
                <w:kern w:val="21"/>
                <w:szCs w:val="21"/>
                <w:u w:val="none"/>
              </w:rPr>
            </w:pPr>
            <w:r>
              <w:rPr>
                <w:rFonts w:hint="default" w:ascii="Times New Roman" w:hAnsi="Times New Roman" w:eastAsia="宋体" w:cs="Times New Roman"/>
                <w:color w:val="auto"/>
                <w:sz w:val="21"/>
                <w:szCs w:val="21"/>
                <w:u w:val="none"/>
                <w:lang w:val="en-US" w:eastAsia="zh-CN"/>
              </w:rPr>
              <w:t>0.00038t/a</w:t>
            </w:r>
          </w:p>
        </w:tc>
        <w:tc>
          <w:tcPr>
            <w:tcW w:w="1646" w:type="dxa"/>
            <w:vAlign w:val="center"/>
          </w:tcPr>
          <w:p w14:paraId="135065BA">
            <w:pPr>
              <w:widowControl/>
              <w:jc w:val="center"/>
              <w:textAlignment w:val="center"/>
              <w:rPr>
                <w:rFonts w:hint="default" w:ascii="Times New Roman" w:hAnsi="Times New Roman" w:eastAsia="宋体" w:cs="Times New Roman"/>
                <w:snapToGrid w:val="0"/>
                <w:color w:val="auto"/>
                <w:kern w:val="21"/>
                <w:sz w:val="21"/>
                <w:szCs w:val="21"/>
                <w:u w:val="none"/>
                <w:lang w:val="en-US" w:eastAsia="zh-CN" w:bidi="ar-SA"/>
              </w:rPr>
            </w:pPr>
            <w:r>
              <w:rPr>
                <w:rFonts w:hint="default" w:ascii="Times New Roman" w:hAnsi="Times New Roman" w:eastAsia="宋体" w:cs="Times New Roman"/>
                <w:snapToGrid w:val="0"/>
                <w:color w:val="auto"/>
                <w:kern w:val="21"/>
                <w:szCs w:val="21"/>
                <w:u w:val="none"/>
              </w:rPr>
              <w:t>/</w:t>
            </w:r>
          </w:p>
        </w:tc>
        <w:tc>
          <w:tcPr>
            <w:tcW w:w="1437" w:type="dxa"/>
            <w:vAlign w:val="center"/>
          </w:tcPr>
          <w:p w14:paraId="4329B6B2">
            <w:pPr>
              <w:jc w:val="center"/>
              <w:rPr>
                <w:rFonts w:hint="default" w:ascii="Times New Roman" w:hAnsi="Times New Roman" w:eastAsia="宋体" w:cs="Times New Roman"/>
                <w:snapToGrid w:val="0"/>
                <w:color w:val="auto"/>
                <w:kern w:val="21"/>
                <w:sz w:val="21"/>
                <w:szCs w:val="21"/>
                <w:u w:val="none"/>
                <w:lang w:val="en-US" w:eastAsia="zh-CN" w:bidi="ar-SA"/>
              </w:rPr>
            </w:pPr>
            <w:r>
              <w:rPr>
                <w:rFonts w:hint="default" w:ascii="Times New Roman" w:hAnsi="Times New Roman" w:eastAsia="宋体" w:cs="Times New Roman"/>
                <w:color w:val="auto"/>
                <w:sz w:val="21"/>
                <w:szCs w:val="21"/>
                <w:u w:val="none"/>
                <w:lang w:val="en-US" w:eastAsia="zh-CN"/>
              </w:rPr>
              <w:t>0.00038t/a</w:t>
            </w:r>
          </w:p>
        </w:tc>
        <w:tc>
          <w:tcPr>
            <w:tcW w:w="1481" w:type="dxa"/>
            <w:vAlign w:val="center"/>
          </w:tcPr>
          <w:p w14:paraId="3F5A63A3">
            <w:pPr>
              <w:jc w:val="center"/>
              <w:rPr>
                <w:rFonts w:hint="default" w:ascii="Times New Roman" w:hAnsi="Times New Roman" w:eastAsia="宋体" w:cs="Times New Roman"/>
                <w:snapToGrid w:val="0"/>
                <w:color w:val="auto"/>
                <w:kern w:val="21"/>
                <w:szCs w:val="21"/>
                <w:u w:val="none"/>
              </w:rPr>
            </w:pPr>
          </w:p>
        </w:tc>
      </w:tr>
      <w:tr w14:paraId="1054FA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05" w:type="dxa"/>
            <w:vMerge w:val="restart"/>
            <w:vAlign w:val="center"/>
          </w:tcPr>
          <w:p w14:paraId="6B26D890">
            <w:pPr>
              <w:pStyle w:val="66"/>
              <w:spacing w:beforeLines="0" w:afterLines="0" w:line="240" w:lineRule="auto"/>
              <w:rPr>
                <w:rFonts w:hint="default" w:ascii="Times New Roman" w:hAnsi="Times New Roman" w:eastAsia="宋体" w:cs="Times New Roman"/>
                <w:snapToGrid w:val="0"/>
                <w:color w:val="auto"/>
                <w:kern w:val="21"/>
                <w:szCs w:val="21"/>
                <w:u w:val="none"/>
              </w:rPr>
            </w:pPr>
            <w:r>
              <w:rPr>
                <w:rFonts w:hint="default" w:ascii="Times New Roman" w:hAnsi="Times New Roman" w:eastAsia="宋体" w:cs="Times New Roman"/>
                <w:snapToGrid w:val="0"/>
                <w:color w:val="auto"/>
                <w:kern w:val="21"/>
                <w:szCs w:val="21"/>
                <w:u w:val="none"/>
              </w:rPr>
              <w:t>危险废物</w:t>
            </w:r>
          </w:p>
        </w:tc>
        <w:tc>
          <w:tcPr>
            <w:tcW w:w="1556" w:type="dxa"/>
            <w:vAlign w:val="center"/>
          </w:tcPr>
          <w:p w14:paraId="2F6BE3D1">
            <w:pPr>
              <w:widowControl/>
              <w:adjustRightInd w:val="0"/>
              <w:snapToGrid w:val="0"/>
              <w:jc w:val="center"/>
              <w:rPr>
                <w:rFonts w:hint="default" w:ascii="Times New Roman" w:hAnsi="Times New Roman" w:eastAsia="宋体" w:cs="Times New Roman"/>
                <w:color w:val="auto"/>
                <w:szCs w:val="21"/>
                <w:u w:val="none"/>
                <w:lang w:val="en-US" w:eastAsia="zh-CN"/>
              </w:rPr>
            </w:pPr>
            <w:r>
              <w:rPr>
                <w:rFonts w:hint="default" w:ascii="Times New Roman" w:hAnsi="Times New Roman" w:eastAsia="宋体" w:cs="Times New Roman"/>
                <w:color w:val="auto"/>
                <w:szCs w:val="21"/>
                <w:u w:val="none"/>
              </w:rPr>
              <w:t>含</w:t>
            </w:r>
            <w:r>
              <w:rPr>
                <w:rFonts w:hint="default" w:cs="Times New Roman"/>
                <w:color w:val="auto"/>
                <w:szCs w:val="21"/>
                <w:u w:val="none"/>
                <w:lang w:val="en-US" w:eastAsia="zh-CN"/>
              </w:rPr>
              <w:t>机油</w:t>
            </w:r>
          </w:p>
        </w:tc>
        <w:tc>
          <w:tcPr>
            <w:tcW w:w="1741" w:type="dxa"/>
            <w:vAlign w:val="center"/>
          </w:tcPr>
          <w:p w14:paraId="4A2EC58D">
            <w:pPr>
              <w:widowControl/>
              <w:jc w:val="center"/>
              <w:textAlignment w:val="center"/>
              <w:rPr>
                <w:rFonts w:hint="default" w:ascii="Times New Roman" w:hAnsi="Times New Roman" w:eastAsia="宋体" w:cs="Times New Roman"/>
                <w:snapToGrid w:val="0"/>
                <w:color w:val="auto"/>
                <w:kern w:val="21"/>
                <w:szCs w:val="21"/>
                <w:u w:val="none"/>
              </w:rPr>
            </w:pPr>
            <w:r>
              <w:rPr>
                <w:rFonts w:hint="default" w:ascii="Times New Roman" w:hAnsi="Times New Roman" w:eastAsia="宋体" w:cs="Times New Roman"/>
                <w:snapToGrid w:val="0"/>
                <w:color w:val="auto"/>
                <w:kern w:val="21"/>
                <w:szCs w:val="21"/>
                <w:u w:val="none"/>
              </w:rPr>
              <w:t>/</w:t>
            </w:r>
          </w:p>
        </w:tc>
        <w:tc>
          <w:tcPr>
            <w:tcW w:w="1194" w:type="dxa"/>
            <w:vAlign w:val="center"/>
          </w:tcPr>
          <w:p w14:paraId="54B7D982">
            <w:pPr>
              <w:widowControl/>
              <w:jc w:val="center"/>
              <w:textAlignment w:val="center"/>
              <w:rPr>
                <w:rFonts w:hint="default" w:ascii="Times New Roman" w:hAnsi="Times New Roman" w:eastAsia="宋体" w:cs="Times New Roman"/>
                <w:snapToGrid w:val="0"/>
                <w:color w:val="auto"/>
                <w:kern w:val="21"/>
                <w:sz w:val="21"/>
                <w:szCs w:val="21"/>
                <w:u w:val="none"/>
                <w:lang w:val="en-US" w:eastAsia="zh-CN" w:bidi="ar-SA"/>
              </w:rPr>
            </w:pPr>
            <w:r>
              <w:rPr>
                <w:rFonts w:hint="default" w:ascii="Times New Roman" w:hAnsi="Times New Roman" w:eastAsia="宋体" w:cs="Times New Roman"/>
                <w:snapToGrid w:val="0"/>
                <w:color w:val="auto"/>
                <w:kern w:val="21"/>
                <w:szCs w:val="21"/>
                <w:u w:val="none"/>
              </w:rPr>
              <w:t>/</w:t>
            </w:r>
          </w:p>
        </w:tc>
        <w:tc>
          <w:tcPr>
            <w:tcW w:w="1592" w:type="dxa"/>
            <w:vAlign w:val="center"/>
          </w:tcPr>
          <w:p w14:paraId="3F757838">
            <w:pPr>
              <w:widowControl/>
              <w:jc w:val="center"/>
              <w:textAlignment w:val="center"/>
              <w:rPr>
                <w:rFonts w:hint="default" w:ascii="Times New Roman" w:hAnsi="Times New Roman" w:eastAsia="宋体" w:cs="Times New Roman"/>
                <w:snapToGrid w:val="0"/>
                <w:color w:val="auto"/>
                <w:kern w:val="21"/>
                <w:sz w:val="21"/>
                <w:szCs w:val="21"/>
                <w:u w:val="none"/>
                <w:lang w:val="en-US" w:eastAsia="zh-CN" w:bidi="ar-SA"/>
              </w:rPr>
            </w:pPr>
            <w:r>
              <w:rPr>
                <w:rFonts w:hint="default" w:ascii="Times New Roman" w:hAnsi="Times New Roman" w:eastAsia="宋体" w:cs="Times New Roman"/>
                <w:snapToGrid w:val="0"/>
                <w:color w:val="auto"/>
                <w:kern w:val="21"/>
                <w:szCs w:val="21"/>
                <w:u w:val="none"/>
              </w:rPr>
              <w:t>/</w:t>
            </w:r>
          </w:p>
        </w:tc>
        <w:tc>
          <w:tcPr>
            <w:tcW w:w="1458" w:type="dxa"/>
            <w:vAlign w:val="center"/>
          </w:tcPr>
          <w:p w14:paraId="7393306A">
            <w:pPr>
              <w:widowControl/>
              <w:jc w:val="center"/>
              <w:textAlignment w:val="center"/>
              <w:rPr>
                <w:rFonts w:hint="default" w:ascii="Times New Roman" w:hAnsi="Times New Roman" w:eastAsia="宋体" w:cs="Times New Roman"/>
                <w:color w:val="auto"/>
                <w:kern w:val="0"/>
                <w:szCs w:val="21"/>
                <w:u w:val="none"/>
                <w:lang w:bidi="ar"/>
              </w:rPr>
            </w:pPr>
            <w:r>
              <w:rPr>
                <w:rFonts w:hint="default" w:ascii="Times New Roman" w:hAnsi="Times New Roman" w:eastAsia="宋体" w:cs="Times New Roman"/>
                <w:color w:val="auto"/>
                <w:kern w:val="0"/>
                <w:szCs w:val="21"/>
                <w:u w:val="none"/>
                <w:lang w:bidi="ar"/>
              </w:rPr>
              <w:t>0.0</w:t>
            </w:r>
            <w:r>
              <w:rPr>
                <w:rFonts w:hint="default" w:cs="Times New Roman"/>
                <w:color w:val="auto"/>
                <w:kern w:val="0"/>
                <w:szCs w:val="21"/>
                <w:u w:val="none"/>
                <w:lang w:val="en-US" w:eastAsia="zh-CN" w:bidi="ar"/>
              </w:rPr>
              <w:t>2</w:t>
            </w:r>
            <w:r>
              <w:rPr>
                <w:rFonts w:hint="default" w:ascii="Times New Roman" w:hAnsi="Times New Roman" w:eastAsia="宋体" w:cs="Times New Roman"/>
                <w:color w:val="auto"/>
                <w:kern w:val="0"/>
                <w:szCs w:val="21"/>
                <w:u w:val="none"/>
                <w:lang w:bidi="ar"/>
              </w:rPr>
              <w:t>t/a</w:t>
            </w:r>
          </w:p>
        </w:tc>
        <w:tc>
          <w:tcPr>
            <w:tcW w:w="1646" w:type="dxa"/>
            <w:vAlign w:val="center"/>
          </w:tcPr>
          <w:p w14:paraId="27A23B23">
            <w:pPr>
              <w:widowControl/>
              <w:jc w:val="center"/>
              <w:textAlignment w:val="center"/>
              <w:rPr>
                <w:rFonts w:hint="default" w:ascii="Times New Roman" w:hAnsi="Times New Roman" w:eastAsia="宋体" w:cs="Times New Roman"/>
                <w:snapToGrid w:val="0"/>
                <w:color w:val="auto"/>
                <w:kern w:val="21"/>
                <w:sz w:val="21"/>
                <w:szCs w:val="21"/>
                <w:u w:val="none"/>
                <w:lang w:val="en-US" w:eastAsia="zh-CN" w:bidi="ar-SA"/>
              </w:rPr>
            </w:pPr>
            <w:r>
              <w:rPr>
                <w:rFonts w:hint="default" w:ascii="Times New Roman" w:hAnsi="Times New Roman" w:eastAsia="宋体" w:cs="Times New Roman"/>
                <w:snapToGrid w:val="0"/>
                <w:color w:val="auto"/>
                <w:kern w:val="21"/>
                <w:szCs w:val="21"/>
                <w:u w:val="none"/>
              </w:rPr>
              <w:t>/</w:t>
            </w:r>
          </w:p>
        </w:tc>
        <w:tc>
          <w:tcPr>
            <w:tcW w:w="1437" w:type="dxa"/>
            <w:vAlign w:val="center"/>
          </w:tcPr>
          <w:p w14:paraId="7D9EB7CA">
            <w:pPr>
              <w:widowControl/>
              <w:jc w:val="center"/>
              <w:textAlignment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Cs w:val="21"/>
                <w:u w:val="none"/>
                <w:lang w:bidi="ar"/>
              </w:rPr>
              <w:t>0.0</w:t>
            </w:r>
            <w:r>
              <w:rPr>
                <w:rFonts w:hint="default" w:cs="Times New Roman"/>
                <w:color w:val="auto"/>
                <w:kern w:val="0"/>
                <w:szCs w:val="21"/>
                <w:u w:val="none"/>
                <w:lang w:val="en-US" w:eastAsia="zh-CN" w:bidi="ar"/>
              </w:rPr>
              <w:t>2</w:t>
            </w:r>
            <w:r>
              <w:rPr>
                <w:rFonts w:hint="default" w:ascii="Times New Roman" w:hAnsi="Times New Roman" w:eastAsia="宋体" w:cs="Times New Roman"/>
                <w:color w:val="auto"/>
                <w:kern w:val="0"/>
                <w:szCs w:val="21"/>
                <w:u w:val="none"/>
                <w:lang w:bidi="ar"/>
              </w:rPr>
              <w:t>t/a</w:t>
            </w:r>
          </w:p>
        </w:tc>
        <w:tc>
          <w:tcPr>
            <w:tcW w:w="1481" w:type="dxa"/>
            <w:vAlign w:val="center"/>
          </w:tcPr>
          <w:p w14:paraId="4DA45425">
            <w:pPr>
              <w:widowControl/>
              <w:jc w:val="center"/>
              <w:textAlignment w:val="center"/>
              <w:rPr>
                <w:rFonts w:hint="default" w:ascii="Times New Roman" w:hAnsi="Times New Roman" w:eastAsia="宋体" w:cs="Times New Roman"/>
                <w:color w:val="auto"/>
                <w:kern w:val="0"/>
                <w:szCs w:val="21"/>
                <w:u w:val="none"/>
                <w:lang w:bidi="ar"/>
              </w:rPr>
            </w:pPr>
          </w:p>
        </w:tc>
      </w:tr>
      <w:tr w14:paraId="784231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05" w:type="dxa"/>
            <w:vMerge w:val="continue"/>
            <w:vAlign w:val="center"/>
          </w:tcPr>
          <w:p w14:paraId="3876708D">
            <w:pPr>
              <w:pStyle w:val="66"/>
              <w:spacing w:beforeLines="0" w:afterLines="0" w:line="240" w:lineRule="auto"/>
              <w:rPr>
                <w:rFonts w:hint="default" w:ascii="Times New Roman" w:hAnsi="Times New Roman" w:eastAsia="宋体" w:cs="Times New Roman"/>
                <w:snapToGrid w:val="0"/>
                <w:color w:val="auto"/>
                <w:kern w:val="21"/>
                <w:szCs w:val="21"/>
                <w:u w:val="none"/>
              </w:rPr>
            </w:pPr>
          </w:p>
        </w:tc>
        <w:tc>
          <w:tcPr>
            <w:tcW w:w="1556" w:type="dxa"/>
            <w:vAlign w:val="center"/>
          </w:tcPr>
          <w:p w14:paraId="0850CE9A">
            <w:pPr>
              <w:widowControl/>
              <w:adjustRightInd w:val="0"/>
              <w:snapToGrid w:val="0"/>
              <w:jc w:val="center"/>
              <w:rPr>
                <w:rFonts w:hint="default" w:ascii="Times New Roman" w:hAnsi="Times New Roman" w:eastAsia="宋体" w:cs="Times New Roman"/>
                <w:color w:val="auto"/>
                <w:szCs w:val="21"/>
                <w:u w:val="none"/>
                <w:lang w:eastAsia="zh-CN"/>
              </w:rPr>
            </w:pPr>
            <w:r>
              <w:rPr>
                <w:rFonts w:hint="default" w:ascii="Times New Roman" w:hAnsi="Times New Roman" w:eastAsia="宋体" w:cs="Times New Roman"/>
                <w:color w:val="auto"/>
                <w:szCs w:val="21"/>
                <w:u w:val="none"/>
                <w:lang w:eastAsia="zh-CN"/>
              </w:rPr>
              <w:t>废活性炭</w:t>
            </w:r>
          </w:p>
        </w:tc>
        <w:tc>
          <w:tcPr>
            <w:tcW w:w="1741" w:type="dxa"/>
            <w:vAlign w:val="center"/>
          </w:tcPr>
          <w:p w14:paraId="7C117C00">
            <w:pPr>
              <w:widowControl/>
              <w:jc w:val="center"/>
              <w:textAlignment w:val="center"/>
              <w:rPr>
                <w:rFonts w:hint="default" w:ascii="Times New Roman" w:hAnsi="Times New Roman" w:eastAsia="宋体" w:cs="Times New Roman"/>
                <w:snapToGrid w:val="0"/>
                <w:color w:val="auto"/>
                <w:kern w:val="21"/>
                <w:szCs w:val="21"/>
                <w:u w:val="none"/>
              </w:rPr>
            </w:pPr>
            <w:r>
              <w:rPr>
                <w:rFonts w:hint="default" w:ascii="Times New Roman" w:hAnsi="Times New Roman" w:eastAsia="宋体" w:cs="Times New Roman"/>
                <w:snapToGrid w:val="0"/>
                <w:color w:val="auto"/>
                <w:kern w:val="21"/>
                <w:szCs w:val="21"/>
                <w:u w:val="none"/>
              </w:rPr>
              <w:t>/</w:t>
            </w:r>
          </w:p>
        </w:tc>
        <w:tc>
          <w:tcPr>
            <w:tcW w:w="1194" w:type="dxa"/>
            <w:vAlign w:val="center"/>
          </w:tcPr>
          <w:p w14:paraId="5A3C7A26">
            <w:pPr>
              <w:widowControl/>
              <w:jc w:val="center"/>
              <w:textAlignment w:val="center"/>
              <w:rPr>
                <w:rFonts w:hint="default" w:ascii="Times New Roman" w:hAnsi="Times New Roman" w:eastAsia="宋体" w:cs="Times New Roman"/>
                <w:snapToGrid w:val="0"/>
                <w:color w:val="auto"/>
                <w:kern w:val="21"/>
                <w:sz w:val="21"/>
                <w:szCs w:val="21"/>
                <w:u w:val="none"/>
                <w:lang w:val="en-US" w:eastAsia="zh-CN" w:bidi="ar-SA"/>
              </w:rPr>
            </w:pPr>
            <w:r>
              <w:rPr>
                <w:rFonts w:hint="default" w:ascii="Times New Roman" w:hAnsi="Times New Roman" w:eastAsia="宋体" w:cs="Times New Roman"/>
                <w:snapToGrid w:val="0"/>
                <w:color w:val="auto"/>
                <w:kern w:val="21"/>
                <w:szCs w:val="21"/>
                <w:u w:val="none"/>
              </w:rPr>
              <w:t>/</w:t>
            </w:r>
          </w:p>
        </w:tc>
        <w:tc>
          <w:tcPr>
            <w:tcW w:w="1592" w:type="dxa"/>
            <w:vAlign w:val="center"/>
          </w:tcPr>
          <w:p w14:paraId="3A52272A">
            <w:pPr>
              <w:widowControl/>
              <w:jc w:val="center"/>
              <w:textAlignment w:val="center"/>
              <w:rPr>
                <w:rFonts w:hint="default" w:ascii="Times New Roman" w:hAnsi="Times New Roman" w:eastAsia="宋体" w:cs="Times New Roman"/>
                <w:snapToGrid w:val="0"/>
                <w:color w:val="auto"/>
                <w:kern w:val="21"/>
                <w:sz w:val="21"/>
                <w:szCs w:val="21"/>
                <w:u w:val="none"/>
                <w:lang w:val="en-US" w:eastAsia="zh-CN" w:bidi="ar-SA"/>
              </w:rPr>
            </w:pPr>
            <w:r>
              <w:rPr>
                <w:rFonts w:hint="default" w:ascii="Times New Roman" w:hAnsi="Times New Roman" w:eastAsia="宋体" w:cs="Times New Roman"/>
                <w:snapToGrid w:val="0"/>
                <w:color w:val="auto"/>
                <w:kern w:val="21"/>
                <w:szCs w:val="21"/>
                <w:u w:val="none"/>
              </w:rPr>
              <w:t>/</w:t>
            </w:r>
          </w:p>
        </w:tc>
        <w:tc>
          <w:tcPr>
            <w:tcW w:w="1458" w:type="dxa"/>
            <w:vAlign w:val="center"/>
          </w:tcPr>
          <w:p w14:paraId="3EA31FAF">
            <w:pPr>
              <w:widowControl/>
              <w:jc w:val="center"/>
              <w:textAlignment w:val="center"/>
              <w:rPr>
                <w:rFonts w:hint="default" w:ascii="Times New Roman" w:hAnsi="Times New Roman" w:eastAsia="宋体" w:cs="Times New Roman"/>
                <w:color w:val="auto"/>
                <w:kern w:val="0"/>
                <w:szCs w:val="21"/>
                <w:u w:val="none"/>
                <w:lang w:bidi="ar"/>
              </w:rPr>
            </w:pPr>
            <w:r>
              <w:rPr>
                <w:rFonts w:hint="default" w:cs="Times New Roman"/>
                <w:color w:val="auto"/>
                <w:kern w:val="0"/>
                <w:szCs w:val="21"/>
                <w:u w:val="none"/>
                <w:lang w:val="en-US" w:eastAsia="zh-CN" w:bidi="ar"/>
              </w:rPr>
              <w:t>0.2442</w:t>
            </w:r>
            <w:r>
              <w:rPr>
                <w:rFonts w:hint="default" w:ascii="Times New Roman" w:hAnsi="Times New Roman" w:eastAsia="宋体" w:cs="Times New Roman"/>
                <w:color w:val="auto"/>
                <w:kern w:val="0"/>
                <w:szCs w:val="21"/>
                <w:u w:val="none"/>
                <w:lang w:bidi="ar"/>
              </w:rPr>
              <w:t>t/a</w:t>
            </w:r>
          </w:p>
        </w:tc>
        <w:tc>
          <w:tcPr>
            <w:tcW w:w="1646" w:type="dxa"/>
            <w:vAlign w:val="center"/>
          </w:tcPr>
          <w:p w14:paraId="50027E40">
            <w:pPr>
              <w:widowControl/>
              <w:jc w:val="center"/>
              <w:textAlignment w:val="center"/>
              <w:rPr>
                <w:rFonts w:hint="default" w:ascii="Times New Roman" w:hAnsi="Times New Roman" w:eastAsia="宋体" w:cs="Times New Roman"/>
                <w:snapToGrid w:val="0"/>
                <w:color w:val="auto"/>
                <w:kern w:val="21"/>
                <w:sz w:val="21"/>
                <w:szCs w:val="21"/>
                <w:u w:val="none"/>
                <w:lang w:val="en-US" w:eastAsia="zh-CN" w:bidi="ar-SA"/>
              </w:rPr>
            </w:pPr>
            <w:r>
              <w:rPr>
                <w:rFonts w:hint="default" w:ascii="Times New Roman" w:hAnsi="Times New Roman" w:eastAsia="宋体" w:cs="Times New Roman"/>
                <w:snapToGrid w:val="0"/>
                <w:color w:val="auto"/>
                <w:kern w:val="21"/>
                <w:szCs w:val="21"/>
                <w:u w:val="none"/>
              </w:rPr>
              <w:t>/</w:t>
            </w:r>
          </w:p>
        </w:tc>
        <w:tc>
          <w:tcPr>
            <w:tcW w:w="1437" w:type="dxa"/>
            <w:vAlign w:val="center"/>
          </w:tcPr>
          <w:p w14:paraId="14E72FFA">
            <w:pPr>
              <w:widowControl/>
              <w:jc w:val="center"/>
              <w:textAlignment w:val="center"/>
              <w:rPr>
                <w:rFonts w:hint="default" w:ascii="Times New Roman" w:hAnsi="Times New Roman" w:eastAsia="宋体" w:cs="Times New Roman"/>
                <w:color w:val="auto"/>
                <w:kern w:val="0"/>
                <w:sz w:val="21"/>
                <w:szCs w:val="21"/>
                <w:u w:val="none"/>
                <w:lang w:val="en-US" w:eastAsia="zh-CN" w:bidi="ar"/>
              </w:rPr>
            </w:pPr>
            <w:r>
              <w:rPr>
                <w:rFonts w:hint="default" w:cs="Times New Roman"/>
                <w:color w:val="auto"/>
                <w:kern w:val="0"/>
                <w:szCs w:val="21"/>
                <w:u w:val="none"/>
                <w:lang w:val="en-US" w:eastAsia="zh-CN" w:bidi="ar"/>
              </w:rPr>
              <w:t>0.2442</w:t>
            </w:r>
            <w:r>
              <w:rPr>
                <w:rFonts w:hint="default" w:ascii="Times New Roman" w:hAnsi="Times New Roman" w:eastAsia="宋体" w:cs="Times New Roman"/>
                <w:color w:val="auto"/>
                <w:kern w:val="0"/>
                <w:szCs w:val="21"/>
                <w:u w:val="none"/>
                <w:lang w:bidi="ar"/>
              </w:rPr>
              <w:t>t/a</w:t>
            </w:r>
          </w:p>
        </w:tc>
        <w:tc>
          <w:tcPr>
            <w:tcW w:w="1481" w:type="dxa"/>
            <w:vAlign w:val="center"/>
          </w:tcPr>
          <w:p w14:paraId="5DEB9330">
            <w:pPr>
              <w:widowControl/>
              <w:jc w:val="center"/>
              <w:textAlignment w:val="center"/>
              <w:rPr>
                <w:rFonts w:hint="default" w:ascii="Times New Roman" w:hAnsi="Times New Roman" w:eastAsia="宋体" w:cs="Times New Roman"/>
                <w:color w:val="auto"/>
                <w:kern w:val="0"/>
                <w:szCs w:val="21"/>
                <w:u w:val="none"/>
                <w:lang w:bidi="ar"/>
              </w:rPr>
            </w:pPr>
          </w:p>
        </w:tc>
      </w:tr>
      <w:tr w14:paraId="0AA7A1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05" w:type="dxa"/>
            <w:vMerge w:val="restart"/>
            <w:vAlign w:val="center"/>
          </w:tcPr>
          <w:p w14:paraId="7BD3A357">
            <w:pPr>
              <w:pStyle w:val="66"/>
              <w:spacing w:beforeLines="0" w:afterLines="0" w:line="240" w:lineRule="auto"/>
              <w:rPr>
                <w:rFonts w:hint="default" w:ascii="Times New Roman" w:hAnsi="Times New Roman" w:eastAsia="宋体" w:cs="Times New Roman"/>
                <w:snapToGrid w:val="0"/>
                <w:color w:val="auto"/>
                <w:kern w:val="21"/>
                <w:szCs w:val="21"/>
                <w:u w:val="none"/>
              </w:rPr>
            </w:pPr>
            <w:r>
              <w:rPr>
                <w:rFonts w:hint="default" w:ascii="Times New Roman" w:hAnsi="Times New Roman" w:eastAsia="宋体" w:cs="Times New Roman"/>
                <w:snapToGrid w:val="0"/>
                <w:color w:val="auto"/>
                <w:kern w:val="21"/>
                <w:szCs w:val="21"/>
                <w:u w:val="none"/>
              </w:rPr>
              <w:t>一般固废</w:t>
            </w:r>
          </w:p>
        </w:tc>
        <w:tc>
          <w:tcPr>
            <w:tcW w:w="1556" w:type="dxa"/>
            <w:vAlign w:val="center"/>
          </w:tcPr>
          <w:p w14:paraId="106C19DD">
            <w:pPr>
              <w:widowControl/>
              <w:adjustRightInd w:val="0"/>
              <w:snapToGrid w:val="0"/>
              <w:jc w:val="center"/>
              <w:rPr>
                <w:rFonts w:hint="default" w:ascii="Times New Roman" w:hAnsi="Times New Roman" w:eastAsia="宋体" w:cs="Times New Roman"/>
                <w:color w:val="auto"/>
                <w:szCs w:val="21"/>
                <w:u w:val="none"/>
              </w:rPr>
            </w:pPr>
            <w:r>
              <w:rPr>
                <w:rFonts w:hint="default" w:ascii="Times New Roman" w:hAnsi="Times New Roman" w:eastAsia="宋体" w:cs="Times New Roman"/>
                <w:color w:val="auto"/>
                <w:szCs w:val="21"/>
                <w:u w:val="none"/>
              </w:rPr>
              <w:t>生活垃圾</w:t>
            </w:r>
          </w:p>
        </w:tc>
        <w:tc>
          <w:tcPr>
            <w:tcW w:w="1741" w:type="dxa"/>
            <w:vAlign w:val="center"/>
          </w:tcPr>
          <w:p w14:paraId="65AF9FCE">
            <w:pPr>
              <w:jc w:val="center"/>
              <w:rPr>
                <w:rFonts w:hint="default" w:ascii="Times New Roman" w:hAnsi="Times New Roman" w:eastAsia="宋体" w:cs="Times New Roman"/>
                <w:snapToGrid w:val="0"/>
                <w:color w:val="auto"/>
                <w:kern w:val="21"/>
                <w:sz w:val="21"/>
                <w:szCs w:val="21"/>
                <w:u w:val="none"/>
                <w:lang w:val="en-US" w:eastAsia="zh-CN" w:bidi="ar-SA"/>
              </w:rPr>
            </w:pPr>
            <w:r>
              <w:rPr>
                <w:rFonts w:hint="default" w:ascii="Times New Roman" w:hAnsi="Times New Roman" w:eastAsia="宋体" w:cs="Times New Roman"/>
                <w:snapToGrid w:val="0"/>
                <w:color w:val="auto"/>
                <w:kern w:val="21"/>
                <w:szCs w:val="21"/>
                <w:u w:val="none"/>
              </w:rPr>
              <w:t>/</w:t>
            </w:r>
          </w:p>
        </w:tc>
        <w:tc>
          <w:tcPr>
            <w:tcW w:w="1194" w:type="dxa"/>
            <w:vAlign w:val="center"/>
          </w:tcPr>
          <w:p w14:paraId="37C53568">
            <w:pPr>
              <w:jc w:val="center"/>
              <w:rPr>
                <w:rFonts w:hint="default" w:ascii="Times New Roman" w:hAnsi="Times New Roman" w:eastAsia="宋体" w:cs="Times New Roman"/>
                <w:snapToGrid w:val="0"/>
                <w:color w:val="auto"/>
                <w:kern w:val="21"/>
                <w:sz w:val="21"/>
                <w:szCs w:val="21"/>
                <w:u w:val="none"/>
                <w:lang w:val="en-US" w:eastAsia="zh-CN" w:bidi="ar-SA"/>
              </w:rPr>
            </w:pPr>
            <w:r>
              <w:rPr>
                <w:rFonts w:hint="default" w:ascii="Times New Roman" w:hAnsi="Times New Roman" w:eastAsia="宋体" w:cs="Times New Roman"/>
                <w:snapToGrid w:val="0"/>
                <w:color w:val="auto"/>
                <w:kern w:val="21"/>
                <w:szCs w:val="21"/>
                <w:u w:val="none"/>
              </w:rPr>
              <w:t>/</w:t>
            </w:r>
          </w:p>
        </w:tc>
        <w:tc>
          <w:tcPr>
            <w:tcW w:w="1592" w:type="dxa"/>
            <w:vAlign w:val="center"/>
          </w:tcPr>
          <w:p w14:paraId="4BF51338">
            <w:pPr>
              <w:jc w:val="center"/>
              <w:rPr>
                <w:rFonts w:hint="default" w:ascii="Times New Roman" w:hAnsi="Times New Roman" w:eastAsia="宋体" w:cs="Times New Roman"/>
                <w:snapToGrid w:val="0"/>
                <w:color w:val="auto"/>
                <w:kern w:val="21"/>
                <w:sz w:val="21"/>
                <w:szCs w:val="21"/>
                <w:u w:val="none"/>
                <w:lang w:val="en-US" w:eastAsia="zh-CN" w:bidi="ar-SA"/>
              </w:rPr>
            </w:pPr>
            <w:r>
              <w:rPr>
                <w:rFonts w:hint="default" w:ascii="Times New Roman" w:hAnsi="Times New Roman" w:eastAsia="宋体" w:cs="Times New Roman"/>
                <w:snapToGrid w:val="0"/>
                <w:color w:val="auto"/>
                <w:kern w:val="21"/>
                <w:szCs w:val="21"/>
                <w:u w:val="none"/>
              </w:rPr>
              <w:t>/</w:t>
            </w:r>
          </w:p>
        </w:tc>
        <w:tc>
          <w:tcPr>
            <w:tcW w:w="1458" w:type="dxa"/>
            <w:vAlign w:val="center"/>
          </w:tcPr>
          <w:p w14:paraId="1E2B9571">
            <w:pPr>
              <w:widowControl/>
              <w:jc w:val="center"/>
              <w:textAlignment w:val="center"/>
              <w:rPr>
                <w:rFonts w:hint="default" w:ascii="Times New Roman" w:hAnsi="Times New Roman" w:eastAsia="宋体" w:cs="Times New Roman"/>
                <w:color w:val="auto"/>
                <w:kern w:val="0"/>
                <w:szCs w:val="21"/>
                <w:u w:val="none"/>
                <w:lang w:bidi="ar"/>
              </w:rPr>
            </w:pPr>
            <w:r>
              <w:rPr>
                <w:rFonts w:hint="default" w:cs="Times New Roman"/>
                <w:color w:val="auto"/>
                <w:kern w:val="0"/>
                <w:szCs w:val="21"/>
                <w:u w:val="none"/>
                <w:lang w:val="en-US" w:eastAsia="zh-CN" w:bidi="ar"/>
              </w:rPr>
              <w:t>1.5</w:t>
            </w:r>
            <w:r>
              <w:rPr>
                <w:rFonts w:hint="default" w:ascii="Times New Roman" w:hAnsi="Times New Roman" w:eastAsia="宋体" w:cs="Times New Roman"/>
                <w:color w:val="auto"/>
                <w:kern w:val="0"/>
                <w:szCs w:val="21"/>
                <w:u w:val="none"/>
                <w:lang w:bidi="ar"/>
              </w:rPr>
              <w:t>t/a</w:t>
            </w:r>
          </w:p>
        </w:tc>
        <w:tc>
          <w:tcPr>
            <w:tcW w:w="1646" w:type="dxa"/>
            <w:vAlign w:val="center"/>
          </w:tcPr>
          <w:p w14:paraId="4BAFB52B">
            <w:pPr>
              <w:jc w:val="center"/>
              <w:rPr>
                <w:rFonts w:hint="default" w:ascii="Times New Roman" w:hAnsi="Times New Roman" w:eastAsia="宋体" w:cs="Times New Roman"/>
                <w:snapToGrid w:val="0"/>
                <w:color w:val="auto"/>
                <w:kern w:val="21"/>
                <w:sz w:val="21"/>
                <w:szCs w:val="21"/>
                <w:u w:val="none"/>
                <w:lang w:val="en-US" w:eastAsia="zh-CN" w:bidi="ar-SA"/>
              </w:rPr>
            </w:pPr>
            <w:r>
              <w:rPr>
                <w:rFonts w:hint="default" w:ascii="Times New Roman" w:hAnsi="Times New Roman" w:eastAsia="宋体" w:cs="Times New Roman"/>
                <w:snapToGrid w:val="0"/>
                <w:color w:val="auto"/>
                <w:kern w:val="21"/>
                <w:szCs w:val="21"/>
                <w:u w:val="none"/>
              </w:rPr>
              <w:t>/</w:t>
            </w:r>
          </w:p>
        </w:tc>
        <w:tc>
          <w:tcPr>
            <w:tcW w:w="1437" w:type="dxa"/>
            <w:vAlign w:val="center"/>
          </w:tcPr>
          <w:p w14:paraId="2AFA8196">
            <w:pPr>
              <w:widowControl/>
              <w:jc w:val="center"/>
              <w:textAlignment w:val="center"/>
              <w:rPr>
                <w:rFonts w:hint="default" w:ascii="Times New Roman" w:hAnsi="Times New Roman" w:eastAsia="宋体" w:cs="Times New Roman"/>
                <w:color w:val="auto"/>
                <w:kern w:val="0"/>
                <w:sz w:val="21"/>
                <w:szCs w:val="21"/>
                <w:u w:val="none"/>
                <w:lang w:val="en-US" w:eastAsia="zh-CN" w:bidi="ar"/>
              </w:rPr>
            </w:pPr>
            <w:r>
              <w:rPr>
                <w:rFonts w:hint="default" w:cs="Times New Roman"/>
                <w:color w:val="auto"/>
                <w:kern w:val="0"/>
                <w:szCs w:val="21"/>
                <w:u w:val="none"/>
                <w:lang w:val="en-US" w:eastAsia="zh-CN" w:bidi="ar"/>
              </w:rPr>
              <w:t>1.5</w:t>
            </w:r>
            <w:r>
              <w:rPr>
                <w:rFonts w:hint="default" w:ascii="Times New Roman" w:hAnsi="Times New Roman" w:eastAsia="宋体" w:cs="Times New Roman"/>
                <w:color w:val="auto"/>
                <w:kern w:val="0"/>
                <w:szCs w:val="21"/>
                <w:u w:val="none"/>
                <w:lang w:bidi="ar"/>
              </w:rPr>
              <w:t>t/a</w:t>
            </w:r>
          </w:p>
        </w:tc>
        <w:tc>
          <w:tcPr>
            <w:tcW w:w="1481" w:type="dxa"/>
            <w:vAlign w:val="center"/>
          </w:tcPr>
          <w:p w14:paraId="00D0582E">
            <w:pPr>
              <w:widowControl/>
              <w:jc w:val="center"/>
              <w:textAlignment w:val="center"/>
              <w:rPr>
                <w:rFonts w:hint="default" w:ascii="Times New Roman" w:hAnsi="Times New Roman" w:eastAsia="宋体" w:cs="Times New Roman"/>
                <w:snapToGrid w:val="0"/>
                <w:color w:val="auto"/>
                <w:kern w:val="21"/>
                <w:szCs w:val="21"/>
                <w:u w:val="none"/>
              </w:rPr>
            </w:pPr>
          </w:p>
        </w:tc>
      </w:tr>
      <w:tr w14:paraId="58AF9C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105" w:type="dxa"/>
            <w:vMerge w:val="continue"/>
            <w:vAlign w:val="center"/>
          </w:tcPr>
          <w:p w14:paraId="0E5F4EFF">
            <w:pPr>
              <w:pStyle w:val="66"/>
              <w:spacing w:beforeLines="0" w:afterLines="0" w:line="240" w:lineRule="auto"/>
              <w:rPr>
                <w:rFonts w:hint="default" w:ascii="Times New Roman" w:hAnsi="Times New Roman" w:eastAsia="宋体" w:cs="Times New Roman"/>
                <w:snapToGrid w:val="0"/>
                <w:color w:val="auto"/>
                <w:kern w:val="21"/>
                <w:szCs w:val="21"/>
                <w:u w:val="none"/>
              </w:rPr>
            </w:pPr>
          </w:p>
        </w:tc>
        <w:tc>
          <w:tcPr>
            <w:tcW w:w="1556" w:type="dxa"/>
            <w:vAlign w:val="center"/>
          </w:tcPr>
          <w:p w14:paraId="3518735A">
            <w:pPr>
              <w:widowControl/>
              <w:adjustRightInd w:val="0"/>
              <w:snapToGrid w:val="0"/>
              <w:jc w:val="center"/>
              <w:rPr>
                <w:rFonts w:hint="default" w:ascii="Times New Roman" w:hAnsi="Times New Roman" w:eastAsia="宋体" w:cs="Times New Roman"/>
                <w:color w:val="auto"/>
                <w:szCs w:val="21"/>
                <w:u w:val="none"/>
                <w:lang w:eastAsia="zh-CN"/>
              </w:rPr>
            </w:pPr>
            <w:r>
              <w:rPr>
                <w:rFonts w:hint="default" w:ascii="Times New Roman" w:hAnsi="Times New Roman" w:eastAsia="宋体" w:cs="Times New Roman"/>
                <w:color w:val="auto"/>
                <w:szCs w:val="21"/>
                <w:u w:val="none"/>
                <w:lang w:eastAsia="zh-CN"/>
              </w:rPr>
              <w:t>废包装袋</w:t>
            </w:r>
          </w:p>
        </w:tc>
        <w:tc>
          <w:tcPr>
            <w:tcW w:w="1741" w:type="dxa"/>
            <w:vAlign w:val="center"/>
          </w:tcPr>
          <w:p w14:paraId="2956F89D">
            <w:pPr>
              <w:jc w:val="center"/>
              <w:rPr>
                <w:rFonts w:hint="default" w:ascii="Times New Roman" w:hAnsi="Times New Roman" w:eastAsia="宋体" w:cs="Times New Roman"/>
                <w:snapToGrid w:val="0"/>
                <w:color w:val="auto"/>
                <w:kern w:val="21"/>
                <w:sz w:val="21"/>
                <w:szCs w:val="21"/>
                <w:u w:val="none"/>
                <w:lang w:val="en-US" w:eastAsia="zh-CN" w:bidi="ar-SA"/>
              </w:rPr>
            </w:pPr>
            <w:r>
              <w:rPr>
                <w:rFonts w:hint="default" w:ascii="Times New Roman" w:hAnsi="Times New Roman" w:eastAsia="宋体" w:cs="Times New Roman"/>
                <w:snapToGrid w:val="0"/>
                <w:color w:val="auto"/>
                <w:kern w:val="21"/>
                <w:szCs w:val="21"/>
                <w:u w:val="none"/>
              </w:rPr>
              <w:t>/</w:t>
            </w:r>
          </w:p>
        </w:tc>
        <w:tc>
          <w:tcPr>
            <w:tcW w:w="1194" w:type="dxa"/>
            <w:vAlign w:val="center"/>
          </w:tcPr>
          <w:p w14:paraId="3507FAC6">
            <w:pPr>
              <w:jc w:val="center"/>
              <w:rPr>
                <w:rFonts w:hint="default" w:ascii="Times New Roman" w:hAnsi="Times New Roman" w:eastAsia="宋体" w:cs="Times New Roman"/>
                <w:snapToGrid w:val="0"/>
                <w:color w:val="auto"/>
                <w:kern w:val="21"/>
                <w:sz w:val="21"/>
                <w:szCs w:val="21"/>
                <w:u w:val="none"/>
                <w:lang w:val="en-US" w:eastAsia="zh-CN" w:bidi="ar-SA"/>
              </w:rPr>
            </w:pPr>
            <w:r>
              <w:rPr>
                <w:rFonts w:hint="default" w:ascii="Times New Roman" w:hAnsi="Times New Roman" w:eastAsia="宋体" w:cs="Times New Roman"/>
                <w:snapToGrid w:val="0"/>
                <w:color w:val="auto"/>
                <w:kern w:val="21"/>
                <w:szCs w:val="21"/>
                <w:u w:val="none"/>
              </w:rPr>
              <w:t>/</w:t>
            </w:r>
          </w:p>
        </w:tc>
        <w:tc>
          <w:tcPr>
            <w:tcW w:w="1592" w:type="dxa"/>
            <w:vAlign w:val="center"/>
          </w:tcPr>
          <w:p w14:paraId="4D90F576">
            <w:pPr>
              <w:jc w:val="center"/>
              <w:rPr>
                <w:rFonts w:hint="default" w:ascii="Times New Roman" w:hAnsi="Times New Roman" w:eastAsia="宋体" w:cs="Times New Roman"/>
                <w:snapToGrid w:val="0"/>
                <w:color w:val="auto"/>
                <w:kern w:val="21"/>
                <w:sz w:val="21"/>
                <w:szCs w:val="21"/>
                <w:u w:val="none"/>
                <w:lang w:val="en-US" w:eastAsia="zh-CN" w:bidi="ar-SA"/>
              </w:rPr>
            </w:pPr>
            <w:r>
              <w:rPr>
                <w:rFonts w:hint="default" w:ascii="Times New Roman" w:hAnsi="Times New Roman" w:eastAsia="宋体" w:cs="Times New Roman"/>
                <w:snapToGrid w:val="0"/>
                <w:color w:val="auto"/>
                <w:kern w:val="21"/>
                <w:szCs w:val="21"/>
                <w:u w:val="none"/>
              </w:rPr>
              <w:t>/</w:t>
            </w:r>
          </w:p>
        </w:tc>
        <w:tc>
          <w:tcPr>
            <w:tcW w:w="1458" w:type="dxa"/>
            <w:vAlign w:val="center"/>
          </w:tcPr>
          <w:p w14:paraId="44F10FB0">
            <w:pPr>
              <w:widowControl/>
              <w:jc w:val="center"/>
              <w:textAlignment w:val="center"/>
              <w:rPr>
                <w:rFonts w:hint="default" w:ascii="Times New Roman" w:hAnsi="Times New Roman" w:eastAsia="宋体" w:cs="Times New Roman"/>
                <w:color w:val="auto"/>
                <w:kern w:val="0"/>
                <w:szCs w:val="21"/>
                <w:u w:val="none"/>
                <w:lang w:val="en-US" w:eastAsia="zh-CN" w:bidi="ar"/>
              </w:rPr>
            </w:pPr>
            <w:r>
              <w:rPr>
                <w:rFonts w:hint="default" w:ascii="Times New Roman" w:hAnsi="Times New Roman" w:eastAsia="宋体" w:cs="Times New Roman"/>
                <w:color w:val="auto"/>
                <w:kern w:val="0"/>
                <w:szCs w:val="21"/>
                <w:u w:val="none"/>
                <w:lang w:val="en-US" w:eastAsia="zh-CN" w:bidi="ar"/>
              </w:rPr>
              <w:t>0.2</w:t>
            </w:r>
            <w:r>
              <w:rPr>
                <w:rFonts w:hint="default" w:ascii="Times New Roman" w:hAnsi="Times New Roman" w:eastAsia="宋体" w:cs="Times New Roman"/>
                <w:color w:val="auto"/>
                <w:kern w:val="0"/>
                <w:szCs w:val="21"/>
                <w:u w:val="none"/>
                <w:lang w:bidi="ar"/>
              </w:rPr>
              <w:t>t/a</w:t>
            </w:r>
          </w:p>
        </w:tc>
        <w:tc>
          <w:tcPr>
            <w:tcW w:w="1646" w:type="dxa"/>
            <w:vAlign w:val="center"/>
          </w:tcPr>
          <w:p w14:paraId="6357884A">
            <w:pPr>
              <w:jc w:val="center"/>
              <w:rPr>
                <w:rFonts w:hint="default" w:ascii="Times New Roman" w:hAnsi="Times New Roman" w:eastAsia="宋体" w:cs="Times New Roman"/>
                <w:snapToGrid w:val="0"/>
                <w:color w:val="auto"/>
                <w:kern w:val="21"/>
                <w:sz w:val="21"/>
                <w:szCs w:val="21"/>
                <w:u w:val="none"/>
                <w:lang w:val="en-US" w:eastAsia="zh-CN" w:bidi="ar-SA"/>
              </w:rPr>
            </w:pPr>
            <w:r>
              <w:rPr>
                <w:rFonts w:hint="default" w:ascii="Times New Roman" w:hAnsi="Times New Roman" w:eastAsia="宋体" w:cs="Times New Roman"/>
                <w:snapToGrid w:val="0"/>
                <w:color w:val="auto"/>
                <w:kern w:val="21"/>
                <w:szCs w:val="21"/>
                <w:u w:val="none"/>
              </w:rPr>
              <w:t>/</w:t>
            </w:r>
          </w:p>
        </w:tc>
        <w:tc>
          <w:tcPr>
            <w:tcW w:w="1437" w:type="dxa"/>
            <w:vAlign w:val="center"/>
          </w:tcPr>
          <w:p w14:paraId="6BD699F7">
            <w:pPr>
              <w:widowControl/>
              <w:jc w:val="center"/>
              <w:textAlignment w:val="center"/>
              <w:rPr>
                <w:rFonts w:hint="default" w:ascii="Times New Roman" w:hAnsi="Times New Roman" w:eastAsia="宋体" w:cs="Times New Roman"/>
                <w:color w:val="auto"/>
                <w:kern w:val="0"/>
                <w:sz w:val="21"/>
                <w:szCs w:val="21"/>
                <w:u w:val="none"/>
                <w:lang w:val="en-US" w:eastAsia="zh-CN" w:bidi="ar"/>
              </w:rPr>
            </w:pPr>
            <w:r>
              <w:rPr>
                <w:rFonts w:hint="default" w:ascii="Times New Roman" w:hAnsi="Times New Roman" w:eastAsia="宋体" w:cs="Times New Roman"/>
                <w:color w:val="auto"/>
                <w:kern w:val="0"/>
                <w:szCs w:val="21"/>
                <w:u w:val="none"/>
                <w:lang w:val="en-US" w:eastAsia="zh-CN" w:bidi="ar"/>
              </w:rPr>
              <w:t>0.2</w:t>
            </w:r>
            <w:r>
              <w:rPr>
                <w:rFonts w:hint="default" w:ascii="Times New Roman" w:hAnsi="Times New Roman" w:eastAsia="宋体" w:cs="Times New Roman"/>
                <w:color w:val="auto"/>
                <w:kern w:val="0"/>
                <w:szCs w:val="21"/>
                <w:u w:val="none"/>
                <w:lang w:bidi="ar"/>
              </w:rPr>
              <w:t>t/a</w:t>
            </w:r>
          </w:p>
        </w:tc>
        <w:tc>
          <w:tcPr>
            <w:tcW w:w="1481" w:type="dxa"/>
            <w:vAlign w:val="center"/>
          </w:tcPr>
          <w:p w14:paraId="7276874A">
            <w:pPr>
              <w:widowControl/>
              <w:jc w:val="center"/>
              <w:textAlignment w:val="center"/>
              <w:rPr>
                <w:rFonts w:hint="default" w:ascii="Times New Roman" w:hAnsi="Times New Roman" w:eastAsia="宋体" w:cs="Times New Roman"/>
                <w:color w:val="auto"/>
                <w:kern w:val="0"/>
                <w:szCs w:val="21"/>
                <w:u w:val="none"/>
                <w:lang w:bidi="ar"/>
              </w:rPr>
            </w:pPr>
          </w:p>
        </w:tc>
      </w:tr>
    </w:tbl>
    <w:p w14:paraId="2A469D7E">
      <w:pPr>
        <w:pStyle w:val="66"/>
        <w:spacing w:before="192" w:beforeLines="80" w:after="24"/>
        <w:jc w:val="left"/>
        <w:rPr>
          <w:rFonts w:hint="default" w:ascii="Times New Roman" w:hAnsi="Times New Roman" w:cs="Times New Roman"/>
          <w:snapToGrid w:val="0"/>
          <w:color w:val="auto"/>
          <w:spacing w:val="-6"/>
          <w:kern w:val="21"/>
          <w:szCs w:val="21"/>
          <w:u w:val="none"/>
        </w:rPr>
        <w:sectPr>
          <w:footerReference r:id="rId7" w:type="default"/>
          <w:pgSz w:w="16838" w:h="11906" w:orient="landscape"/>
          <w:pgMar w:top="1531" w:right="1701" w:bottom="1531" w:left="1701" w:header="851" w:footer="850" w:gutter="0"/>
          <w:pgBorders>
            <w:top w:val="none" w:sz="0" w:space="0"/>
            <w:left w:val="none" w:sz="0" w:space="0"/>
            <w:bottom w:val="none" w:sz="0" w:space="0"/>
            <w:right w:val="none" w:sz="0" w:space="0"/>
          </w:pgBorders>
          <w:cols w:space="720" w:num="1"/>
          <w:docGrid w:linePitch="312" w:charSpace="0"/>
        </w:sectPr>
      </w:pPr>
      <w:r>
        <w:rPr>
          <w:rFonts w:hint="default" w:ascii="Times New Roman" w:hAnsi="Times New Roman" w:cs="Times New Roman"/>
          <w:snapToGrid w:val="0"/>
          <w:color w:val="auto"/>
          <w:kern w:val="21"/>
          <w:szCs w:val="21"/>
          <w:u w:val="none"/>
        </w:rPr>
        <w:t>注：</w:t>
      </w:r>
      <w:r>
        <w:rPr>
          <w:rFonts w:hint="default" w:ascii="Times New Roman" w:hAnsi="Times New Roman" w:cs="Times New Roman"/>
          <w:snapToGrid w:val="0"/>
          <w:color w:val="auto"/>
          <w:spacing w:val="-16"/>
          <w:kern w:val="21"/>
          <w:szCs w:val="21"/>
          <w:u w:val="none"/>
        </w:rPr>
        <w:fldChar w:fldCharType="begin"/>
      </w:r>
      <w:r>
        <w:rPr>
          <w:rFonts w:hint="default" w:ascii="Times New Roman" w:hAnsi="Times New Roman" w:cs="Times New Roman"/>
          <w:snapToGrid w:val="0"/>
          <w:color w:val="auto"/>
          <w:spacing w:val="-16"/>
          <w:kern w:val="21"/>
          <w:szCs w:val="21"/>
          <w:u w:val="none"/>
        </w:rPr>
        <w:instrText xml:space="preserve"> = 6 \* GB3 \* MERGEFORMAT </w:instrText>
      </w:r>
      <w:r>
        <w:rPr>
          <w:rFonts w:hint="default" w:ascii="Times New Roman" w:hAnsi="Times New Roman" w:cs="Times New Roman"/>
          <w:snapToGrid w:val="0"/>
          <w:color w:val="auto"/>
          <w:spacing w:val="-16"/>
          <w:kern w:val="21"/>
          <w:szCs w:val="21"/>
          <w:u w:val="none"/>
        </w:rPr>
        <w:fldChar w:fldCharType="separate"/>
      </w:r>
      <w:r>
        <w:rPr>
          <w:rFonts w:hint="default" w:ascii="Times New Roman" w:hAnsi="Times New Roman" w:cs="Times New Roman"/>
          <w:color w:val="auto"/>
          <w:szCs w:val="21"/>
          <w:u w:val="none"/>
        </w:rPr>
        <w:t>⑥</w:t>
      </w:r>
      <w:r>
        <w:rPr>
          <w:rFonts w:hint="default" w:ascii="Times New Roman" w:hAnsi="Times New Roman" w:cs="Times New Roman"/>
          <w:snapToGrid w:val="0"/>
          <w:color w:val="auto"/>
          <w:spacing w:val="-16"/>
          <w:kern w:val="21"/>
          <w:szCs w:val="21"/>
          <w:u w:val="none"/>
        </w:rPr>
        <w:fldChar w:fldCharType="end"/>
      </w:r>
      <w:r>
        <w:rPr>
          <w:rFonts w:hint="default" w:ascii="Times New Roman" w:hAnsi="Times New Roman" w:cs="Times New Roman"/>
          <w:snapToGrid w:val="0"/>
          <w:color w:val="auto"/>
          <w:spacing w:val="-16"/>
          <w:kern w:val="21"/>
          <w:szCs w:val="21"/>
          <w:u w:val="none"/>
        </w:rPr>
        <w:t>=</w:t>
      </w:r>
      <w:r>
        <w:rPr>
          <w:rFonts w:hint="default" w:ascii="Times New Roman" w:hAnsi="Times New Roman" w:cs="Times New Roman"/>
          <w:snapToGrid w:val="0"/>
          <w:color w:val="auto"/>
          <w:spacing w:val="-6"/>
          <w:kern w:val="21"/>
          <w:szCs w:val="21"/>
          <w:u w:val="none"/>
        </w:rPr>
        <w:fldChar w:fldCharType="begin"/>
      </w:r>
      <w:r>
        <w:rPr>
          <w:rFonts w:hint="default" w:ascii="Times New Roman" w:hAnsi="Times New Roman" w:cs="Times New Roman"/>
          <w:snapToGrid w:val="0"/>
          <w:color w:val="auto"/>
          <w:spacing w:val="-6"/>
          <w:kern w:val="21"/>
          <w:szCs w:val="21"/>
          <w:u w:val="none"/>
        </w:rPr>
        <w:instrText xml:space="preserve"> = 1 \* GB3 \* MERGEFORMAT </w:instrText>
      </w:r>
      <w:r>
        <w:rPr>
          <w:rFonts w:hint="default" w:ascii="Times New Roman" w:hAnsi="Times New Roman" w:cs="Times New Roman"/>
          <w:snapToGrid w:val="0"/>
          <w:color w:val="auto"/>
          <w:spacing w:val="-6"/>
          <w:kern w:val="21"/>
          <w:szCs w:val="21"/>
          <w:u w:val="none"/>
        </w:rPr>
        <w:fldChar w:fldCharType="separate"/>
      </w:r>
      <w:r>
        <w:rPr>
          <w:rFonts w:hint="default" w:ascii="Times New Roman" w:hAnsi="Times New Roman" w:cs="Times New Roman"/>
          <w:color w:val="auto"/>
          <w:szCs w:val="21"/>
          <w:u w:val="none"/>
        </w:rPr>
        <w:t>①</w:t>
      </w:r>
      <w:r>
        <w:rPr>
          <w:rFonts w:hint="default" w:ascii="Times New Roman" w:hAnsi="Times New Roman" w:cs="Times New Roman"/>
          <w:snapToGrid w:val="0"/>
          <w:color w:val="auto"/>
          <w:spacing w:val="-6"/>
          <w:kern w:val="21"/>
          <w:szCs w:val="21"/>
          <w:u w:val="none"/>
        </w:rPr>
        <w:fldChar w:fldCharType="end"/>
      </w:r>
      <w:r>
        <w:rPr>
          <w:rFonts w:hint="default" w:ascii="Times New Roman" w:hAnsi="Times New Roman" w:cs="Times New Roman"/>
          <w:snapToGrid w:val="0"/>
          <w:color w:val="auto"/>
          <w:spacing w:val="-6"/>
          <w:kern w:val="21"/>
          <w:szCs w:val="21"/>
          <w:u w:val="none"/>
        </w:rPr>
        <w:t>+</w:t>
      </w:r>
      <w:r>
        <w:rPr>
          <w:rFonts w:hint="default" w:ascii="Times New Roman" w:hAnsi="Times New Roman" w:cs="Times New Roman"/>
          <w:snapToGrid w:val="0"/>
          <w:color w:val="auto"/>
          <w:spacing w:val="-6"/>
          <w:kern w:val="21"/>
          <w:szCs w:val="21"/>
          <w:u w:val="none"/>
        </w:rPr>
        <w:fldChar w:fldCharType="begin"/>
      </w:r>
      <w:r>
        <w:rPr>
          <w:rFonts w:hint="default" w:ascii="Times New Roman" w:hAnsi="Times New Roman" w:cs="Times New Roman"/>
          <w:snapToGrid w:val="0"/>
          <w:color w:val="auto"/>
          <w:spacing w:val="-6"/>
          <w:kern w:val="21"/>
          <w:szCs w:val="21"/>
          <w:u w:val="none"/>
        </w:rPr>
        <w:instrText xml:space="preserve"> = 3 \* GB3 \* MERGEFORMAT </w:instrText>
      </w:r>
      <w:r>
        <w:rPr>
          <w:rFonts w:hint="default" w:ascii="Times New Roman" w:hAnsi="Times New Roman" w:cs="Times New Roman"/>
          <w:snapToGrid w:val="0"/>
          <w:color w:val="auto"/>
          <w:spacing w:val="-6"/>
          <w:kern w:val="21"/>
          <w:szCs w:val="21"/>
          <w:u w:val="none"/>
        </w:rPr>
        <w:fldChar w:fldCharType="separate"/>
      </w:r>
      <w:r>
        <w:rPr>
          <w:rFonts w:hint="default" w:ascii="Times New Roman" w:hAnsi="Times New Roman" w:cs="Times New Roman"/>
          <w:color w:val="auto"/>
          <w:szCs w:val="21"/>
          <w:u w:val="none"/>
        </w:rPr>
        <w:t>③</w:t>
      </w:r>
      <w:r>
        <w:rPr>
          <w:rFonts w:hint="default" w:ascii="Times New Roman" w:hAnsi="Times New Roman" w:cs="Times New Roman"/>
          <w:snapToGrid w:val="0"/>
          <w:color w:val="auto"/>
          <w:spacing w:val="-6"/>
          <w:kern w:val="21"/>
          <w:szCs w:val="21"/>
          <w:u w:val="none"/>
        </w:rPr>
        <w:fldChar w:fldCharType="end"/>
      </w:r>
      <w:r>
        <w:rPr>
          <w:rFonts w:hint="default" w:ascii="Times New Roman" w:hAnsi="Times New Roman" w:cs="Times New Roman"/>
          <w:snapToGrid w:val="0"/>
          <w:color w:val="auto"/>
          <w:spacing w:val="-6"/>
          <w:kern w:val="21"/>
          <w:szCs w:val="21"/>
          <w:u w:val="none"/>
        </w:rPr>
        <w:t>+</w:t>
      </w:r>
      <w:r>
        <w:rPr>
          <w:rFonts w:hint="default" w:ascii="Times New Roman" w:hAnsi="Times New Roman" w:cs="Times New Roman"/>
          <w:snapToGrid w:val="0"/>
          <w:color w:val="auto"/>
          <w:spacing w:val="-6"/>
          <w:kern w:val="21"/>
          <w:szCs w:val="21"/>
          <w:u w:val="none"/>
        </w:rPr>
        <w:fldChar w:fldCharType="begin"/>
      </w:r>
      <w:r>
        <w:rPr>
          <w:rFonts w:hint="default" w:ascii="Times New Roman" w:hAnsi="Times New Roman" w:cs="Times New Roman"/>
          <w:snapToGrid w:val="0"/>
          <w:color w:val="auto"/>
          <w:spacing w:val="-6"/>
          <w:kern w:val="21"/>
          <w:szCs w:val="21"/>
          <w:u w:val="none"/>
        </w:rPr>
        <w:instrText xml:space="preserve"> = 4 \* GB3 \* MERGEFORMAT </w:instrText>
      </w:r>
      <w:r>
        <w:rPr>
          <w:rFonts w:hint="default" w:ascii="Times New Roman" w:hAnsi="Times New Roman" w:cs="Times New Roman"/>
          <w:snapToGrid w:val="0"/>
          <w:color w:val="auto"/>
          <w:spacing w:val="-6"/>
          <w:kern w:val="21"/>
          <w:szCs w:val="21"/>
          <w:u w:val="none"/>
        </w:rPr>
        <w:fldChar w:fldCharType="separate"/>
      </w:r>
      <w:r>
        <w:rPr>
          <w:rFonts w:hint="default" w:ascii="Times New Roman" w:hAnsi="Times New Roman" w:cs="Times New Roman"/>
          <w:color w:val="auto"/>
          <w:szCs w:val="21"/>
          <w:u w:val="none"/>
        </w:rPr>
        <w:t>④</w:t>
      </w:r>
      <w:r>
        <w:rPr>
          <w:rFonts w:hint="default" w:ascii="Times New Roman" w:hAnsi="Times New Roman" w:cs="Times New Roman"/>
          <w:snapToGrid w:val="0"/>
          <w:color w:val="auto"/>
          <w:spacing w:val="-6"/>
          <w:kern w:val="21"/>
          <w:szCs w:val="21"/>
          <w:u w:val="none"/>
        </w:rPr>
        <w:fldChar w:fldCharType="end"/>
      </w:r>
      <w:r>
        <w:rPr>
          <w:rFonts w:hint="default" w:ascii="Times New Roman" w:hAnsi="Times New Roman" w:cs="Times New Roman"/>
          <w:snapToGrid w:val="0"/>
          <w:color w:val="auto"/>
          <w:spacing w:val="-6"/>
          <w:kern w:val="21"/>
          <w:szCs w:val="21"/>
          <w:u w:val="none"/>
        </w:rPr>
        <w:t>-</w:t>
      </w:r>
      <w:r>
        <w:rPr>
          <w:rFonts w:hint="default" w:ascii="Times New Roman" w:hAnsi="Times New Roman" w:cs="Times New Roman"/>
          <w:snapToGrid w:val="0"/>
          <w:color w:val="auto"/>
          <w:spacing w:val="-16"/>
          <w:kern w:val="21"/>
          <w:szCs w:val="21"/>
          <w:u w:val="none"/>
        </w:rPr>
        <w:fldChar w:fldCharType="begin"/>
      </w:r>
      <w:r>
        <w:rPr>
          <w:rFonts w:hint="default" w:ascii="Times New Roman" w:hAnsi="Times New Roman" w:cs="Times New Roman"/>
          <w:snapToGrid w:val="0"/>
          <w:color w:val="auto"/>
          <w:spacing w:val="-16"/>
          <w:kern w:val="21"/>
          <w:szCs w:val="21"/>
          <w:u w:val="none"/>
        </w:rPr>
        <w:instrText xml:space="preserve"> = 5 \* GB3 \* MERGEFORMAT </w:instrText>
      </w:r>
      <w:r>
        <w:rPr>
          <w:rFonts w:hint="default" w:ascii="Times New Roman" w:hAnsi="Times New Roman" w:cs="Times New Roman"/>
          <w:snapToGrid w:val="0"/>
          <w:color w:val="auto"/>
          <w:spacing w:val="-16"/>
          <w:kern w:val="21"/>
          <w:szCs w:val="21"/>
          <w:u w:val="none"/>
        </w:rPr>
        <w:fldChar w:fldCharType="separate"/>
      </w:r>
      <w:r>
        <w:rPr>
          <w:rFonts w:hint="default" w:ascii="Times New Roman" w:hAnsi="Times New Roman" w:cs="Times New Roman"/>
          <w:color w:val="auto"/>
          <w:szCs w:val="21"/>
          <w:u w:val="none"/>
        </w:rPr>
        <w:t>⑤</w:t>
      </w:r>
      <w:r>
        <w:rPr>
          <w:rFonts w:hint="default" w:ascii="Times New Roman" w:hAnsi="Times New Roman" w:cs="Times New Roman"/>
          <w:snapToGrid w:val="0"/>
          <w:color w:val="auto"/>
          <w:spacing w:val="-16"/>
          <w:kern w:val="21"/>
          <w:szCs w:val="21"/>
          <w:u w:val="none"/>
        </w:rPr>
        <w:fldChar w:fldCharType="end"/>
      </w:r>
      <w:r>
        <w:rPr>
          <w:rFonts w:hint="default" w:ascii="Times New Roman" w:hAnsi="Times New Roman" w:cs="Times New Roman"/>
          <w:snapToGrid w:val="0"/>
          <w:color w:val="auto"/>
          <w:spacing w:val="-16"/>
          <w:kern w:val="21"/>
          <w:szCs w:val="21"/>
          <w:u w:val="none"/>
        </w:rPr>
        <w:t>；</w:t>
      </w:r>
      <w:r>
        <w:rPr>
          <w:rFonts w:hint="default" w:ascii="Times New Roman" w:hAnsi="Times New Roman" w:cs="Times New Roman"/>
          <w:snapToGrid w:val="0"/>
          <w:color w:val="auto"/>
          <w:spacing w:val="-6"/>
          <w:kern w:val="21"/>
          <w:szCs w:val="21"/>
          <w:u w:val="none"/>
        </w:rPr>
        <w:fldChar w:fldCharType="begin"/>
      </w:r>
      <w:r>
        <w:rPr>
          <w:rFonts w:hint="default" w:ascii="Times New Roman" w:hAnsi="Times New Roman" w:cs="Times New Roman"/>
          <w:snapToGrid w:val="0"/>
          <w:color w:val="auto"/>
          <w:spacing w:val="-6"/>
          <w:kern w:val="21"/>
          <w:szCs w:val="21"/>
          <w:u w:val="none"/>
        </w:rPr>
        <w:instrText xml:space="preserve"> = 7 \* GB3 \* MERGEFORMAT </w:instrText>
      </w:r>
      <w:r>
        <w:rPr>
          <w:rFonts w:hint="default" w:ascii="Times New Roman" w:hAnsi="Times New Roman" w:cs="Times New Roman"/>
          <w:snapToGrid w:val="0"/>
          <w:color w:val="auto"/>
          <w:spacing w:val="-6"/>
          <w:kern w:val="21"/>
          <w:szCs w:val="21"/>
          <w:u w:val="none"/>
        </w:rPr>
        <w:fldChar w:fldCharType="separate"/>
      </w:r>
      <w:r>
        <w:rPr>
          <w:rFonts w:hint="default" w:ascii="Times New Roman" w:hAnsi="Times New Roman" w:cs="Times New Roman"/>
          <w:color w:val="auto"/>
          <w:szCs w:val="21"/>
          <w:u w:val="none"/>
        </w:rPr>
        <w:t>⑦</w:t>
      </w:r>
      <w:r>
        <w:rPr>
          <w:rFonts w:hint="default" w:ascii="Times New Roman" w:hAnsi="Times New Roman" w:cs="Times New Roman"/>
          <w:snapToGrid w:val="0"/>
          <w:color w:val="auto"/>
          <w:spacing w:val="-6"/>
          <w:kern w:val="21"/>
          <w:szCs w:val="21"/>
          <w:u w:val="none"/>
        </w:rPr>
        <w:fldChar w:fldCharType="end"/>
      </w:r>
      <w:r>
        <w:rPr>
          <w:rFonts w:hint="default" w:ascii="Times New Roman" w:hAnsi="Times New Roman" w:cs="Times New Roman"/>
          <w:snapToGrid w:val="0"/>
          <w:color w:val="auto"/>
          <w:spacing w:val="-6"/>
          <w:kern w:val="21"/>
          <w:szCs w:val="21"/>
          <w:u w:val="none"/>
        </w:rPr>
        <w:t>=</w:t>
      </w:r>
      <w:r>
        <w:rPr>
          <w:rFonts w:hint="default" w:ascii="Times New Roman" w:hAnsi="Times New Roman" w:cs="Times New Roman"/>
          <w:snapToGrid w:val="0"/>
          <w:color w:val="auto"/>
          <w:spacing w:val="-16"/>
          <w:kern w:val="21"/>
          <w:szCs w:val="21"/>
          <w:u w:val="none"/>
        </w:rPr>
        <w:fldChar w:fldCharType="begin"/>
      </w:r>
      <w:r>
        <w:rPr>
          <w:rFonts w:hint="default" w:ascii="Times New Roman" w:hAnsi="Times New Roman" w:cs="Times New Roman"/>
          <w:snapToGrid w:val="0"/>
          <w:color w:val="auto"/>
          <w:spacing w:val="-16"/>
          <w:kern w:val="21"/>
          <w:szCs w:val="21"/>
          <w:u w:val="none"/>
        </w:rPr>
        <w:instrText xml:space="preserve"> = 6 \* GB3 \* MERGEFORMAT </w:instrText>
      </w:r>
      <w:r>
        <w:rPr>
          <w:rFonts w:hint="default" w:ascii="Times New Roman" w:hAnsi="Times New Roman" w:cs="Times New Roman"/>
          <w:snapToGrid w:val="0"/>
          <w:color w:val="auto"/>
          <w:spacing w:val="-16"/>
          <w:kern w:val="21"/>
          <w:szCs w:val="21"/>
          <w:u w:val="none"/>
        </w:rPr>
        <w:fldChar w:fldCharType="separate"/>
      </w:r>
      <w:r>
        <w:rPr>
          <w:rFonts w:hint="default" w:ascii="Times New Roman" w:hAnsi="Times New Roman" w:cs="Times New Roman"/>
          <w:color w:val="auto"/>
          <w:szCs w:val="21"/>
          <w:u w:val="none"/>
        </w:rPr>
        <w:t>⑥</w:t>
      </w:r>
      <w:r>
        <w:rPr>
          <w:rFonts w:hint="default" w:ascii="Times New Roman" w:hAnsi="Times New Roman" w:cs="Times New Roman"/>
          <w:snapToGrid w:val="0"/>
          <w:color w:val="auto"/>
          <w:spacing w:val="-16"/>
          <w:kern w:val="21"/>
          <w:szCs w:val="21"/>
          <w:u w:val="none"/>
        </w:rPr>
        <w:fldChar w:fldCharType="end"/>
      </w:r>
      <w:r>
        <w:rPr>
          <w:rFonts w:hint="default" w:ascii="Times New Roman" w:hAnsi="Times New Roman" w:cs="Times New Roman"/>
          <w:snapToGrid w:val="0"/>
          <w:color w:val="auto"/>
          <w:spacing w:val="-16"/>
          <w:kern w:val="21"/>
          <w:szCs w:val="21"/>
          <w:u w:val="none"/>
        </w:rPr>
        <w:t>-</w:t>
      </w:r>
      <w:r>
        <w:rPr>
          <w:rFonts w:hint="default" w:ascii="Times New Roman" w:hAnsi="Times New Roman" w:cs="Times New Roman"/>
          <w:snapToGrid w:val="0"/>
          <w:color w:val="auto"/>
          <w:spacing w:val="-6"/>
          <w:kern w:val="21"/>
          <w:szCs w:val="21"/>
          <w:u w:val="none"/>
        </w:rPr>
        <w:fldChar w:fldCharType="begin"/>
      </w:r>
      <w:r>
        <w:rPr>
          <w:rFonts w:hint="default" w:ascii="Times New Roman" w:hAnsi="Times New Roman" w:cs="Times New Roman"/>
          <w:snapToGrid w:val="0"/>
          <w:color w:val="auto"/>
          <w:spacing w:val="-6"/>
          <w:kern w:val="21"/>
          <w:szCs w:val="21"/>
          <w:u w:val="none"/>
        </w:rPr>
        <w:instrText xml:space="preserve"> = 1 \* GB3 \* MERGEFORMAT </w:instrText>
      </w:r>
      <w:r>
        <w:rPr>
          <w:rFonts w:hint="default" w:ascii="Times New Roman" w:hAnsi="Times New Roman" w:cs="Times New Roman"/>
          <w:snapToGrid w:val="0"/>
          <w:color w:val="auto"/>
          <w:spacing w:val="-6"/>
          <w:kern w:val="21"/>
          <w:szCs w:val="21"/>
          <w:u w:val="none"/>
        </w:rPr>
        <w:fldChar w:fldCharType="separate"/>
      </w:r>
      <w:r>
        <w:rPr>
          <w:rFonts w:hint="default" w:ascii="Times New Roman" w:hAnsi="Times New Roman" w:cs="Times New Roman"/>
          <w:color w:val="auto"/>
          <w:szCs w:val="21"/>
          <w:u w:val="none"/>
        </w:rPr>
        <w:t>①</w:t>
      </w:r>
      <w:r>
        <w:rPr>
          <w:rFonts w:hint="default" w:ascii="Times New Roman" w:hAnsi="Times New Roman" w:cs="Times New Roman"/>
          <w:snapToGrid w:val="0"/>
          <w:color w:val="auto"/>
          <w:spacing w:val="-6"/>
          <w:kern w:val="21"/>
          <w:szCs w:val="21"/>
          <w:u w:val="none"/>
        </w:rPr>
        <w:fldChar w:fldCharType="end"/>
      </w:r>
    </w:p>
    <w:p w14:paraId="7A056DF6">
      <w:pPr>
        <w:rPr>
          <w:sz w:val="24"/>
        </w:rPr>
      </w:pPr>
      <w:r>
        <w:drawing>
          <wp:anchor distT="0" distB="0" distL="114300" distR="114300" simplePos="0" relativeHeight="251691008" behindDoc="0" locked="0" layoutInCell="1" allowOverlap="1">
            <wp:simplePos x="0" y="0"/>
            <wp:positionH relativeFrom="column">
              <wp:posOffset>6666865</wp:posOffset>
            </wp:positionH>
            <wp:positionV relativeFrom="paragraph">
              <wp:posOffset>-7620</wp:posOffset>
            </wp:positionV>
            <wp:extent cx="1304925" cy="809625"/>
            <wp:effectExtent l="0" t="0" r="9525" b="9525"/>
            <wp:wrapNone/>
            <wp:docPr id="7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4"/>
                    <pic:cNvPicPr>
                      <a:picLocks noChangeAspect="1"/>
                    </pic:cNvPicPr>
                  </pic:nvPicPr>
                  <pic:blipFill>
                    <a:blip r:embed="rId19"/>
                    <a:stretch>
                      <a:fillRect/>
                    </a:stretch>
                  </pic:blipFill>
                  <pic:spPr>
                    <a:xfrm>
                      <a:off x="0" y="0"/>
                      <a:ext cx="1304925" cy="809625"/>
                    </a:xfrm>
                    <a:prstGeom prst="rect">
                      <a:avLst/>
                    </a:prstGeom>
                    <a:noFill/>
                    <a:ln>
                      <a:noFill/>
                    </a:ln>
                  </pic:spPr>
                </pic:pic>
              </a:graphicData>
            </a:graphic>
          </wp:anchor>
        </w:drawing>
      </w:r>
      <w:r>
        <w:rPr>
          <w:sz w:val="24"/>
        </w:rPr>
        <mc:AlternateContent>
          <mc:Choice Requires="wps">
            <w:drawing>
              <wp:anchor distT="0" distB="0" distL="114300" distR="114300" simplePos="0" relativeHeight="251661312" behindDoc="0" locked="0" layoutInCell="1" allowOverlap="1">
                <wp:simplePos x="0" y="0"/>
                <wp:positionH relativeFrom="column">
                  <wp:posOffset>2895600</wp:posOffset>
                </wp:positionH>
                <wp:positionV relativeFrom="paragraph">
                  <wp:posOffset>1670050</wp:posOffset>
                </wp:positionV>
                <wp:extent cx="769620" cy="297180"/>
                <wp:effectExtent l="4445" t="4445" r="6985" b="327025"/>
                <wp:wrapNone/>
                <wp:docPr id="3" name="矩形标注 3"/>
                <wp:cNvGraphicFramePr/>
                <a:graphic xmlns:a="http://schemas.openxmlformats.org/drawingml/2006/main">
                  <a:graphicData uri="http://schemas.microsoft.com/office/word/2010/wordprocessingShape">
                    <wps:wsp>
                      <wps:cNvSpPr/>
                      <wps:spPr>
                        <a:xfrm>
                          <a:off x="0" y="0"/>
                          <a:ext cx="769620" cy="297180"/>
                        </a:xfrm>
                        <a:prstGeom prst="wedgeRectCallout">
                          <a:avLst>
                            <a:gd name="adj1" fmla="val 44523"/>
                            <a:gd name="adj2" fmla="val 153634"/>
                          </a:avLst>
                        </a:prstGeom>
                        <a:solidFill>
                          <a:srgbClr val="FFFFFF"/>
                        </a:solidFill>
                        <a:ln w="9525" cap="flat" cmpd="sng">
                          <a:solidFill>
                            <a:srgbClr val="000000"/>
                          </a:solidFill>
                          <a:prstDash val="solid"/>
                          <a:miter/>
                          <a:headEnd type="none" w="med" len="med"/>
                          <a:tailEnd type="none" w="med" len="med"/>
                        </a:ln>
                      </wps:spPr>
                      <wps:txbx>
                        <w:txbxContent>
                          <w:p w14:paraId="5CC8280B">
                            <w:pPr>
                              <w:rPr>
                                <w:rFonts w:hint="eastAsia" w:eastAsia="宋体"/>
                                <w:color w:val="FF0000"/>
                                <w:lang w:eastAsia="zh-CN"/>
                              </w:rPr>
                            </w:pPr>
                            <w:r>
                              <w:rPr>
                                <w:rFonts w:hint="eastAsia"/>
                                <w:color w:val="FF0000"/>
                              </w:rPr>
                              <w:t>项目位置</w:t>
                            </w:r>
                          </w:p>
                        </w:txbxContent>
                      </wps:txbx>
                      <wps:bodyPr upright="1"/>
                    </wps:wsp>
                  </a:graphicData>
                </a:graphic>
              </wp:anchor>
            </w:drawing>
          </mc:Choice>
          <mc:Fallback>
            <w:pict>
              <v:shape id="_x0000_s1026" o:spid="_x0000_s1026" o:spt="61" type="#_x0000_t61" style="position:absolute;left:0pt;margin-left:228pt;margin-top:131.5pt;height:23.4pt;width:60.6pt;z-index:251661312;mso-width-relative:page;mso-height-relative:page;" fillcolor="#FFFFFF" filled="t" stroked="t" coordsize="21600,21600" o:gfxdata="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14unLtsAAAALAQAADwAAAAAAAAABACAAAAAiAAAAZHJz&#10;L2Rvd25yZXYueG1sUEsBAhQAFAAAAAgAh07iQJs/irM6AgAAjAQAAA4AAAAAAAAAAQAgAAAAKgEA&#10;AGRycy9lMm9Eb2MueG1sUEsFBgAAAAAGAAYAWQEAANYFAAAAAA==&#10;" adj="20417,43985">
                <v:fill on="t" focussize="0,0"/>
                <v:stroke color="#000000" joinstyle="miter"/>
                <v:imagedata o:title=""/>
                <o:lock v:ext="edit" aspectratio="f"/>
                <v:textbox>
                  <w:txbxContent>
                    <w:p w14:paraId="5CC8280B">
                      <w:pPr>
                        <w:rPr>
                          <w:rFonts w:hint="eastAsia" w:eastAsia="宋体"/>
                          <w:color w:val="FF0000"/>
                          <w:lang w:eastAsia="zh-CN"/>
                        </w:rPr>
                      </w:pPr>
                      <w:r>
                        <w:rPr>
                          <w:rFonts w:hint="eastAsia"/>
                          <w:color w:val="FF0000"/>
                        </w:rPr>
                        <w:t>项目位置</w:t>
                      </w:r>
                    </w:p>
                  </w:txbxContent>
                </v:textbox>
              </v:shape>
            </w:pict>
          </mc:Fallback>
        </mc:AlternateContent>
      </w:r>
      <w:r>
        <w:drawing>
          <wp:inline distT="0" distB="0" distL="114300" distR="114300">
            <wp:extent cx="7983855" cy="4905375"/>
            <wp:effectExtent l="0" t="0" r="17145" b="9525"/>
            <wp:docPr id="7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
                    <pic:cNvPicPr>
                      <a:picLocks noChangeAspect="1"/>
                    </pic:cNvPicPr>
                  </pic:nvPicPr>
                  <pic:blipFill>
                    <a:blip r:embed="rId20"/>
                    <a:stretch>
                      <a:fillRect/>
                    </a:stretch>
                  </pic:blipFill>
                  <pic:spPr>
                    <a:xfrm>
                      <a:off x="0" y="0"/>
                      <a:ext cx="7983855" cy="4905375"/>
                    </a:xfrm>
                    <a:prstGeom prst="rect">
                      <a:avLst/>
                    </a:prstGeom>
                    <a:noFill/>
                    <a:ln>
                      <a:noFill/>
                    </a:ln>
                  </pic:spPr>
                </pic:pic>
              </a:graphicData>
            </a:graphic>
          </wp:inline>
        </w:drawing>
      </w:r>
    </w:p>
    <w:p w14:paraId="089848AC">
      <w:pPr>
        <w:jc w:val="center"/>
        <w:rPr>
          <w:rFonts w:hint="default" w:eastAsia="宋体"/>
          <w:b/>
          <w:sz w:val="24"/>
          <w:lang w:eastAsia="zh-CN"/>
        </w:rPr>
      </w:pPr>
      <w:r>
        <w:rPr>
          <w:rFonts w:hint="default"/>
          <w:b/>
          <w:sz w:val="24"/>
        </w:rPr>
        <w:t>附图1  项目地理位置图</w:t>
      </w:r>
    </w:p>
    <w:p w14:paraId="1683B440">
      <w:pPr>
        <w:tabs>
          <w:tab w:val="left" w:pos="4830"/>
        </w:tabs>
        <w:ind w:firstLine="4939" w:firstLineChars="2352"/>
        <w:rPr>
          <w:rFonts w:hint="default"/>
          <w:b/>
          <w:sz w:val="24"/>
        </w:rPr>
      </w:pPr>
      <w:r>
        <w:drawing>
          <wp:anchor distT="0" distB="0" distL="114300" distR="114300" simplePos="0" relativeHeight="251689984" behindDoc="0" locked="0" layoutInCell="1" allowOverlap="1">
            <wp:simplePos x="0" y="0"/>
            <wp:positionH relativeFrom="column">
              <wp:posOffset>6684010</wp:posOffset>
            </wp:positionH>
            <wp:positionV relativeFrom="paragraph">
              <wp:posOffset>64770</wp:posOffset>
            </wp:positionV>
            <wp:extent cx="1304925" cy="809625"/>
            <wp:effectExtent l="0" t="0" r="9525" b="9525"/>
            <wp:wrapNone/>
            <wp:docPr id="7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4"/>
                    <pic:cNvPicPr>
                      <a:picLocks noChangeAspect="1"/>
                    </pic:cNvPicPr>
                  </pic:nvPicPr>
                  <pic:blipFill>
                    <a:blip r:embed="rId19"/>
                    <a:stretch>
                      <a:fillRect/>
                    </a:stretch>
                  </pic:blipFill>
                  <pic:spPr>
                    <a:xfrm>
                      <a:off x="0" y="0"/>
                      <a:ext cx="1304925" cy="809625"/>
                    </a:xfrm>
                    <a:prstGeom prst="rect">
                      <a:avLst/>
                    </a:prstGeom>
                    <a:noFill/>
                    <a:ln>
                      <a:noFill/>
                    </a:ln>
                  </pic:spPr>
                </pic:pic>
              </a:graphicData>
            </a:graphic>
          </wp:anchor>
        </w:drawing>
      </w:r>
    </w:p>
    <w:p w14:paraId="316BD3B6">
      <w:pPr>
        <w:jc w:val="right"/>
        <w:rPr>
          <w:rFonts w:hint="default"/>
          <w:sz w:val="24"/>
        </w:rPr>
      </w:pPr>
      <w:r>
        <w:drawing>
          <wp:anchor distT="0" distB="0" distL="114300" distR="114300" simplePos="0" relativeHeight="251662336" behindDoc="1" locked="0" layoutInCell="1" allowOverlap="1">
            <wp:simplePos x="0" y="0"/>
            <wp:positionH relativeFrom="column">
              <wp:posOffset>0</wp:posOffset>
            </wp:positionH>
            <wp:positionV relativeFrom="paragraph">
              <wp:posOffset>-132080</wp:posOffset>
            </wp:positionV>
            <wp:extent cx="7979410" cy="4881245"/>
            <wp:effectExtent l="0" t="0" r="2540" b="14605"/>
            <wp:wrapNone/>
            <wp:docPr id="2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6"/>
                    <pic:cNvPicPr>
                      <a:picLocks noChangeAspect="1"/>
                    </pic:cNvPicPr>
                  </pic:nvPicPr>
                  <pic:blipFill>
                    <a:blip r:embed="rId21"/>
                    <a:stretch>
                      <a:fillRect/>
                    </a:stretch>
                  </pic:blipFill>
                  <pic:spPr>
                    <a:xfrm>
                      <a:off x="0" y="0"/>
                      <a:ext cx="7979410" cy="4881245"/>
                    </a:xfrm>
                    <a:prstGeom prst="rect">
                      <a:avLst/>
                    </a:prstGeom>
                    <a:noFill/>
                    <a:ln>
                      <a:noFill/>
                    </a:ln>
                  </pic:spPr>
                </pic:pic>
              </a:graphicData>
            </a:graphic>
          </wp:anchor>
        </w:drawing>
      </w:r>
      <w:r>
        <w:rPr>
          <w:rFonts w:hint="default"/>
          <w:sz w:val="24"/>
        </w:rPr>
        <w:t xml:space="preserve"> </w:t>
      </w:r>
    </w:p>
    <w:p w14:paraId="5CBCA144">
      <w:pPr>
        <w:tabs>
          <w:tab w:val="left" w:pos="4830"/>
        </w:tabs>
        <w:ind w:firstLine="5644" w:firstLineChars="2352"/>
        <w:rPr>
          <w:rFonts w:hint="default"/>
          <w:b/>
          <w:sz w:val="24"/>
        </w:rPr>
      </w:pPr>
    </w:p>
    <w:p w14:paraId="68927643">
      <w:pPr>
        <w:tabs>
          <w:tab w:val="left" w:pos="4830"/>
        </w:tabs>
        <w:ind w:firstLine="5644" w:firstLineChars="2352"/>
        <w:rPr>
          <w:rFonts w:hint="default"/>
          <w:b/>
          <w:sz w:val="24"/>
        </w:rPr>
      </w:pPr>
      <w:r>
        <w:rPr>
          <w:sz w:val="24"/>
        </w:rPr>
        <mc:AlternateContent>
          <mc:Choice Requires="wps">
            <w:drawing>
              <wp:anchor distT="0" distB="0" distL="114300" distR="114300" simplePos="0" relativeHeight="251668480" behindDoc="0" locked="0" layoutInCell="1" allowOverlap="1">
                <wp:simplePos x="0" y="0"/>
                <wp:positionH relativeFrom="column">
                  <wp:posOffset>4367530</wp:posOffset>
                </wp:positionH>
                <wp:positionV relativeFrom="paragraph">
                  <wp:posOffset>137795</wp:posOffset>
                </wp:positionV>
                <wp:extent cx="1941195" cy="335280"/>
                <wp:effectExtent l="272415" t="4445" r="15240" b="1793875"/>
                <wp:wrapNone/>
                <wp:docPr id="19" name="矩形标注 19"/>
                <wp:cNvGraphicFramePr/>
                <a:graphic xmlns:a="http://schemas.openxmlformats.org/drawingml/2006/main">
                  <a:graphicData uri="http://schemas.microsoft.com/office/word/2010/wordprocessingShape">
                    <wps:wsp>
                      <wps:cNvSpPr/>
                      <wps:spPr>
                        <a:xfrm>
                          <a:off x="0" y="0"/>
                          <a:ext cx="1941195" cy="335280"/>
                        </a:xfrm>
                        <a:prstGeom prst="wedgeRectCallout">
                          <a:avLst>
                            <a:gd name="adj1" fmla="val -63176"/>
                            <a:gd name="adj2" fmla="val 571023"/>
                          </a:avLst>
                        </a:prstGeom>
                        <a:solidFill>
                          <a:srgbClr val="FFFFFF">
                            <a:alpha val="25000"/>
                          </a:srgbClr>
                        </a:solidFill>
                        <a:ln w="9525" cap="flat" cmpd="sng">
                          <a:solidFill>
                            <a:srgbClr val="000000"/>
                          </a:solidFill>
                          <a:prstDash val="solid"/>
                          <a:miter/>
                          <a:headEnd type="none" w="med" len="med"/>
                          <a:tailEnd type="none" w="med" len="med"/>
                        </a:ln>
                      </wps:spPr>
                      <wps:txbx>
                        <w:txbxContent>
                          <w:p w14:paraId="1DE430C3">
                            <w:pPr>
                              <w:rPr>
                                <w:rFonts w:hint="default"/>
                                <w:highlight w:val="yellow"/>
                                <w:lang w:val="en-US"/>
                              </w:rPr>
                            </w:pPr>
                            <w:r>
                              <w:rPr>
                                <w:rFonts w:hint="eastAsia" w:cs="Times New Roman"/>
                                <w:color w:val="auto"/>
                                <w:kern w:val="21"/>
                                <w:sz w:val="21"/>
                                <w:szCs w:val="21"/>
                                <w:highlight w:val="yellow"/>
                                <w:u w:val="none" w:color="auto"/>
                                <w:lang w:val="en-US" w:eastAsia="zh-CN"/>
                              </w:rPr>
                              <w:t>东安发展集团有限公司办公楼</w:t>
                            </w:r>
                          </w:p>
                        </w:txbxContent>
                      </wps:txbx>
                      <wps:bodyPr upright="1"/>
                    </wps:wsp>
                  </a:graphicData>
                </a:graphic>
              </wp:anchor>
            </w:drawing>
          </mc:Choice>
          <mc:Fallback>
            <w:pict>
              <v:shape id="_x0000_s1026" o:spid="_x0000_s1026" o:spt="61" type="#_x0000_t61" style="position:absolute;left:0pt;margin-left:343.9pt;margin-top:10.85pt;height:26.4pt;width:152.85pt;z-index:251668480;mso-width-relative:page;mso-height-relative:page;" fillcolor="#FFFFFF" filled="t" stroked="t" coordsize="21600,21600" o:gfxdata="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OxbwVzZAAAACQEAAA8AAAAA&#10;AAAAAQAgAAAAIgAAAGRycy9kb3ducmV2LnhtbFBLAQIUABQAAAAIAIdO4kAhG2teTAIAALEEAAAO&#10;AAAAAAAAAAEAIAAAACgBAABkcnMvZTJvRG9jLnhtbFBLBQYAAAAABgAGAFkBAADmBQAAAAA=&#10;" adj="-2846,134141">
                <v:fill on="t" opacity="16384f" focussize="0,0"/>
                <v:stroke color="#000000" joinstyle="miter"/>
                <v:imagedata o:title=""/>
                <o:lock v:ext="edit" aspectratio="f"/>
                <v:textbox>
                  <w:txbxContent>
                    <w:p w14:paraId="1DE430C3">
                      <w:pPr>
                        <w:rPr>
                          <w:rFonts w:hint="default"/>
                          <w:highlight w:val="yellow"/>
                          <w:lang w:val="en-US"/>
                        </w:rPr>
                      </w:pPr>
                      <w:r>
                        <w:rPr>
                          <w:rFonts w:hint="eastAsia" w:cs="Times New Roman"/>
                          <w:color w:val="auto"/>
                          <w:kern w:val="21"/>
                          <w:sz w:val="21"/>
                          <w:szCs w:val="21"/>
                          <w:highlight w:val="yellow"/>
                          <w:u w:val="none" w:color="auto"/>
                          <w:lang w:val="en-US" w:eastAsia="zh-CN"/>
                        </w:rPr>
                        <w:t>东安发展集团有限公司办公楼</w:t>
                      </w:r>
                    </w:p>
                  </w:txbxContent>
                </v:textbox>
              </v:shape>
            </w:pict>
          </mc:Fallback>
        </mc:AlternateContent>
      </w:r>
    </w:p>
    <w:p w14:paraId="3AC0E6B6">
      <w:pPr>
        <w:tabs>
          <w:tab w:val="left" w:pos="4830"/>
        </w:tabs>
        <w:ind w:firstLine="5644" w:firstLineChars="2352"/>
        <w:rPr>
          <w:rFonts w:hint="default"/>
          <w:b/>
          <w:sz w:val="24"/>
        </w:rPr>
      </w:pPr>
    </w:p>
    <w:p w14:paraId="735C3499">
      <w:pPr>
        <w:tabs>
          <w:tab w:val="left" w:pos="4830"/>
        </w:tabs>
        <w:ind w:firstLine="5644" w:firstLineChars="2352"/>
        <w:rPr>
          <w:rFonts w:hint="default"/>
          <w:b/>
          <w:sz w:val="24"/>
        </w:rPr>
      </w:pPr>
      <w:r>
        <w:rPr>
          <w:sz w:val="24"/>
        </w:rPr>
        <mc:AlternateContent>
          <mc:Choice Requires="wps">
            <w:drawing>
              <wp:anchor distT="0" distB="0" distL="114300" distR="114300" simplePos="0" relativeHeight="251676672" behindDoc="0" locked="0" layoutInCell="1" allowOverlap="1">
                <wp:simplePos x="0" y="0"/>
                <wp:positionH relativeFrom="column">
                  <wp:posOffset>1972945</wp:posOffset>
                </wp:positionH>
                <wp:positionV relativeFrom="paragraph">
                  <wp:posOffset>122555</wp:posOffset>
                </wp:positionV>
                <wp:extent cx="3206115" cy="3159760"/>
                <wp:effectExtent l="9525" t="9525" r="22860" b="12065"/>
                <wp:wrapNone/>
                <wp:docPr id="20" name="椭圆 20"/>
                <wp:cNvGraphicFramePr/>
                <a:graphic xmlns:a="http://schemas.openxmlformats.org/drawingml/2006/main">
                  <a:graphicData uri="http://schemas.microsoft.com/office/word/2010/wordprocessingShape">
                    <wps:wsp>
                      <wps:cNvSpPr/>
                      <wps:spPr>
                        <a:xfrm>
                          <a:off x="0" y="0"/>
                          <a:ext cx="3206115" cy="3159760"/>
                        </a:xfrm>
                        <a:prstGeom prst="ellipse">
                          <a:avLst/>
                        </a:prstGeom>
                        <a:noFill/>
                        <a:ln w="19050" cap="flat" cmpd="sng">
                          <a:solidFill>
                            <a:srgbClr val="FFFF00"/>
                          </a:solidFill>
                          <a:prstDash val="solid"/>
                          <a:headEnd type="none" w="med" len="med"/>
                          <a:tailEnd type="none" w="med" len="med"/>
                        </a:ln>
                      </wps:spPr>
                      <wps:bodyPr upright="1"/>
                    </wps:wsp>
                  </a:graphicData>
                </a:graphic>
              </wp:anchor>
            </w:drawing>
          </mc:Choice>
          <mc:Fallback>
            <w:pict>
              <v:shape id="_x0000_s1026" o:spid="_x0000_s1026" o:spt="3" type="#_x0000_t3" style="position:absolute;left:0pt;margin-left:155.35pt;margin-top:9.65pt;height:248.8pt;width:252.45pt;z-index:251676672;mso-width-relative:page;mso-height-relative:page;" filled="f" stroked="t" coordsize="21600,21600" o:gfxdata="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ijJw2QAAAAoBAAAPAAAAAAAAAAEAIAAAACIAAABkcnMvZG93bnJldi54bWxQ&#10;SwECFAAUAAAACACHTuJA0Tu3avYBAADyAwAADgAAAAAAAAABACAAAAAoAQAAZHJzL2Uyb0RvYy54&#10;bWxQSwUGAAAAAAYABgBZAQAAkAUAAAAA&#10;">
                <v:fill on="f" focussize="0,0"/>
                <v:stroke weight="1.5pt" color="#FFFF00" joinstyle="round"/>
                <v:imagedata o:title=""/>
                <o:lock v:ext="edit" aspectratio="f"/>
              </v:shape>
            </w:pict>
          </mc:Fallback>
        </mc:AlternateContent>
      </w:r>
    </w:p>
    <w:p w14:paraId="2130F51D">
      <w:pPr>
        <w:tabs>
          <w:tab w:val="left" w:pos="4830"/>
        </w:tabs>
        <w:ind w:firstLine="5644" w:firstLineChars="2352"/>
        <w:rPr>
          <w:rFonts w:hint="default"/>
          <w:b/>
          <w:sz w:val="24"/>
        </w:rPr>
      </w:pPr>
      <w:r>
        <w:rPr>
          <w:sz w:val="24"/>
        </w:rPr>
        <mc:AlternateContent>
          <mc:Choice Requires="wps">
            <w:drawing>
              <wp:anchor distT="0" distB="0" distL="114300" distR="114300" simplePos="0" relativeHeight="251677696" behindDoc="0" locked="0" layoutInCell="1" allowOverlap="1">
                <wp:simplePos x="0" y="0"/>
                <wp:positionH relativeFrom="column">
                  <wp:posOffset>5285105</wp:posOffset>
                </wp:positionH>
                <wp:positionV relativeFrom="paragraph">
                  <wp:posOffset>101600</wp:posOffset>
                </wp:positionV>
                <wp:extent cx="841375" cy="297180"/>
                <wp:effectExtent l="1605915" t="5080" r="10160" b="1126490"/>
                <wp:wrapNone/>
                <wp:docPr id="23" name="矩形标注 23"/>
                <wp:cNvGraphicFramePr/>
                <a:graphic xmlns:a="http://schemas.openxmlformats.org/drawingml/2006/main">
                  <a:graphicData uri="http://schemas.microsoft.com/office/word/2010/wordprocessingShape">
                    <wps:wsp>
                      <wps:cNvSpPr/>
                      <wps:spPr>
                        <a:xfrm>
                          <a:off x="0" y="0"/>
                          <a:ext cx="841375" cy="297180"/>
                        </a:xfrm>
                        <a:prstGeom prst="wedgeRectCallout">
                          <a:avLst>
                            <a:gd name="adj1" fmla="val -236759"/>
                            <a:gd name="adj2" fmla="val 417093"/>
                          </a:avLst>
                        </a:prstGeom>
                        <a:solidFill>
                          <a:srgbClr val="FFFFFF">
                            <a:alpha val="25000"/>
                          </a:srgbClr>
                        </a:solidFill>
                        <a:ln w="9525" cap="flat" cmpd="sng">
                          <a:solidFill>
                            <a:srgbClr val="000000"/>
                          </a:solidFill>
                          <a:prstDash val="solid"/>
                          <a:miter/>
                          <a:headEnd type="none" w="med" len="med"/>
                          <a:tailEnd type="none" w="med" len="med"/>
                        </a:ln>
                      </wps:spPr>
                      <wps:txbx>
                        <w:txbxContent>
                          <w:p w14:paraId="03C61621">
                            <w:pPr>
                              <w:rPr>
                                <w:rFonts w:hint="eastAsia" w:eastAsia="宋体"/>
                                <w:b/>
                                <w:bCs/>
                                <w:color w:val="FF0000"/>
                                <w:lang w:eastAsia="zh-CN"/>
                              </w:rPr>
                            </w:pPr>
                            <w:r>
                              <w:rPr>
                                <w:rFonts w:hint="eastAsia"/>
                                <w:b/>
                                <w:bCs/>
                                <w:color w:val="FF0000"/>
                              </w:rPr>
                              <w:t>项目位置</w:t>
                            </w:r>
                          </w:p>
                        </w:txbxContent>
                      </wps:txbx>
                      <wps:bodyPr upright="1"/>
                    </wps:wsp>
                  </a:graphicData>
                </a:graphic>
              </wp:anchor>
            </w:drawing>
          </mc:Choice>
          <mc:Fallback>
            <w:pict>
              <v:shape id="_x0000_s1026" o:spid="_x0000_s1026" o:spt="61" type="#_x0000_t61" style="position:absolute;left:0pt;margin-left:416.15pt;margin-top:8pt;height:23.4pt;width:66.25pt;z-index:251677696;mso-width-relative:page;mso-height-relative:page;" fillcolor="#FFFFFF" filled="t" stroked="t" coordsize="21600,21600" o:gfxdata="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GL2DNcAAAAJAQAADwAAAAAA&#10;AAABACAAAAAiAAAAZHJzL2Rvd25yZXYueG1sUEsBAhQAFAAAAAgAh07iQPAuneRNAgAAsQQAAA4A&#10;AAAAAAAAAQAgAAAAJgEAAGRycy9lMm9Eb2MueG1sUEsFBgAAAAAGAAYAWQEAAOUFAAAAAA==&#10;" adj="-40340,100892">
                <v:fill on="t" opacity="16384f" focussize="0,0"/>
                <v:stroke color="#000000" joinstyle="miter"/>
                <v:imagedata o:title=""/>
                <o:lock v:ext="edit" aspectratio="f"/>
                <v:textbox>
                  <w:txbxContent>
                    <w:p w14:paraId="03C61621">
                      <w:pPr>
                        <w:rPr>
                          <w:rFonts w:hint="eastAsia" w:eastAsia="宋体"/>
                          <w:b/>
                          <w:bCs/>
                          <w:color w:val="FF0000"/>
                          <w:lang w:eastAsia="zh-CN"/>
                        </w:rPr>
                      </w:pPr>
                      <w:r>
                        <w:rPr>
                          <w:rFonts w:hint="eastAsia"/>
                          <w:b/>
                          <w:bCs/>
                          <w:color w:val="FF0000"/>
                        </w:rPr>
                        <w:t>项目位置</w:t>
                      </w:r>
                    </w:p>
                  </w:txbxContent>
                </v:textbox>
              </v:shape>
            </w:pict>
          </mc:Fallback>
        </mc:AlternateContent>
      </w:r>
    </w:p>
    <w:p w14:paraId="40C21E2A">
      <w:pPr>
        <w:tabs>
          <w:tab w:val="left" w:pos="4830"/>
        </w:tabs>
        <w:ind w:firstLine="5644" w:firstLineChars="2352"/>
        <w:rPr>
          <w:rFonts w:hint="default"/>
          <w:b/>
          <w:sz w:val="24"/>
        </w:rPr>
      </w:pPr>
    </w:p>
    <w:p w14:paraId="48221A19">
      <w:pPr>
        <w:tabs>
          <w:tab w:val="left" w:pos="4830"/>
        </w:tabs>
        <w:ind w:firstLine="5644" w:firstLineChars="2352"/>
        <w:rPr>
          <w:rFonts w:hint="default"/>
          <w:b/>
          <w:sz w:val="24"/>
        </w:rPr>
      </w:pPr>
    </w:p>
    <w:p w14:paraId="149F2B72">
      <w:pPr>
        <w:tabs>
          <w:tab w:val="left" w:pos="4830"/>
        </w:tabs>
        <w:ind w:firstLine="5644" w:firstLineChars="2352"/>
        <w:rPr>
          <w:rFonts w:hint="default"/>
          <w:b/>
          <w:sz w:val="24"/>
        </w:rPr>
      </w:pPr>
      <w:r>
        <w:rPr>
          <w:sz w:val="24"/>
        </w:rPr>
        <mc:AlternateContent>
          <mc:Choice Requires="wps">
            <w:drawing>
              <wp:anchor distT="0" distB="0" distL="114300" distR="114300" simplePos="0" relativeHeight="251680768" behindDoc="0" locked="0" layoutInCell="1" allowOverlap="1">
                <wp:simplePos x="0" y="0"/>
                <wp:positionH relativeFrom="column">
                  <wp:posOffset>2520315</wp:posOffset>
                </wp:positionH>
                <wp:positionV relativeFrom="paragraph">
                  <wp:posOffset>136525</wp:posOffset>
                </wp:positionV>
                <wp:extent cx="622935" cy="880110"/>
                <wp:effectExtent l="6985" t="3175" r="17780" b="12065"/>
                <wp:wrapNone/>
                <wp:docPr id="22" name="椭圆 22"/>
                <wp:cNvGraphicFramePr/>
                <a:graphic xmlns:a="http://schemas.openxmlformats.org/drawingml/2006/main">
                  <a:graphicData uri="http://schemas.microsoft.com/office/word/2010/wordprocessingShape">
                    <wps:wsp>
                      <wps:cNvSpPr/>
                      <wps:spPr>
                        <a:xfrm rot="-420000">
                          <a:off x="0" y="0"/>
                          <a:ext cx="622935" cy="880110"/>
                        </a:xfrm>
                        <a:prstGeom prst="ellipse">
                          <a:avLst/>
                        </a:prstGeom>
                        <a:solidFill>
                          <a:srgbClr val="FFFF00">
                            <a:alpha val="42999"/>
                          </a:srgbClr>
                        </a:solid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3" type="#_x0000_t3" style="position:absolute;left:0pt;margin-left:198.45pt;margin-top:10.75pt;height:69.3pt;width:49.05pt;rotation:-458752f;z-index:251680768;mso-width-relative:page;mso-height-relative:page;" fillcolor="#FFFF00" filled="t" stroked="t" coordsize="21600,21600" o:gfxdata="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vzwOmtoAAAAKAQAADwAA&#10;AAAAAAABACAAAAAiAAAAZHJzL2Rvd25yZXYueG1sUEsBAhQAFAAAAAgAh07iQLwLbn0UAgAARwQA&#10;AA4AAAAAAAAAAQAgAAAAKQEAAGRycy9lMm9Eb2MueG1sUEsFBgAAAAAGAAYAWQEAAK8FAAAAAA==&#10;">
                <v:fill on="t" opacity="28179f" focussize="0,0"/>
                <v:stroke color="#000000" joinstyle="round"/>
                <v:imagedata o:title=""/>
                <o:lock v:ext="edit" aspectratio="f"/>
              </v:shape>
            </w:pict>
          </mc:Fallback>
        </mc:AlternateContent>
      </w:r>
    </w:p>
    <w:p w14:paraId="3FB36D1C">
      <w:pPr>
        <w:tabs>
          <w:tab w:val="left" w:pos="4830"/>
        </w:tabs>
        <w:ind w:firstLine="5644" w:firstLineChars="2352"/>
        <w:rPr>
          <w:rFonts w:hint="default"/>
          <w:b/>
          <w:sz w:val="24"/>
        </w:rPr>
      </w:pPr>
      <w:r>
        <w:rPr>
          <w:sz w:val="24"/>
        </w:rPr>
        <mc:AlternateContent>
          <mc:Choice Requires="wps">
            <w:drawing>
              <wp:anchor distT="0" distB="0" distL="114300" distR="114300" simplePos="0" relativeHeight="251681792" behindDoc="0" locked="0" layoutInCell="1" allowOverlap="1">
                <wp:simplePos x="0" y="0"/>
                <wp:positionH relativeFrom="column">
                  <wp:posOffset>894080</wp:posOffset>
                </wp:positionH>
                <wp:positionV relativeFrom="paragraph">
                  <wp:posOffset>21590</wp:posOffset>
                </wp:positionV>
                <wp:extent cx="936625" cy="335280"/>
                <wp:effectExtent l="4445" t="4445" r="792480" b="174625"/>
                <wp:wrapNone/>
                <wp:docPr id="16" name="矩形标注 16"/>
                <wp:cNvGraphicFramePr/>
                <a:graphic xmlns:a="http://schemas.openxmlformats.org/drawingml/2006/main">
                  <a:graphicData uri="http://schemas.microsoft.com/office/word/2010/wordprocessingShape">
                    <wps:wsp>
                      <wps:cNvSpPr/>
                      <wps:spPr>
                        <a:xfrm>
                          <a:off x="0" y="0"/>
                          <a:ext cx="936625" cy="335280"/>
                        </a:xfrm>
                        <a:prstGeom prst="wedgeRectCallout">
                          <a:avLst>
                            <a:gd name="adj1" fmla="val 130250"/>
                            <a:gd name="adj2" fmla="val 94130"/>
                          </a:avLst>
                        </a:prstGeom>
                        <a:solidFill>
                          <a:srgbClr val="FFFFFF">
                            <a:alpha val="25000"/>
                          </a:srgbClr>
                        </a:solidFill>
                        <a:ln w="9525" cap="flat" cmpd="sng">
                          <a:solidFill>
                            <a:srgbClr val="000000"/>
                          </a:solidFill>
                          <a:prstDash val="solid"/>
                          <a:miter/>
                          <a:headEnd type="none" w="med" len="med"/>
                          <a:tailEnd type="none" w="med" len="med"/>
                        </a:ln>
                      </wps:spPr>
                      <wps:txbx>
                        <w:txbxContent>
                          <w:p w14:paraId="54C2AA58">
                            <w:pPr>
                              <w:rPr>
                                <w:rFonts w:hint="default"/>
                                <w:highlight w:val="yellow"/>
                                <w:lang w:val="en-US"/>
                              </w:rPr>
                            </w:pPr>
                            <w:r>
                              <w:rPr>
                                <w:rFonts w:hint="eastAsia" w:cs="Times New Roman"/>
                                <w:color w:val="auto"/>
                                <w:kern w:val="21"/>
                                <w:sz w:val="21"/>
                                <w:szCs w:val="21"/>
                                <w:highlight w:val="yellow"/>
                                <w:u w:val="none" w:color="auto"/>
                                <w:lang w:val="en-US" w:eastAsia="zh-CN"/>
                              </w:rPr>
                              <w:t>东安碧桂园</w:t>
                            </w:r>
                          </w:p>
                        </w:txbxContent>
                      </wps:txbx>
                      <wps:bodyPr upright="1"/>
                    </wps:wsp>
                  </a:graphicData>
                </a:graphic>
              </wp:anchor>
            </w:drawing>
          </mc:Choice>
          <mc:Fallback>
            <w:pict>
              <v:shape id="_x0000_s1026" o:spid="_x0000_s1026" o:spt="61" type="#_x0000_t61" style="position:absolute;left:0pt;margin-left:70.4pt;margin-top:1.7pt;height:26.4pt;width:73.75pt;z-index:251681792;mso-width-relative:page;mso-height-relative:page;" fillcolor="#FFFFFF" filled="t" stroked="t" coordsize="21600,21600" o:gfxdata="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PXpDDZAAAACAEAAA8AAAAAAAAAAQAg&#10;AAAAIgAAAGRycy9kb3ducmV2LnhtbFBLAQIUABQAAAAIAIdO4kAt8U67RgIAAK8EAAAOAAAAAAAA&#10;AAEAIAAAACgBAABkcnMvZTJvRG9jLnhtbFBLBQYAAAAABgAGAFkBAADgBQAAAAA=&#10;" adj="38934,31132">
                <v:fill on="t" opacity="16384f" focussize="0,0"/>
                <v:stroke color="#000000" joinstyle="miter"/>
                <v:imagedata o:title=""/>
                <o:lock v:ext="edit" aspectratio="f"/>
                <v:textbox>
                  <w:txbxContent>
                    <w:p w14:paraId="54C2AA58">
                      <w:pPr>
                        <w:rPr>
                          <w:rFonts w:hint="default"/>
                          <w:highlight w:val="yellow"/>
                          <w:lang w:val="en-US"/>
                        </w:rPr>
                      </w:pPr>
                      <w:r>
                        <w:rPr>
                          <w:rFonts w:hint="eastAsia" w:cs="Times New Roman"/>
                          <w:color w:val="auto"/>
                          <w:kern w:val="21"/>
                          <w:sz w:val="21"/>
                          <w:szCs w:val="21"/>
                          <w:highlight w:val="yellow"/>
                          <w:u w:val="none" w:color="auto"/>
                          <w:lang w:val="en-US" w:eastAsia="zh-CN"/>
                        </w:rPr>
                        <w:t>东安碧桂园</w:t>
                      </w:r>
                    </w:p>
                  </w:txbxContent>
                </v:textbox>
              </v:shape>
            </w:pict>
          </mc:Fallback>
        </mc:AlternateContent>
      </w:r>
      <w:r>
        <w:rPr>
          <w:sz w:val="24"/>
        </w:rPr>
        <mc:AlternateContent>
          <mc:Choice Requires="wps">
            <w:drawing>
              <wp:anchor distT="0" distB="0" distL="114300" distR="114300" simplePos="0" relativeHeight="251671552" behindDoc="0" locked="0" layoutInCell="1" allowOverlap="1">
                <wp:simplePos x="0" y="0"/>
                <wp:positionH relativeFrom="column">
                  <wp:posOffset>6258560</wp:posOffset>
                </wp:positionH>
                <wp:positionV relativeFrom="paragraph">
                  <wp:posOffset>160020</wp:posOffset>
                </wp:positionV>
                <wp:extent cx="1549400" cy="358140"/>
                <wp:effectExtent l="1332865" t="5080" r="13335" b="55880"/>
                <wp:wrapNone/>
                <wp:docPr id="17" name="矩形标注 17"/>
                <wp:cNvGraphicFramePr/>
                <a:graphic xmlns:a="http://schemas.openxmlformats.org/drawingml/2006/main">
                  <a:graphicData uri="http://schemas.microsoft.com/office/word/2010/wordprocessingShape">
                    <wps:wsp>
                      <wps:cNvSpPr/>
                      <wps:spPr>
                        <a:xfrm>
                          <a:off x="0" y="0"/>
                          <a:ext cx="1549400" cy="358140"/>
                        </a:xfrm>
                        <a:prstGeom prst="wedgeRectCallout">
                          <a:avLst>
                            <a:gd name="adj1" fmla="val -133565"/>
                            <a:gd name="adj2" fmla="val 63120"/>
                          </a:avLst>
                        </a:prstGeom>
                        <a:solidFill>
                          <a:srgbClr val="FFFFFF">
                            <a:alpha val="25000"/>
                          </a:srgbClr>
                        </a:solidFill>
                        <a:ln w="9525" cap="flat" cmpd="sng">
                          <a:solidFill>
                            <a:srgbClr val="000000"/>
                          </a:solidFill>
                          <a:prstDash val="solid"/>
                          <a:miter/>
                          <a:headEnd type="none" w="med" len="med"/>
                          <a:tailEnd type="none" w="med" len="med"/>
                        </a:ln>
                      </wps:spPr>
                      <wps:txbx>
                        <w:txbxContent>
                          <w:p w14:paraId="587CC270">
                            <w:pPr>
                              <w:rPr>
                                <w:rFonts w:hint="default" w:eastAsia="宋体"/>
                                <w:highlight w:val="yellow"/>
                                <w:lang w:val="en-US" w:eastAsia="zh-CN"/>
                              </w:rPr>
                            </w:pPr>
                            <w:r>
                              <w:rPr>
                                <w:rFonts w:hint="eastAsia" w:eastAsia="宋体"/>
                                <w:highlight w:val="yellow"/>
                                <w:lang w:val="en-US" w:eastAsia="zh-CN"/>
                              </w:rPr>
                              <w:t>东安金桥中等职业学校</w:t>
                            </w:r>
                          </w:p>
                        </w:txbxContent>
                      </wps:txbx>
                      <wps:bodyPr upright="1"/>
                    </wps:wsp>
                  </a:graphicData>
                </a:graphic>
              </wp:anchor>
            </w:drawing>
          </mc:Choice>
          <mc:Fallback>
            <w:pict>
              <v:shape id="_x0000_s1026" o:spid="_x0000_s1026" o:spt="61" type="#_x0000_t61" style="position:absolute;left:0pt;margin-left:492.8pt;margin-top:12.6pt;height:28.2pt;width:122pt;z-index:251671552;mso-width-relative:page;mso-height-relative:page;" fillcolor="#FFFFFF" filled="t" stroked="t" coordsize="21600,21600" o:gfxdata="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vXGO01wAAAAoBAAAPAAAAAAAAAAEA&#10;IAAAACIAAABkcnMvZG93bnJldi54bWxQSwECFAAUAAAACACHTuJAJxrpcEkCAACxBAAADgAAAAAA&#10;AAABACAAAAAmAQAAZHJzL2Uyb0RvYy54bWxQSwUGAAAAAAYABgBZAQAA4QUAAAAA&#10;" adj="-18050,24434">
                <v:fill on="t" opacity="16384f" focussize="0,0"/>
                <v:stroke color="#000000" joinstyle="miter"/>
                <v:imagedata o:title=""/>
                <o:lock v:ext="edit" aspectratio="f"/>
                <v:textbox>
                  <w:txbxContent>
                    <w:p w14:paraId="587CC270">
                      <w:pPr>
                        <w:rPr>
                          <w:rFonts w:hint="default" w:eastAsia="宋体"/>
                          <w:highlight w:val="yellow"/>
                          <w:lang w:val="en-US" w:eastAsia="zh-CN"/>
                        </w:rPr>
                      </w:pPr>
                      <w:r>
                        <w:rPr>
                          <w:rFonts w:hint="eastAsia" w:eastAsia="宋体"/>
                          <w:highlight w:val="yellow"/>
                          <w:lang w:val="en-US" w:eastAsia="zh-CN"/>
                        </w:rPr>
                        <w:t>东安金桥中等职业学校</w:t>
                      </w:r>
                    </w:p>
                  </w:txbxContent>
                </v:textbox>
              </v:shape>
            </w:pict>
          </mc:Fallback>
        </mc:AlternateContent>
      </w:r>
      <w:r>
        <w:rPr>
          <w:sz w:val="24"/>
        </w:rPr>
        <mc:AlternateContent>
          <mc:Choice Requires="wps">
            <w:drawing>
              <wp:anchor distT="0" distB="0" distL="114300" distR="114300" simplePos="0" relativeHeight="251669504" behindDoc="0" locked="0" layoutInCell="1" allowOverlap="1">
                <wp:simplePos x="0" y="0"/>
                <wp:positionH relativeFrom="column">
                  <wp:posOffset>4739640</wp:posOffset>
                </wp:positionH>
                <wp:positionV relativeFrom="paragraph">
                  <wp:posOffset>141605</wp:posOffset>
                </wp:positionV>
                <wp:extent cx="325120" cy="659765"/>
                <wp:effectExtent l="4445" t="4445" r="13335" b="21590"/>
                <wp:wrapNone/>
                <wp:docPr id="7" name="椭圆 7"/>
                <wp:cNvGraphicFramePr/>
                <a:graphic xmlns:a="http://schemas.openxmlformats.org/drawingml/2006/main">
                  <a:graphicData uri="http://schemas.microsoft.com/office/word/2010/wordprocessingShape">
                    <wps:wsp>
                      <wps:cNvSpPr/>
                      <wps:spPr>
                        <a:xfrm>
                          <a:off x="0" y="0"/>
                          <a:ext cx="325120" cy="659765"/>
                        </a:xfrm>
                        <a:prstGeom prst="ellipse">
                          <a:avLst/>
                        </a:prstGeom>
                        <a:solidFill>
                          <a:srgbClr val="FFFF00">
                            <a:alpha val="42999"/>
                          </a:srgbClr>
                        </a:solid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3" type="#_x0000_t3" style="position:absolute;left:0pt;margin-left:373.2pt;margin-top:11.15pt;height:51.95pt;width:25.6pt;z-index:251669504;mso-width-relative:page;mso-height-relative:page;" fillcolor="#FFFF00" filled="t" stroked="t" coordsize="21600,21600" o:gfxdata="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D002oHZAAAACgEAAA8AAAAAAAAAAQAgAAAA&#10;IgAAAGRycy9kb3ducmV2LnhtbFBLAQIUABQAAAAIAIdO4kB+2S+UCgIAADcEAAAOAAAAAAAAAAEA&#10;IAAAACgBAABkcnMvZTJvRG9jLnhtbFBLBQYAAAAABgAGAFkBAACkBQAAAAA=&#10;">
                <v:fill on="t" opacity="28179f" focussize="0,0"/>
                <v:stroke color="#000000" joinstyle="round"/>
                <v:imagedata o:title=""/>
                <o:lock v:ext="edit" aspectratio="f"/>
              </v:shape>
            </w:pict>
          </mc:Fallback>
        </mc:AlternateContent>
      </w:r>
    </w:p>
    <w:p w14:paraId="267F54DE">
      <w:pPr>
        <w:tabs>
          <w:tab w:val="left" w:pos="4830"/>
        </w:tabs>
        <w:ind w:firstLine="5644" w:firstLineChars="2352"/>
        <w:rPr>
          <w:rFonts w:hint="default"/>
          <w:b/>
          <w:sz w:val="24"/>
        </w:rPr>
      </w:pPr>
    </w:p>
    <w:p w14:paraId="0AFBABD8">
      <w:pPr>
        <w:tabs>
          <w:tab w:val="left" w:pos="4830"/>
        </w:tabs>
        <w:ind w:firstLine="5644" w:firstLineChars="2352"/>
        <w:rPr>
          <w:rFonts w:hint="default"/>
          <w:b/>
          <w:sz w:val="24"/>
        </w:rPr>
      </w:pPr>
    </w:p>
    <w:p w14:paraId="7D504FB2">
      <w:pPr>
        <w:tabs>
          <w:tab w:val="left" w:pos="4830"/>
        </w:tabs>
        <w:ind w:firstLine="5644" w:firstLineChars="2352"/>
        <w:rPr>
          <w:rFonts w:hint="default"/>
          <w:b/>
          <w:sz w:val="24"/>
        </w:rPr>
      </w:pPr>
      <w:r>
        <w:rPr>
          <w:sz w:val="24"/>
        </w:rPr>
        <mc:AlternateContent>
          <mc:Choice Requires="wps">
            <w:drawing>
              <wp:anchor distT="0" distB="0" distL="114300" distR="114300" simplePos="0" relativeHeight="251672576" behindDoc="0" locked="0" layoutInCell="1" allowOverlap="1">
                <wp:simplePos x="0" y="0"/>
                <wp:positionH relativeFrom="column">
                  <wp:posOffset>3996690</wp:posOffset>
                </wp:positionH>
                <wp:positionV relativeFrom="paragraph">
                  <wp:posOffset>197485</wp:posOffset>
                </wp:positionV>
                <wp:extent cx="327025" cy="292735"/>
                <wp:effectExtent l="0" t="10160" r="16510" b="20955"/>
                <wp:wrapNone/>
                <wp:docPr id="18" name="椭圆 18"/>
                <wp:cNvGraphicFramePr/>
                <a:graphic xmlns:a="http://schemas.openxmlformats.org/drawingml/2006/main">
                  <a:graphicData uri="http://schemas.microsoft.com/office/word/2010/wordprocessingShape">
                    <wps:wsp>
                      <wps:cNvSpPr/>
                      <wps:spPr>
                        <a:xfrm rot="-2040000">
                          <a:off x="0" y="0"/>
                          <a:ext cx="327025" cy="292735"/>
                        </a:xfrm>
                        <a:prstGeom prst="ellipse">
                          <a:avLst/>
                        </a:prstGeom>
                        <a:solidFill>
                          <a:srgbClr val="FFFF00">
                            <a:alpha val="42999"/>
                          </a:srgbClr>
                        </a:solid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3" type="#_x0000_t3" style="position:absolute;left:0pt;margin-left:314.7pt;margin-top:15.55pt;height:23.05pt;width:25.75pt;rotation:-2228224f;z-index:251672576;mso-width-relative:page;mso-height-relative:page;" fillcolor="#FFFF00" filled="t" stroked="t" coordsize="21600,21600" o:gfxdata="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Nu6lQ7aAAAACQEAAA8A&#10;AAAAAAAAAQAgAAAAIgAAAGRycy9kb3ducmV2LnhtbFBLAQIUABQAAAAIAIdO4kCeGwirFQIAAEgE&#10;AAAOAAAAAAAAAAEAIAAAACkBAABkcnMvZTJvRG9jLnhtbFBLBQYAAAAABgAGAFkBAACwBQAAAAA=&#10;">
                <v:fill on="t" opacity="28179f" focussize="0,0"/>
                <v:stroke color="#000000" joinstyle="round"/>
                <v:imagedata o:title=""/>
                <o:lock v:ext="edit" aspectratio="f"/>
              </v:shape>
            </w:pict>
          </mc:Fallback>
        </mc:AlternateContent>
      </w:r>
      <w:r>
        <w:rPr>
          <w:sz w:val="24"/>
        </w:rPr>
        <mc:AlternateContent>
          <mc:Choice Requires="wps">
            <w:drawing>
              <wp:anchor distT="0" distB="0" distL="114300" distR="114300" simplePos="0" relativeHeight="251664384" behindDoc="0" locked="0" layoutInCell="1" allowOverlap="1">
                <wp:simplePos x="0" y="0"/>
                <wp:positionH relativeFrom="column">
                  <wp:posOffset>3593465</wp:posOffset>
                </wp:positionH>
                <wp:positionV relativeFrom="paragraph">
                  <wp:posOffset>43815</wp:posOffset>
                </wp:positionV>
                <wp:extent cx="77470" cy="203200"/>
                <wp:effectExtent l="19050" t="19050" r="25400" b="36830"/>
                <wp:wrapNone/>
                <wp:docPr id="24" name="矩形 24"/>
                <wp:cNvGraphicFramePr/>
                <a:graphic xmlns:a="http://schemas.openxmlformats.org/drawingml/2006/main">
                  <a:graphicData uri="http://schemas.microsoft.com/office/word/2010/wordprocessingShape">
                    <wps:wsp>
                      <wps:cNvSpPr/>
                      <wps:spPr>
                        <a:xfrm rot="-5400000">
                          <a:off x="0" y="0"/>
                          <a:ext cx="77470" cy="203200"/>
                        </a:xfrm>
                        <a:prstGeom prst="rect">
                          <a:avLst/>
                        </a:prstGeom>
                        <a:solidFill>
                          <a:srgbClr val="FFFFFF">
                            <a:alpha val="0"/>
                          </a:srgbClr>
                        </a:solidFill>
                        <a:ln w="38100" cap="flat" cmpd="sng">
                          <a:solidFill>
                            <a:srgbClr val="FF0000"/>
                          </a:solidFill>
                          <a:prstDash val="solid"/>
                          <a:miter/>
                          <a:headEnd type="none" w="med" len="med"/>
                          <a:tailEnd type="none" w="med" len="med"/>
                        </a:ln>
                      </wps:spPr>
                      <wps:bodyPr upright="1"/>
                    </wps:wsp>
                  </a:graphicData>
                </a:graphic>
              </wp:anchor>
            </w:drawing>
          </mc:Choice>
          <mc:Fallback>
            <w:pict>
              <v:rect id="_x0000_s1026" o:spid="_x0000_s1026" o:spt="1" style="position:absolute;left:0pt;margin-left:282.95pt;margin-top:3.45pt;height:16pt;width:6.1pt;rotation:-5898240f;z-index:251664384;mso-width-relative:page;mso-height-relative:page;" fillcolor="#FFFFFF" filled="t" stroked="t" coordsize="21600,21600" o:gfxdata="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FLTLSbXAAAACAEAAA8AAAAAAAAA&#10;AQAgAAAAIgAAAGRycy9kb3ducmV2LnhtbFBLAQIUABQAAAAIAIdO4kBSTnR7EgIAAEsEAAAOAAAA&#10;AAAAAAEAIAAAACYBAABkcnMvZTJvRG9jLnhtbFBLBQYAAAAABgAGAFkBAACqBQAAAAA=&#10;">
                <v:fill on="t" opacity="0f" focussize="0,0"/>
                <v:stroke weight="3pt" color="#FF0000" joinstyle="miter"/>
                <v:imagedata o:title=""/>
                <o:lock v:ext="edit" aspectratio="f"/>
              </v:rect>
            </w:pict>
          </mc:Fallback>
        </mc:AlternateContent>
      </w:r>
    </w:p>
    <w:p w14:paraId="20D69703">
      <w:pPr>
        <w:tabs>
          <w:tab w:val="left" w:pos="4830"/>
        </w:tabs>
        <w:ind w:firstLine="5644" w:firstLineChars="2352"/>
        <w:rPr>
          <w:rFonts w:hint="default"/>
          <w:b/>
          <w:sz w:val="24"/>
        </w:rPr>
      </w:pPr>
      <w:r>
        <w:rPr>
          <w:sz w:val="24"/>
        </w:rPr>
        <mc:AlternateContent>
          <mc:Choice Requires="wps">
            <w:drawing>
              <wp:anchor distT="0" distB="0" distL="114300" distR="114300" simplePos="0" relativeHeight="251673600" behindDoc="0" locked="0" layoutInCell="1" allowOverlap="1">
                <wp:simplePos x="0" y="0"/>
                <wp:positionH relativeFrom="column">
                  <wp:posOffset>5857875</wp:posOffset>
                </wp:positionH>
                <wp:positionV relativeFrom="paragraph">
                  <wp:posOffset>136525</wp:posOffset>
                </wp:positionV>
                <wp:extent cx="1066800" cy="358140"/>
                <wp:effectExtent l="929640" t="4445" r="22860" b="56515"/>
                <wp:wrapNone/>
                <wp:docPr id="11" name="矩形标注 11"/>
                <wp:cNvGraphicFramePr/>
                <a:graphic xmlns:a="http://schemas.openxmlformats.org/drawingml/2006/main">
                  <a:graphicData uri="http://schemas.microsoft.com/office/word/2010/wordprocessingShape">
                    <wps:wsp>
                      <wps:cNvSpPr/>
                      <wps:spPr>
                        <a:xfrm>
                          <a:off x="0" y="0"/>
                          <a:ext cx="1066800" cy="358140"/>
                        </a:xfrm>
                        <a:prstGeom prst="wedgeRectCallout">
                          <a:avLst>
                            <a:gd name="adj1" fmla="val -133565"/>
                            <a:gd name="adj2" fmla="val 63120"/>
                          </a:avLst>
                        </a:prstGeom>
                        <a:solidFill>
                          <a:srgbClr val="FFFFFF">
                            <a:alpha val="25000"/>
                          </a:srgbClr>
                        </a:solidFill>
                        <a:ln w="9525" cap="flat" cmpd="sng">
                          <a:solidFill>
                            <a:srgbClr val="000000"/>
                          </a:solidFill>
                          <a:prstDash val="solid"/>
                          <a:miter/>
                          <a:headEnd type="none" w="med" len="med"/>
                          <a:tailEnd type="none" w="med" len="med"/>
                        </a:ln>
                      </wps:spPr>
                      <wps:txbx>
                        <w:txbxContent>
                          <w:p w14:paraId="157CD323">
                            <w:pPr>
                              <w:rPr>
                                <w:rFonts w:hint="default" w:eastAsia="宋体"/>
                                <w:highlight w:val="yellow"/>
                                <w:lang w:val="en-US" w:eastAsia="zh-CN"/>
                              </w:rPr>
                            </w:pPr>
                            <w:r>
                              <w:rPr>
                                <w:rFonts w:hint="eastAsia" w:eastAsia="宋体"/>
                                <w:highlight w:val="yellow"/>
                                <w:lang w:val="en-US" w:eastAsia="zh-CN"/>
                              </w:rPr>
                              <w:t>盈凯国际新城</w:t>
                            </w:r>
                          </w:p>
                        </w:txbxContent>
                      </wps:txbx>
                      <wps:bodyPr upright="1"/>
                    </wps:wsp>
                  </a:graphicData>
                </a:graphic>
              </wp:anchor>
            </w:drawing>
          </mc:Choice>
          <mc:Fallback>
            <w:pict>
              <v:shape id="_x0000_s1026" o:spid="_x0000_s1026" o:spt="61" type="#_x0000_t61" style="position:absolute;left:0pt;margin-left:461.25pt;margin-top:10.75pt;height:28.2pt;width:84pt;z-index:251673600;mso-width-relative:page;mso-height-relative:page;" fillcolor="#FFFFFF" filled="t" stroked="t" coordsize="21600,21600" o:gfxdata="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vnzSjXAAAACgEAAA8AAAAAAAAAAQAg&#10;AAAAIgAAAGRycy9kb3ducmV2LnhtbFBLAQIUABQAAAAIAIdO4kDD9wMUSAIAALEEAAAOAAAAAAAA&#10;AAEAIAAAACYBAABkcnMvZTJvRG9jLnhtbFBLBQYAAAAABgAGAFkBAADgBQAAAAA=&#10;" adj="-18050,24434">
                <v:fill on="t" opacity="16384f" focussize="0,0"/>
                <v:stroke color="#000000" joinstyle="miter"/>
                <v:imagedata o:title=""/>
                <o:lock v:ext="edit" aspectratio="f"/>
                <v:textbox>
                  <w:txbxContent>
                    <w:p w14:paraId="157CD323">
                      <w:pPr>
                        <w:rPr>
                          <w:rFonts w:hint="default" w:eastAsia="宋体"/>
                          <w:highlight w:val="yellow"/>
                          <w:lang w:val="en-US" w:eastAsia="zh-CN"/>
                        </w:rPr>
                      </w:pPr>
                      <w:r>
                        <w:rPr>
                          <w:rFonts w:hint="eastAsia" w:eastAsia="宋体"/>
                          <w:highlight w:val="yellow"/>
                          <w:lang w:val="en-US" w:eastAsia="zh-CN"/>
                        </w:rPr>
                        <w:t>盈凯国际新城</w:t>
                      </w:r>
                    </w:p>
                  </w:txbxContent>
                </v:textbox>
              </v:shape>
            </w:pict>
          </mc:Fallback>
        </mc:AlternateContent>
      </w:r>
    </w:p>
    <w:p w14:paraId="15B7C0C9">
      <w:pPr>
        <w:tabs>
          <w:tab w:val="left" w:pos="4830"/>
        </w:tabs>
        <w:ind w:firstLine="5644" w:firstLineChars="2352"/>
        <w:rPr>
          <w:rFonts w:hint="default"/>
          <w:b/>
          <w:sz w:val="24"/>
        </w:rPr>
      </w:pPr>
      <w:r>
        <w:rPr>
          <w:sz w:val="24"/>
        </w:rPr>
        <mc:AlternateContent>
          <mc:Choice Requires="wps">
            <w:drawing>
              <wp:anchor distT="0" distB="0" distL="114300" distR="114300" simplePos="0" relativeHeight="251675648" behindDoc="0" locked="0" layoutInCell="1" allowOverlap="1">
                <wp:simplePos x="0" y="0"/>
                <wp:positionH relativeFrom="column">
                  <wp:posOffset>2533650</wp:posOffset>
                </wp:positionH>
                <wp:positionV relativeFrom="paragraph">
                  <wp:posOffset>114935</wp:posOffset>
                </wp:positionV>
                <wp:extent cx="622935" cy="880110"/>
                <wp:effectExtent l="17780" t="0" r="26035" b="635"/>
                <wp:wrapNone/>
                <wp:docPr id="25" name="椭圆 25"/>
                <wp:cNvGraphicFramePr/>
                <a:graphic xmlns:a="http://schemas.openxmlformats.org/drawingml/2006/main">
                  <a:graphicData uri="http://schemas.microsoft.com/office/word/2010/wordprocessingShape">
                    <wps:wsp>
                      <wps:cNvSpPr/>
                      <wps:spPr>
                        <a:xfrm rot="1020000">
                          <a:off x="0" y="0"/>
                          <a:ext cx="622935" cy="880110"/>
                        </a:xfrm>
                        <a:prstGeom prst="ellipse">
                          <a:avLst/>
                        </a:prstGeom>
                        <a:solidFill>
                          <a:srgbClr val="FFFF00">
                            <a:alpha val="42999"/>
                          </a:srgbClr>
                        </a:solid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3" type="#_x0000_t3" style="position:absolute;left:0pt;margin-left:199.5pt;margin-top:9.05pt;height:69.3pt;width:49.05pt;rotation:1114112f;z-index:251675648;mso-width-relative:page;mso-height-relative:page;" fillcolor="#FFFF00" filled="t" stroked="t" coordsize="21600,21600" o:gfxdata="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M5L0c9sAAAAKAQAADwAA&#10;AAAAAAABACAAAAAiAAAAZHJzL2Rvd25yZXYueG1sUEsBAhQAFAAAAAgAh07iQOFCv5YTAgAARwQA&#10;AA4AAAAAAAAAAQAgAAAAKgEAAGRycy9lMm9Eb2MueG1sUEsFBgAAAAAGAAYAWQEAAK8FAAAAAA==&#10;">
                <v:fill on="t" opacity="28179f" focussize="0,0"/>
                <v:stroke color="#000000" joinstyle="round"/>
                <v:imagedata o:title=""/>
                <o:lock v:ext="edit" aspectratio="f"/>
              </v:shape>
            </w:pict>
          </mc:Fallback>
        </mc:AlternateContent>
      </w:r>
    </w:p>
    <w:p w14:paraId="54ABD484">
      <w:pPr>
        <w:tabs>
          <w:tab w:val="left" w:pos="4830"/>
        </w:tabs>
        <w:ind w:firstLine="5644" w:firstLineChars="2352"/>
        <w:rPr>
          <w:rFonts w:hint="default"/>
          <w:b/>
          <w:sz w:val="24"/>
        </w:rPr>
      </w:pPr>
      <w:r>
        <w:rPr>
          <w:sz w:val="24"/>
        </w:rPr>
        <mc:AlternateContent>
          <mc:Choice Requires="wps">
            <w:drawing>
              <wp:anchor distT="0" distB="0" distL="114300" distR="114300" simplePos="0" relativeHeight="251670528" behindDoc="0" locked="0" layoutInCell="1" allowOverlap="1">
                <wp:simplePos x="0" y="0"/>
                <wp:positionH relativeFrom="column">
                  <wp:posOffset>4726305</wp:posOffset>
                </wp:positionH>
                <wp:positionV relativeFrom="paragraph">
                  <wp:posOffset>31115</wp:posOffset>
                </wp:positionV>
                <wp:extent cx="306705" cy="244475"/>
                <wp:effectExtent l="0" t="15240" r="2540" b="26035"/>
                <wp:wrapNone/>
                <wp:docPr id="13" name="椭圆 13"/>
                <wp:cNvGraphicFramePr/>
                <a:graphic xmlns:a="http://schemas.openxmlformats.org/drawingml/2006/main">
                  <a:graphicData uri="http://schemas.microsoft.com/office/word/2010/wordprocessingShape">
                    <wps:wsp>
                      <wps:cNvSpPr/>
                      <wps:spPr>
                        <a:xfrm rot="-2040000">
                          <a:off x="0" y="0"/>
                          <a:ext cx="306705" cy="244475"/>
                        </a:xfrm>
                        <a:prstGeom prst="ellipse">
                          <a:avLst/>
                        </a:prstGeom>
                        <a:solidFill>
                          <a:srgbClr val="FFFF00">
                            <a:alpha val="42999"/>
                          </a:srgbClr>
                        </a:solid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3" type="#_x0000_t3" style="position:absolute;left:0pt;margin-left:372.15pt;margin-top:2.45pt;height:19.25pt;width:24.15pt;rotation:-2228224f;z-index:251670528;mso-width-relative:page;mso-height-relative:page;" fillcolor="#FFFF00" filled="t" stroked="t" coordsize="21600,21600" o:gfxdata="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xEMHw2QAAAAgBAAAP&#10;AAAAAAAAAAEAIAAAACIAAABkcnMvZG93bnJldi54bWxQSwECFAAUAAAACACHTuJAEwszSRcCAABI&#10;BAAADgAAAAAAAAABACAAAAAoAQAAZHJzL2Uyb0RvYy54bWxQSwUGAAAAAAYABgBZAQAAsQUAAAAA&#10;">
                <v:fill on="t" opacity="28179f" focussize="0,0"/>
                <v:stroke color="#000000" joinstyle="round"/>
                <v:imagedata o:title=""/>
                <o:lock v:ext="edit" aspectratio="f"/>
              </v:shape>
            </w:pict>
          </mc:Fallback>
        </mc:AlternateContent>
      </w:r>
    </w:p>
    <w:p w14:paraId="44CB8E3F">
      <w:pPr>
        <w:tabs>
          <w:tab w:val="left" w:pos="4830"/>
        </w:tabs>
        <w:ind w:firstLine="5644" w:firstLineChars="2352"/>
        <w:rPr>
          <w:rFonts w:hint="default"/>
          <w:b/>
          <w:sz w:val="24"/>
        </w:rPr>
      </w:pPr>
      <w:r>
        <w:rPr>
          <w:sz w:val="24"/>
        </w:rPr>
        <mc:AlternateContent>
          <mc:Choice Requires="wps">
            <w:drawing>
              <wp:anchor distT="0" distB="0" distL="114300" distR="114300" simplePos="0" relativeHeight="251667456" behindDoc="0" locked="0" layoutInCell="1" allowOverlap="1">
                <wp:simplePos x="0" y="0"/>
                <wp:positionH relativeFrom="column">
                  <wp:posOffset>3369310</wp:posOffset>
                </wp:positionH>
                <wp:positionV relativeFrom="paragraph">
                  <wp:posOffset>16510</wp:posOffset>
                </wp:positionV>
                <wp:extent cx="601980" cy="282575"/>
                <wp:effectExtent l="0" t="0" r="7620" b="3175"/>
                <wp:wrapNone/>
                <wp:docPr id="15" name="文本框 15"/>
                <wp:cNvGraphicFramePr/>
                <a:graphic xmlns:a="http://schemas.openxmlformats.org/drawingml/2006/main">
                  <a:graphicData uri="http://schemas.microsoft.com/office/word/2010/wordprocessingShape">
                    <wps:wsp>
                      <wps:cNvSpPr txBox="1"/>
                      <wps:spPr>
                        <a:xfrm>
                          <a:off x="0" y="0"/>
                          <a:ext cx="601980" cy="282575"/>
                        </a:xfrm>
                        <a:prstGeom prst="rect">
                          <a:avLst/>
                        </a:prstGeom>
                        <a:solidFill>
                          <a:srgbClr val="FFFFFF">
                            <a:alpha val="999"/>
                          </a:srgbClr>
                        </a:solidFill>
                        <a:ln>
                          <a:noFill/>
                        </a:ln>
                      </wps:spPr>
                      <wps:txbx>
                        <w:txbxContent>
                          <w:p w14:paraId="32134FE6">
                            <w:pPr>
                              <w:rPr>
                                <w:rFonts w:hint="default" w:eastAsia="宋体"/>
                                <w:lang w:val="en-US" w:eastAsia="zh-CN"/>
                              </w:rPr>
                            </w:pPr>
                            <w:r>
                              <w:rPr>
                                <w:rFonts w:hint="eastAsia"/>
                                <w:highlight w:val="yellow"/>
                                <w:lang w:val="en-US" w:eastAsia="zh-CN"/>
                              </w:rPr>
                              <w:t>500米</w:t>
                            </w:r>
                            <w:r>
                              <w:rPr>
                                <w:rFonts w:hint="eastAsia"/>
                                <w:lang w:val="en-US" w:eastAsia="zh-CN"/>
                              </w:rPr>
                              <w:t xml:space="preserve">y </w:t>
                            </w:r>
                          </w:p>
                        </w:txbxContent>
                      </wps:txbx>
                      <wps:bodyPr upright="1"/>
                    </wps:wsp>
                  </a:graphicData>
                </a:graphic>
              </wp:anchor>
            </w:drawing>
          </mc:Choice>
          <mc:Fallback>
            <w:pict>
              <v:shape id="_x0000_s1026" o:spid="_x0000_s1026" o:spt="202" type="#_x0000_t202" style="position:absolute;left:0pt;margin-left:265.3pt;margin-top:1.3pt;height:22.25pt;width:47.4pt;z-index:251667456;mso-width-relative:page;mso-height-relative:page;" fillcolor="#FFFFFF" filled="t" stroked="f" coordsize="21600,21600" o:gfxdata="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KkoiYnYAAAACAEAAA8AAAAAAAAAAQAgAAAAIgAA&#10;AGRycy9kb3ducmV2LnhtbFBLAQIUABQAAAAIAIdO4kD2oN96zwEAAJcDAAAOAAAAAAAAAAEAIAAA&#10;ACcBAABkcnMvZTJvRG9jLnhtbFBLBQYAAAAABgAGAFkBAABoBQAAAAA=&#10;">
                <v:fill on="t" opacity="654f" focussize="0,0"/>
                <v:stroke on="f"/>
                <v:imagedata o:title=""/>
                <o:lock v:ext="edit" aspectratio="f"/>
                <v:textbox>
                  <w:txbxContent>
                    <w:p w14:paraId="32134FE6">
                      <w:pPr>
                        <w:rPr>
                          <w:rFonts w:hint="default" w:eastAsia="宋体"/>
                          <w:lang w:val="en-US" w:eastAsia="zh-CN"/>
                        </w:rPr>
                      </w:pPr>
                      <w:r>
                        <w:rPr>
                          <w:rFonts w:hint="eastAsia"/>
                          <w:highlight w:val="yellow"/>
                          <w:lang w:val="en-US" w:eastAsia="zh-CN"/>
                        </w:rPr>
                        <w:t>500米</w:t>
                      </w:r>
                      <w:r>
                        <w:rPr>
                          <w:rFonts w:hint="eastAsia"/>
                          <w:lang w:val="en-US" w:eastAsia="zh-CN"/>
                        </w:rPr>
                        <w:t xml:space="preserve">y </w:t>
                      </w:r>
                    </w:p>
                  </w:txbxContent>
                </v:textbox>
              </v:shape>
            </w:pict>
          </mc:Fallback>
        </mc:AlternateContent>
      </w:r>
    </w:p>
    <w:p w14:paraId="67A21067">
      <w:pPr>
        <w:tabs>
          <w:tab w:val="left" w:pos="4830"/>
        </w:tabs>
        <w:ind w:firstLine="5644" w:firstLineChars="2352"/>
        <w:rPr>
          <w:rFonts w:hint="default"/>
          <w:b/>
          <w:sz w:val="24"/>
        </w:rPr>
      </w:pPr>
      <w:r>
        <w:rPr>
          <w:sz w:val="24"/>
        </w:rPr>
        <mc:AlternateContent>
          <mc:Choice Requires="wps">
            <w:drawing>
              <wp:anchor distT="0" distB="0" distL="114300" distR="114300" simplePos="0" relativeHeight="251678720" behindDoc="0" locked="0" layoutInCell="1" allowOverlap="1">
                <wp:simplePos x="0" y="0"/>
                <wp:positionH relativeFrom="column">
                  <wp:posOffset>4970780</wp:posOffset>
                </wp:positionH>
                <wp:positionV relativeFrom="paragraph">
                  <wp:posOffset>170180</wp:posOffset>
                </wp:positionV>
                <wp:extent cx="638810" cy="358140"/>
                <wp:effectExtent l="984885" t="4445" r="14605" b="56515"/>
                <wp:wrapNone/>
                <wp:docPr id="31" name="矩形标注 31"/>
                <wp:cNvGraphicFramePr/>
                <a:graphic xmlns:a="http://schemas.openxmlformats.org/drawingml/2006/main">
                  <a:graphicData uri="http://schemas.microsoft.com/office/word/2010/wordprocessingShape">
                    <wps:wsp>
                      <wps:cNvSpPr/>
                      <wps:spPr>
                        <a:xfrm>
                          <a:off x="0" y="0"/>
                          <a:ext cx="638810" cy="358140"/>
                        </a:xfrm>
                        <a:prstGeom prst="wedgeRectCallout">
                          <a:avLst>
                            <a:gd name="adj1" fmla="val -198208"/>
                            <a:gd name="adj2" fmla="val 59042"/>
                          </a:avLst>
                        </a:prstGeom>
                        <a:solidFill>
                          <a:srgbClr val="FFFFFF">
                            <a:alpha val="25000"/>
                          </a:srgbClr>
                        </a:solidFill>
                        <a:ln w="9525" cap="flat" cmpd="sng">
                          <a:solidFill>
                            <a:srgbClr val="000000"/>
                          </a:solidFill>
                          <a:prstDash val="solid"/>
                          <a:miter/>
                          <a:headEnd type="none" w="med" len="med"/>
                          <a:tailEnd type="none" w="med" len="med"/>
                        </a:ln>
                      </wps:spPr>
                      <wps:txbx>
                        <w:txbxContent>
                          <w:p w14:paraId="6EE536F4">
                            <w:pPr>
                              <w:rPr>
                                <w:rFonts w:hint="default" w:eastAsia="宋体"/>
                                <w:highlight w:val="yellow"/>
                                <w:lang w:val="en-US" w:eastAsia="zh-CN"/>
                              </w:rPr>
                            </w:pPr>
                            <w:r>
                              <w:rPr>
                                <w:rFonts w:hint="eastAsia" w:eastAsia="宋体"/>
                                <w:highlight w:val="yellow"/>
                                <w:lang w:val="en-US" w:eastAsia="zh-CN"/>
                              </w:rPr>
                              <w:t>官田村</w:t>
                            </w:r>
                          </w:p>
                        </w:txbxContent>
                      </wps:txbx>
                      <wps:bodyPr upright="1"/>
                    </wps:wsp>
                  </a:graphicData>
                </a:graphic>
              </wp:anchor>
            </w:drawing>
          </mc:Choice>
          <mc:Fallback>
            <w:pict>
              <v:shape id="_x0000_s1026" o:spid="_x0000_s1026" o:spt="61" type="#_x0000_t61" style="position:absolute;left:0pt;margin-left:391.4pt;margin-top:13.4pt;height:28.2pt;width:50.3pt;z-index:251678720;mso-width-relative:page;mso-height-relative:page;" fillcolor="#FFFFFF" filled="t" stroked="t" coordsize="21600,21600" o:gfxdata="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F5o7QTYAAAACQEAAA8AAAAAAAAA&#10;AQAgAAAAIgAAAGRycy9kb3ducmV2LnhtbFBLAQIUABQAAAAIAIdO4kAzMcaxSgIAALAEAAAOAAAA&#10;AAAAAAEAIAAAACcBAABkcnMvZTJvRG9jLnhtbFBLBQYAAAAABgAGAFkBAADjBQAAAAA=&#10;" adj="-32013,23553">
                <v:fill on="t" opacity="16384f" focussize="0,0"/>
                <v:stroke color="#000000" joinstyle="miter"/>
                <v:imagedata o:title=""/>
                <o:lock v:ext="edit" aspectratio="f"/>
                <v:textbox>
                  <w:txbxContent>
                    <w:p w14:paraId="6EE536F4">
                      <w:pPr>
                        <w:rPr>
                          <w:rFonts w:hint="default" w:eastAsia="宋体"/>
                          <w:highlight w:val="yellow"/>
                          <w:lang w:val="en-US" w:eastAsia="zh-CN"/>
                        </w:rPr>
                      </w:pPr>
                      <w:r>
                        <w:rPr>
                          <w:rFonts w:hint="eastAsia" w:eastAsia="宋体"/>
                          <w:highlight w:val="yellow"/>
                          <w:lang w:val="en-US" w:eastAsia="zh-CN"/>
                        </w:rPr>
                        <w:t>官田村</w:t>
                      </w:r>
                    </w:p>
                  </w:txbxContent>
                </v:textbox>
              </v:shape>
            </w:pict>
          </mc:Fallback>
        </mc:AlternateContent>
      </w:r>
    </w:p>
    <w:p w14:paraId="2A1DC7C8">
      <w:pPr>
        <w:tabs>
          <w:tab w:val="left" w:pos="4830"/>
        </w:tabs>
        <w:ind w:firstLine="5644" w:firstLineChars="2352"/>
        <w:rPr>
          <w:rFonts w:hint="default"/>
          <w:b/>
          <w:sz w:val="24"/>
        </w:rPr>
      </w:pPr>
      <w:r>
        <w:rPr>
          <w:sz w:val="24"/>
        </w:rPr>
        <mc:AlternateContent>
          <mc:Choice Requires="wps">
            <w:drawing>
              <wp:anchor distT="0" distB="0" distL="114300" distR="114300" simplePos="0" relativeHeight="251679744" behindDoc="0" locked="0" layoutInCell="1" allowOverlap="1">
                <wp:simplePos x="0" y="0"/>
                <wp:positionH relativeFrom="column">
                  <wp:posOffset>3633470</wp:posOffset>
                </wp:positionH>
                <wp:positionV relativeFrom="paragraph">
                  <wp:posOffset>28575</wp:posOffset>
                </wp:positionV>
                <wp:extent cx="629920" cy="300990"/>
                <wp:effectExtent l="0" t="53340" r="0" b="64770"/>
                <wp:wrapNone/>
                <wp:docPr id="32" name="椭圆 32"/>
                <wp:cNvGraphicFramePr/>
                <a:graphic xmlns:a="http://schemas.openxmlformats.org/drawingml/2006/main">
                  <a:graphicData uri="http://schemas.microsoft.com/office/word/2010/wordprocessingShape">
                    <wps:wsp>
                      <wps:cNvSpPr/>
                      <wps:spPr>
                        <a:xfrm rot="-1680000">
                          <a:off x="0" y="0"/>
                          <a:ext cx="629920" cy="300990"/>
                        </a:xfrm>
                        <a:prstGeom prst="ellipse">
                          <a:avLst/>
                        </a:prstGeom>
                        <a:solidFill>
                          <a:srgbClr val="FFFF00">
                            <a:alpha val="42999"/>
                          </a:srgbClr>
                        </a:solid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3" type="#_x0000_t3" style="position:absolute;left:0pt;margin-left:286.1pt;margin-top:2.25pt;height:23.7pt;width:49.6pt;rotation:-1835008f;z-index:251679744;mso-width-relative:page;mso-height-relative:page;" fillcolor="#FFFF00" filled="t" stroked="t" coordsize="21600,21600" o:gfxdata="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Y8vav1gAAAAgBAAAPAAAAAAAA&#10;AAEAIAAAACIAAABkcnMvZG93bnJldi54bWxQSwECFAAUAAAACACHTuJAn6FkgxQCAABIBAAADgAA&#10;AAAAAAABACAAAAAlAQAAZHJzL2Uyb0RvYy54bWxQSwUGAAAAAAYABgBZAQAAqwUAAAAA&#10;">
                <v:fill on="t" opacity="28179f" focussize="0,0"/>
                <v:stroke color="#000000" joinstyle="round"/>
                <v:imagedata o:title=""/>
                <o:lock v:ext="edit" aspectratio="f"/>
              </v:shape>
            </w:pict>
          </mc:Fallback>
        </mc:AlternateContent>
      </w:r>
      <w:r>
        <w:rPr>
          <w:sz w:val="24"/>
        </w:rPr>
        <mc:AlternateContent>
          <mc:Choice Requires="wps">
            <w:drawing>
              <wp:anchor distT="0" distB="0" distL="114300" distR="114300" simplePos="0" relativeHeight="251674624" behindDoc="0" locked="0" layoutInCell="1" allowOverlap="1">
                <wp:simplePos x="0" y="0"/>
                <wp:positionH relativeFrom="column">
                  <wp:posOffset>1202690</wp:posOffset>
                </wp:positionH>
                <wp:positionV relativeFrom="paragraph">
                  <wp:posOffset>73025</wp:posOffset>
                </wp:positionV>
                <wp:extent cx="780415" cy="336550"/>
                <wp:effectExtent l="4445" t="107315" r="834390" b="13335"/>
                <wp:wrapNone/>
                <wp:docPr id="29" name="矩形标注 29"/>
                <wp:cNvGraphicFramePr/>
                <a:graphic xmlns:a="http://schemas.openxmlformats.org/drawingml/2006/main">
                  <a:graphicData uri="http://schemas.microsoft.com/office/word/2010/wordprocessingShape">
                    <wps:wsp>
                      <wps:cNvSpPr/>
                      <wps:spPr>
                        <a:xfrm>
                          <a:off x="0" y="0"/>
                          <a:ext cx="780415" cy="336550"/>
                        </a:xfrm>
                        <a:prstGeom prst="wedgeRectCallout">
                          <a:avLst>
                            <a:gd name="adj1" fmla="val 150815"/>
                            <a:gd name="adj2" fmla="val -78333"/>
                          </a:avLst>
                        </a:prstGeom>
                        <a:solidFill>
                          <a:srgbClr val="FFFFFF">
                            <a:alpha val="25000"/>
                          </a:srgbClr>
                        </a:solidFill>
                        <a:ln w="9525" cap="flat" cmpd="sng">
                          <a:solidFill>
                            <a:srgbClr val="000000"/>
                          </a:solidFill>
                          <a:prstDash val="solid"/>
                          <a:miter/>
                          <a:headEnd type="none" w="med" len="med"/>
                          <a:tailEnd type="none" w="med" len="med"/>
                        </a:ln>
                      </wps:spPr>
                      <wps:txbx>
                        <w:txbxContent>
                          <w:p w14:paraId="6F88F1A6">
                            <w:pPr>
                              <w:rPr>
                                <w:rFonts w:hint="default"/>
                                <w:highlight w:val="yellow"/>
                                <w:lang w:val="en-US"/>
                              </w:rPr>
                            </w:pPr>
                            <w:r>
                              <w:rPr>
                                <w:rFonts w:hint="eastAsia" w:cs="Times New Roman"/>
                                <w:color w:val="auto"/>
                                <w:kern w:val="21"/>
                                <w:sz w:val="21"/>
                                <w:szCs w:val="21"/>
                                <w:highlight w:val="yellow"/>
                                <w:u w:val="none" w:color="auto"/>
                                <w:lang w:val="en-US" w:eastAsia="zh-CN"/>
                              </w:rPr>
                              <w:t>田园都市</w:t>
                            </w:r>
                          </w:p>
                        </w:txbxContent>
                      </wps:txbx>
                      <wps:bodyPr upright="1"/>
                    </wps:wsp>
                  </a:graphicData>
                </a:graphic>
              </wp:anchor>
            </w:drawing>
          </mc:Choice>
          <mc:Fallback>
            <w:pict>
              <v:shape id="_x0000_s1026" o:spid="_x0000_s1026" o:spt="61" type="#_x0000_t61" style="position:absolute;left:0pt;margin-left:94.7pt;margin-top:5.75pt;height:26.5pt;width:61.45pt;z-index:251674624;mso-width-relative:page;mso-height-relative:page;" fillcolor="#FFFFFF" filled="t" stroked="t" coordsize="21600,21600" o:gfxdata="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HwdeifZAAAACQEAAA8AAAAA&#10;AAAAAQAgAAAAIgAAAGRycy9kb3ducmV2LnhtbFBLAQIUABQAAAAIAIdO4kBvAzi9TAIAALAEAAAO&#10;AAAAAAAAAAEAIAAAACgBAABkcnMvZTJvRG9jLnhtbFBLBQYAAAAABgAGAFkBAADmBQAAAAA=&#10;" adj="43376,-6120">
                <v:fill on="t" opacity="16384f" focussize="0,0"/>
                <v:stroke color="#000000" joinstyle="miter"/>
                <v:imagedata o:title=""/>
                <o:lock v:ext="edit" aspectratio="f"/>
                <v:textbox>
                  <w:txbxContent>
                    <w:p w14:paraId="6F88F1A6">
                      <w:pPr>
                        <w:rPr>
                          <w:rFonts w:hint="default"/>
                          <w:highlight w:val="yellow"/>
                          <w:lang w:val="en-US"/>
                        </w:rPr>
                      </w:pPr>
                      <w:r>
                        <w:rPr>
                          <w:rFonts w:hint="eastAsia" w:cs="Times New Roman"/>
                          <w:color w:val="auto"/>
                          <w:kern w:val="21"/>
                          <w:sz w:val="21"/>
                          <w:szCs w:val="21"/>
                          <w:highlight w:val="yellow"/>
                          <w:u w:val="none" w:color="auto"/>
                          <w:lang w:val="en-US" w:eastAsia="zh-CN"/>
                        </w:rPr>
                        <w:t>田园都市</w:t>
                      </w:r>
                    </w:p>
                  </w:txbxContent>
                </v:textbox>
              </v:shape>
            </w:pict>
          </mc:Fallback>
        </mc:AlternateContent>
      </w:r>
    </w:p>
    <w:p w14:paraId="10BF4160">
      <w:pPr>
        <w:tabs>
          <w:tab w:val="left" w:pos="4830"/>
        </w:tabs>
        <w:ind w:firstLine="5644" w:firstLineChars="2352"/>
        <w:rPr>
          <w:rFonts w:hint="default"/>
          <w:b/>
          <w:sz w:val="24"/>
        </w:rPr>
      </w:pPr>
    </w:p>
    <w:p w14:paraId="2786CF54">
      <w:pPr>
        <w:tabs>
          <w:tab w:val="left" w:pos="4830"/>
        </w:tabs>
        <w:rPr>
          <w:rFonts w:hint="default"/>
          <w:b/>
          <w:sz w:val="24"/>
        </w:rPr>
      </w:pPr>
    </w:p>
    <w:p w14:paraId="0A3918B9">
      <w:pPr>
        <w:tabs>
          <w:tab w:val="left" w:pos="4830"/>
        </w:tabs>
        <w:ind w:firstLine="5644" w:firstLineChars="2352"/>
        <w:rPr>
          <w:rFonts w:hint="default"/>
          <w:b/>
          <w:sz w:val="24"/>
        </w:rPr>
      </w:pPr>
    </w:p>
    <w:p w14:paraId="66B14A06">
      <w:pPr>
        <w:tabs>
          <w:tab w:val="left" w:pos="4830"/>
        </w:tabs>
        <w:ind w:firstLine="5644" w:firstLineChars="2352"/>
        <w:rPr>
          <w:rFonts w:hint="default"/>
          <w:b/>
          <w:sz w:val="24"/>
        </w:rPr>
      </w:pPr>
    </w:p>
    <w:p w14:paraId="5414BF76">
      <w:pPr>
        <w:tabs>
          <w:tab w:val="left" w:pos="4830"/>
        </w:tabs>
        <w:ind w:firstLine="5644" w:firstLineChars="2352"/>
        <w:rPr>
          <w:rFonts w:hint="default"/>
          <w:b/>
          <w:sz w:val="24"/>
        </w:rPr>
      </w:pPr>
    </w:p>
    <w:p w14:paraId="0DD74F3D">
      <w:pPr>
        <w:tabs>
          <w:tab w:val="left" w:pos="4830"/>
        </w:tabs>
        <w:ind w:firstLine="3360" w:firstLineChars="1400"/>
        <w:rPr>
          <w:rFonts w:hint="default" w:eastAsia="宋体"/>
          <w:sz w:val="24"/>
          <w:lang w:val="en-US" w:eastAsia="zh-CN"/>
        </w:rPr>
      </w:pPr>
      <w:r>
        <w:rPr>
          <w:rFonts w:hint="default"/>
          <w:b/>
          <w:sz w:val="24"/>
        </w:rPr>
        <w:t>附图</w:t>
      </w:r>
      <w:r>
        <w:rPr>
          <w:rFonts w:hint="default"/>
          <w:b/>
          <w:sz w:val="24"/>
          <w:lang w:val="en-US" w:eastAsia="zh-CN"/>
        </w:rPr>
        <w:t>2</w:t>
      </w:r>
      <w:r>
        <w:rPr>
          <w:rFonts w:hint="default"/>
          <w:b/>
          <w:sz w:val="24"/>
        </w:rPr>
        <w:t xml:space="preserve">  项目</w:t>
      </w:r>
      <w:r>
        <w:rPr>
          <w:rFonts w:hint="default"/>
          <w:b/>
          <w:sz w:val="24"/>
          <w:lang w:val="en-US" w:eastAsia="zh-CN"/>
        </w:rPr>
        <w:t>周边环境</w:t>
      </w:r>
      <w:r>
        <w:rPr>
          <w:rFonts w:hint="default"/>
          <w:b/>
          <w:sz w:val="24"/>
        </w:rPr>
        <w:t>图</w:t>
      </w:r>
      <w:r>
        <w:rPr>
          <w:rFonts w:hint="default"/>
          <w:b/>
          <w:sz w:val="24"/>
          <w:lang w:eastAsia="zh-CN"/>
        </w:rPr>
        <w:t>（</w:t>
      </w:r>
      <w:r>
        <w:rPr>
          <w:rFonts w:hint="default"/>
          <w:b/>
          <w:sz w:val="24"/>
          <w:lang w:val="en-US" w:eastAsia="zh-CN"/>
        </w:rPr>
        <w:t>保护目标</w:t>
      </w:r>
      <w:r>
        <w:rPr>
          <w:rFonts w:hint="default"/>
          <w:b/>
          <w:sz w:val="24"/>
          <w:lang w:eastAsia="zh-CN"/>
        </w:rPr>
        <w:t>）</w:t>
      </w:r>
    </w:p>
    <w:p w14:paraId="21FDA56C">
      <w:pPr>
        <w:tabs>
          <w:tab w:val="left" w:pos="4830"/>
        </w:tabs>
        <w:ind w:firstLine="4939" w:firstLineChars="2352"/>
        <w:rPr>
          <w:rFonts w:hint="default"/>
          <w:b/>
          <w:sz w:val="24"/>
        </w:rPr>
      </w:pPr>
      <w:r>
        <w:drawing>
          <wp:anchor distT="0" distB="0" distL="114300" distR="114300" simplePos="0" relativeHeight="251688960" behindDoc="0" locked="0" layoutInCell="1" allowOverlap="1">
            <wp:simplePos x="0" y="0"/>
            <wp:positionH relativeFrom="column">
              <wp:posOffset>6972300</wp:posOffset>
            </wp:positionH>
            <wp:positionV relativeFrom="paragraph">
              <wp:posOffset>1270</wp:posOffset>
            </wp:positionV>
            <wp:extent cx="1304925" cy="809625"/>
            <wp:effectExtent l="0" t="0" r="9525" b="9525"/>
            <wp:wrapNone/>
            <wp:docPr id="7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4"/>
                    <pic:cNvPicPr>
                      <a:picLocks noChangeAspect="1"/>
                    </pic:cNvPicPr>
                  </pic:nvPicPr>
                  <pic:blipFill>
                    <a:blip r:embed="rId19"/>
                    <a:stretch>
                      <a:fillRect/>
                    </a:stretch>
                  </pic:blipFill>
                  <pic:spPr>
                    <a:xfrm>
                      <a:off x="0" y="0"/>
                      <a:ext cx="1304925" cy="809625"/>
                    </a:xfrm>
                    <a:prstGeom prst="rect">
                      <a:avLst/>
                    </a:prstGeom>
                    <a:noFill/>
                    <a:ln>
                      <a:noFill/>
                    </a:ln>
                  </pic:spPr>
                </pic:pic>
              </a:graphicData>
            </a:graphic>
          </wp:anchor>
        </w:drawing>
      </w:r>
      <w:r>
        <w:drawing>
          <wp:anchor distT="0" distB="0" distL="114300" distR="114300" simplePos="0" relativeHeight="251663360" behindDoc="1" locked="0" layoutInCell="1" allowOverlap="1">
            <wp:simplePos x="0" y="0"/>
            <wp:positionH relativeFrom="column">
              <wp:posOffset>43180</wp:posOffset>
            </wp:positionH>
            <wp:positionV relativeFrom="paragraph">
              <wp:posOffset>-8255</wp:posOffset>
            </wp:positionV>
            <wp:extent cx="8256270" cy="4886960"/>
            <wp:effectExtent l="0" t="0" r="11430" b="8890"/>
            <wp:wrapNone/>
            <wp:docPr id="30"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4"/>
                    <pic:cNvPicPr>
                      <a:picLocks noChangeAspect="1"/>
                    </pic:cNvPicPr>
                  </pic:nvPicPr>
                  <pic:blipFill>
                    <a:blip r:embed="rId22"/>
                    <a:stretch>
                      <a:fillRect/>
                    </a:stretch>
                  </pic:blipFill>
                  <pic:spPr>
                    <a:xfrm>
                      <a:off x="0" y="0"/>
                      <a:ext cx="8256270" cy="4886960"/>
                    </a:xfrm>
                    <a:prstGeom prst="rect">
                      <a:avLst/>
                    </a:prstGeom>
                    <a:noFill/>
                    <a:ln>
                      <a:noFill/>
                    </a:ln>
                  </pic:spPr>
                </pic:pic>
              </a:graphicData>
            </a:graphic>
          </wp:anchor>
        </w:drawing>
      </w:r>
    </w:p>
    <w:p w14:paraId="5EEF59D0">
      <w:pPr>
        <w:tabs>
          <w:tab w:val="left" w:pos="4830"/>
        </w:tabs>
        <w:ind w:firstLine="5644" w:firstLineChars="2352"/>
        <w:rPr>
          <w:rFonts w:hint="default"/>
          <w:b/>
          <w:sz w:val="24"/>
        </w:rPr>
      </w:pPr>
    </w:p>
    <w:p w14:paraId="2B9740C9">
      <w:pPr>
        <w:tabs>
          <w:tab w:val="left" w:pos="4830"/>
        </w:tabs>
        <w:ind w:firstLine="5644" w:firstLineChars="2352"/>
        <w:rPr>
          <w:rFonts w:hint="default"/>
          <w:b/>
          <w:sz w:val="24"/>
        </w:rPr>
      </w:pPr>
    </w:p>
    <w:p w14:paraId="3478929C">
      <w:pPr>
        <w:tabs>
          <w:tab w:val="left" w:pos="4830"/>
        </w:tabs>
        <w:ind w:firstLine="5644" w:firstLineChars="2352"/>
        <w:rPr>
          <w:rFonts w:hint="default"/>
          <w:b/>
          <w:sz w:val="24"/>
        </w:rPr>
      </w:pPr>
    </w:p>
    <w:p w14:paraId="66298EB2">
      <w:pPr>
        <w:tabs>
          <w:tab w:val="left" w:pos="4830"/>
        </w:tabs>
        <w:ind w:firstLine="5644" w:firstLineChars="2352"/>
        <w:rPr>
          <w:rFonts w:hint="default"/>
          <w:b/>
          <w:sz w:val="24"/>
        </w:rPr>
      </w:pPr>
    </w:p>
    <w:p w14:paraId="6710E3E8">
      <w:pPr>
        <w:tabs>
          <w:tab w:val="left" w:pos="4830"/>
        </w:tabs>
        <w:ind w:firstLine="5644" w:firstLineChars="2352"/>
        <w:rPr>
          <w:rFonts w:hint="default"/>
          <w:b/>
          <w:sz w:val="24"/>
        </w:rPr>
      </w:pPr>
    </w:p>
    <w:p w14:paraId="0FE221C5">
      <w:pPr>
        <w:tabs>
          <w:tab w:val="left" w:pos="4830"/>
        </w:tabs>
        <w:ind w:firstLine="5644" w:firstLineChars="2352"/>
        <w:rPr>
          <w:rFonts w:hint="default"/>
          <w:b/>
          <w:sz w:val="24"/>
        </w:rPr>
      </w:pPr>
    </w:p>
    <w:p w14:paraId="4AC5FA25">
      <w:pPr>
        <w:tabs>
          <w:tab w:val="left" w:pos="4830"/>
        </w:tabs>
        <w:ind w:firstLine="5644" w:firstLineChars="2352"/>
        <w:rPr>
          <w:rFonts w:hint="default"/>
          <w:b/>
          <w:sz w:val="24"/>
        </w:rPr>
      </w:pPr>
    </w:p>
    <w:p w14:paraId="4ED69807">
      <w:pPr>
        <w:tabs>
          <w:tab w:val="left" w:pos="4830"/>
        </w:tabs>
        <w:ind w:firstLine="5644" w:firstLineChars="2352"/>
        <w:rPr>
          <w:rFonts w:hint="default"/>
          <w:b/>
          <w:sz w:val="24"/>
        </w:rPr>
      </w:pPr>
    </w:p>
    <w:p w14:paraId="66AE5960">
      <w:pPr>
        <w:tabs>
          <w:tab w:val="left" w:pos="4830"/>
        </w:tabs>
        <w:ind w:firstLine="5644" w:firstLineChars="2352"/>
        <w:rPr>
          <w:rFonts w:hint="default"/>
          <w:b/>
          <w:sz w:val="24"/>
        </w:rPr>
      </w:pPr>
    </w:p>
    <w:p w14:paraId="4D223377">
      <w:pPr>
        <w:tabs>
          <w:tab w:val="left" w:pos="4830"/>
        </w:tabs>
        <w:ind w:firstLine="5644" w:firstLineChars="2352"/>
        <w:rPr>
          <w:rFonts w:hint="default"/>
          <w:b/>
          <w:sz w:val="24"/>
        </w:rPr>
      </w:pPr>
    </w:p>
    <w:p w14:paraId="6E2AE965">
      <w:pPr>
        <w:tabs>
          <w:tab w:val="left" w:pos="4830"/>
        </w:tabs>
        <w:ind w:firstLine="5644" w:firstLineChars="2352"/>
        <w:rPr>
          <w:rFonts w:hint="default"/>
          <w:b/>
          <w:sz w:val="24"/>
        </w:rPr>
      </w:pPr>
      <w:r>
        <w:rPr>
          <w:sz w:val="24"/>
        </w:rPr>
        <mc:AlternateContent>
          <mc:Choice Requires="wps">
            <w:drawing>
              <wp:anchor distT="0" distB="0" distL="114300" distR="114300" simplePos="0" relativeHeight="251692032" behindDoc="0" locked="0" layoutInCell="1" allowOverlap="1">
                <wp:simplePos x="0" y="0"/>
                <wp:positionH relativeFrom="column">
                  <wp:posOffset>6510020</wp:posOffset>
                </wp:positionH>
                <wp:positionV relativeFrom="paragraph">
                  <wp:posOffset>108585</wp:posOffset>
                </wp:positionV>
                <wp:extent cx="488950" cy="297180"/>
                <wp:effectExtent l="535940" t="4445" r="22860" b="250825"/>
                <wp:wrapNone/>
                <wp:docPr id="79" name="矩形标注 79"/>
                <wp:cNvGraphicFramePr/>
                <a:graphic xmlns:a="http://schemas.openxmlformats.org/drawingml/2006/main">
                  <a:graphicData uri="http://schemas.microsoft.com/office/word/2010/wordprocessingShape">
                    <wps:wsp>
                      <wps:cNvSpPr/>
                      <wps:spPr>
                        <a:xfrm>
                          <a:off x="0" y="0"/>
                          <a:ext cx="488950" cy="297180"/>
                        </a:xfrm>
                        <a:prstGeom prst="wedgeRectCallout">
                          <a:avLst>
                            <a:gd name="adj1" fmla="val -152657"/>
                            <a:gd name="adj2" fmla="val 123718"/>
                          </a:avLst>
                        </a:prstGeom>
                        <a:solidFill>
                          <a:srgbClr val="FFFFFF"/>
                        </a:solidFill>
                        <a:ln w="9525" cap="flat" cmpd="sng">
                          <a:solidFill>
                            <a:srgbClr val="000000"/>
                          </a:solidFill>
                          <a:prstDash val="solid"/>
                          <a:miter/>
                          <a:headEnd type="none" w="med" len="med"/>
                          <a:tailEnd type="none" w="med" len="med"/>
                        </a:ln>
                      </wps:spPr>
                      <wps:txbx>
                        <w:txbxContent>
                          <w:p w14:paraId="151B2954">
                            <w:pPr>
                              <w:rPr>
                                <w:rFonts w:hint="default" w:eastAsia="宋体"/>
                                <w:color w:val="auto"/>
                                <w:lang w:val="en-US" w:eastAsia="zh-CN"/>
                              </w:rPr>
                            </w:pPr>
                            <w:r>
                              <w:rPr>
                                <w:rFonts w:hint="eastAsia"/>
                                <w:color w:val="auto"/>
                                <w:lang w:val="en-US" w:eastAsia="zh-CN"/>
                              </w:rPr>
                              <w:t>宥江</w:t>
                            </w:r>
                          </w:p>
                        </w:txbxContent>
                      </wps:txbx>
                      <wps:bodyPr upright="1"/>
                    </wps:wsp>
                  </a:graphicData>
                </a:graphic>
              </wp:anchor>
            </w:drawing>
          </mc:Choice>
          <mc:Fallback>
            <w:pict>
              <v:shape id="_x0000_s1026" o:spid="_x0000_s1026" o:spt="61" type="#_x0000_t61" style="position:absolute;left:0pt;margin-left:512.6pt;margin-top:8.55pt;height:23.4pt;width:38.5pt;z-index:251692032;mso-width-relative:page;mso-height-relative:page;" fillcolor="#FFFFFF" filled="t" stroked="t" coordsize="21600,21600" o:gfxdata="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Re0eTWAAAACwEAAA8AAAAAAAAAAQAgAAAAIgAAAGRycy9kb3du&#10;cmV2LnhtbFBLAQIUABQAAAAIAIdO4kDNx06qOgIAAJAEAAAOAAAAAAAAAAEAIAAAACUBAABkcnMv&#10;ZTJvRG9jLnhtbFBLBQYAAAAABgAGAFkBAADRBQAAAAA=&#10;" adj="-22174,37523">
                <v:fill on="t" focussize="0,0"/>
                <v:stroke color="#000000" joinstyle="miter"/>
                <v:imagedata o:title=""/>
                <o:lock v:ext="edit" aspectratio="f"/>
                <v:textbox>
                  <w:txbxContent>
                    <w:p w14:paraId="151B2954">
                      <w:pPr>
                        <w:rPr>
                          <w:rFonts w:hint="default" w:eastAsia="宋体"/>
                          <w:color w:val="auto"/>
                          <w:lang w:val="en-US" w:eastAsia="zh-CN"/>
                        </w:rPr>
                      </w:pPr>
                      <w:r>
                        <w:rPr>
                          <w:rFonts w:hint="eastAsia"/>
                          <w:color w:val="auto"/>
                          <w:lang w:val="en-US" w:eastAsia="zh-CN"/>
                        </w:rPr>
                        <w:t>宥江</w:t>
                      </w:r>
                    </w:p>
                  </w:txbxContent>
                </v:textbox>
              </v:shape>
            </w:pict>
          </mc:Fallback>
        </mc:AlternateContent>
      </w:r>
      <w:r>
        <w:rPr>
          <w:sz w:val="24"/>
        </w:rPr>
        <mc:AlternateContent>
          <mc:Choice Requires="wps">
            <w:drawing>
              <wp:anchor distT="0" distB="0" distL="114300" distR="114300" simplePos="0" relativeHeight="251665408" behindDoc="0" locked="0" layoutInCell="1" allowOverlap="1">
                <wp:simplePos x="0" y="0"/>
                <wp:positionH relativeFrom="column">
                  <wp:posOffset>4791710</wp:posOffset>
                </wp:positionH>
                <wp:positionV relativeFrom="paragraph">
                  <wp:posOffset>166370</wp:posOffset>
                </wp:positionV>
                <wp:extent cx="772160" cy="297180"/>
                <wp:effectExtent l="817880" t="5080" r="10160" b="21590"/>
                <wp:wrapNone/>
                <wp:docPr id="33" name="矩形标注 33"/>
                <wp:cNvGraphicFramePr/>
                <a:graphic xmlns:a="http://schemas.openxmlformats.org/drawingml/2006/main">
                  <a:graphicData uri="http://schemas.microsoft.com/office/word/2010/wordprocessingShape">
                    <wps:wsp>
                      <wps:cNvSpPr/>
                      <wps:spPr>
                        <a:xfrm>
                          <a:off x="0" y="0"/>
                          <a:ext cx="772160" cy="297180"/>
                        </a:xfrm>
                        <a:prstGeom prst="wedgeRectCallout">
                          <a:avLst>
                            <a:gd name="adj1" fmla="val -150981"/>
                            <a:gd name="adj2" fmla="val -8759"/>
                          </a:avLst>
                        </a:prstGeom>
                        <a:solidFill>
                          <a:srgbClr val="FFFFFF"/>
                        </a:solidFill>
                        <a:ln w="9525" cap="flat" cmpd="sng">
                          <a:solidFill>
                            <a:srgbClr val="000000"/>
                          </a:solidFill>
                          <a:prstDash val="solid"/>
                          <a:miter/>
                          <a:headEnd type="none" w="med" len="med"/>
                          <a:tailEnd type="none" w="med" len="med"/>
                        </a:ln>
                      </wps:spPr>
                      <wps:txbx>
                        <w:txbxContent>
                          <w:p w14:paraId="394EFD26">
                            <w:pPr>
                              <w:rPr>
                                <w:rFonts w:hint="eastAsia" w:eastAsia="宋体"/>
                                <w:color w:val="FF0000"/>
                                <w:lang w:eastAsia="zh-CN"/>
                              </w:rPr>
                            </w:pPr>
                            <w:r>
                              <w:rPr>
                                <w:rFonts w:hint="eastAsia"/>
                                <w:color w:val="FF0000"/>
                              </w:rPr>
                              <w:t>项目位置</w:t>
                            </w:r>
                          </w:p>
                        </w:txbxContent>
                      </wps:txbx>
                      <wps:bodyPr upright="1"/>
                    </wps:wsp>
                  </a:graphicData>
                </a:graphic>
              </wp:anchor>
            </w:drawing>
          </mc:Choice>
          <mc:Fallback>
            <w:pict>
              <v:shape id="_x0000_s1026" o:spid="_x0000_s1026" o:spt="61" type="#_x0000_t61" style="position:absolute;left:0pt;margin-left:377.3pt;margin-top:13.1pt;height:23.4pt;width:60.8pt;z-index:251665408;mso-width-relative:page;mso-height-relative:page;" fillcolor="#FFFFFF" filled="t" stroked="t" coordsize="21600,21600" o:gfxdata="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5Re5G2QAAAAkBAAAPAAAAAAAAAAEAIAAAACIAAABkcnMvZG93&#10;bnJldi54bWxQSwECFAAUAAAACACHTuJANtp4WDgCAACPBAAADgAAAAAAAAABACAAAAAoAQAAZHJz&#10;L2Uyb0RvYy54bWxQSwUGAAAAAAYABgBZAQAA0gUAAAAA&#10;" adj="-21812,8908">
                <v:fill on="t" focussize="0,0"/>
                <v:stroke color="#000000" joinstyle="miter"/>
                <v:imagedata o:title=""/>
                <o:lock v:ext="edit" aspectratio="f"/>
                <v:textbox>
                  <w:txbxContent>
                    <w:p w14:paraId="394EFD26">
                      <w:pPr>
                        <w:rPr>
                          <w:rFonts w:hint="eastAsia" w:eastAsia="宋体"/>
                          <w:color w:val="FF0000"/>
                          <w:lang w:eastAsia="zh-CN"/>
                        </w:rPr>
                      </w:pPr>
                      <w:r>
                        <w:rPr>
                          <w:rFonts w:hint="eastAsia"/>
                          <w:color w:val="FF0000"/>
                        </w:rPr>
                        <w:t>项目位置</w:t>
                      </w:r>
                    </w:p>
                  </w:txbxContent>
                </v:textbox>
              </v:shape>
            </w:pict>
          </mc:Fallback>
        </mc:AlternateContent>
      </w:r>
    </w:p>
    <w:p w14:paraId="7111AF00">
      <w:pPr>
        <w:tabs>
          <w:tab w:val="left" w:pos="4830"/>
        </w:tabs>
        <w:ind w:firstLine="5644" w:firstLineChars="2352"/>
        <w:rPr>
          <w:rFonts w:hint="default"/>
          <w:b/>
          <w:sz w:val="24"/>
        </w:rPr>
      </w:pPr>
    </w:p>
    <w:p w14:paraId="4460FE86">
      <w:pPr>
        <w:tabs>
          <w:tab w:val="left" w:pos="4830"/>
        </w:tabs>
        <w:ind w:firstLine="5644" w:firstLineChars="2352"/>
        <w:rPr>
          <w:rFonts w:hint="default"/>
          <w:b/>
          <w:sz w:val="24"/>
        </w:rPr>
      </w:pPr>
    </w:p>
    <w:p w14:paraId="3E3A46DB">
      <w:pPr>
        <w:tabs>
          <w:tab w:val="left" w:pos="4830"/>
        </w:tabs>
        <w:ind w:firstLine="5644" w:firstLineChars="2352"/>
        <w:rPr>
          <w:rFonts w:hint="default"/>
          <w:b/>
          <w:sz w:val="24"/>
        </w:rPr>
      </w:pPr>
    </w:p>
    <w:p w14:paraId="1555C71E">
      <w:pPr>
        <w:tabs>
          <w:tab w:val="left" w:pos="4830"/>
        </w:tabs>
        <w:ind w:firstLine="5644" w:firstLineChars="2352"/>
        <w:rPr>
          <w:rFonts w:hint="default"/>
          <w:b/>
          <w:sz w:val="24"/>
        </w:rPr>
      </w:pPr>
    </w:p>
    <w:p w14:paraId="33AB249A">
      <w:pPr>
        <w:tabs>
          <w:tab w:val="left" w:pos="4830"/>
        </w:tabs>
        <w:ind w:firstLine="5644" w:firstLineChars="2352"/>
        <w:rPr>
          <w:rFonts w:hint="default"/>
          <w:b/>
          <w:sz w:val="24"/>
        </w:rPr>
      </w:pPr>
      <w:r>
        <w:rPr>
          <w:sz w:val="24"/>
        </w:rPr>
        <mc:AlternateContent>
          <mc:Choice Requires="wps">
            <w:drawing>
              <wp:anchor distT="0" distB="0" distL="114300" distR="114300" simplePos="0" relativeHeight="251666432" behindDoc="0" locked="0" layoutInCell="1" allowOverlap="1">
                <wp:simplePos x="0" y="0"/>
                <wp:positionH relativeFrom="column">
                  <wp:posOffset>5334635</wp:posOffset>
                </wp:positionH>
                <wp:positionV relativeFrom="paragraph">
                  <wp:posOffset>162560</wp:posOffset>
                </wp:positionV>
                <wp:extent cx="620395" cy="297180"/>
                <wp:effectExtent l="672465" t="4445" r="21590" b="250825"/>
                <wp:wrapNone/>
                <wp:docPr id="34" name="矩形标注 34"/>
                <wp:cNvGraphicFramePr/>
                <a:graphic xmlns:a="http://schemas.openxmlformats.org/drawingml/2006/main">
                  <a:graphicData uri="http://schemas.microsoft.com/office/word/2010/wordprocessingShape">
                    <wps:wsp>
                      <wps:cNvSpPr/>
                      <wps:spPr>
                        <a:xfrm>
                          <a:off x="0" y="0"/>
                          <a:ext cx="620395" cy="297180"/>
                        </a:xfrm>
                        <a:prstGeom prst="wedgeRectCallout">
                          <a:avLst>
                            <a:gd name="adj1" fmla="val -152657"/>
                            <a:gd name="adj2" fmla="val 123718"/>
                          </a:avLst>
                        </a:prstGeom>
                        <a:solidFill>
                          <a:srgbClr val="FFFFFF"/>
                        </a:solidFill>
                        <a:ln w="9525" cap="flat" cmpd="sng">
                          <a:solidFill>
                            <a:srgbClr val="000000"/>
                          </a:solidFill>
                          <a:prstDash val="solid"/>
                          <a:miter/>
                          <a:headEnd type="none" w="med" len="med"/>
                          <a:tailEnd type="none" w="med" len="med"/>
                        </a:ln>
                      </wps:spPr>
                      <wps:txbx>
                        <w:txbxContent>
                          <w:p w14:paraId="7DE71A3B">
                            <w:pPr>
                              <w:rPr>
                                <w:rFonts w:hint="default" w:eastAsia="宋体"/>
                                <w:lang w:val="en-US" w:eastAsia="zh-CN"/>
                              </w:rPr>
                            </w:pPr>
                            <w:r>
                              <w:rPr>
                                <w:rFonts w:hint="eastAsia"/>
                                <w:lang w:val="en-US" w:eastAsia="zh-CN"/>
                              </w:rPr>
                              <w:t>紫水河</w:t>
                            </w:r>
                          </w:p>
                        </w:txbxContent>
                      </wps:txbx>
                      <wps:bodyPr upright="1"/>
                    </wps:wsp>
                  </a:graphicData>
                </a:graphic>
              </wp:anchor>
            </w:drawing>
          </mc:Choice>
          <mc:Fallback>
            <w:pict>
              <v:shape id="_x0000_s1026" o:spid="_x0000_s1026" o:spt="61" type="#_x0000_t61" style="position:absolute;left:0pt;margin-left:420.05pt;margin-top:12.8pt;height:23.4pt;width:48.85pt;z-index:251666432;mso-width-relative:page;mso-height-relative:page;" fillcolor="#FFFFFF" filled="t" stroked="t" coordsize="21600,21600" o:gfxdata="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DQ9cQnWAAAACQEAAA8AAAAAAAAAAQAgAAAAIgAAAGRycy9kb3du&#10;cmV2LnhtbFBLAQIUABQAAAAIAIdO4kBreyk5OgIAAJAEAAAOAAAAAAAAAAEAIAAAACUBAABkcnMv&#10;ZTJvRG9jLnhtbFBLBQYAAAAABgAGAFkBAADRBQAAAAA=&#10;" adj="-22174,37523">
                <v:fill on="t" focussize="0,0"/>
                <v:stroke color="#000000" joinstyle="miter"/>
                <v:imagedata o:title=""/>
                <o:lock v:ext="edit" aspectratio="f"/>
                <v:textbox>
                  <w:txbxContent>
                    <w:p w14:paraId="7DE71A3B">
                      <w:pPr>
                        <w:rPr>
                          <w:rFonts w:hint="default" w:eastAsia="宋体"/>
                          <w:lang w:val="en-US" w:eastAsia="zh-CN"/>
                        </w:rPr>
                      </w:pPr>
                      <w:r>
                        <w:rPr>
                          <w:rFonts w:hint="eastAsia"/>
                          <w:lang w:val="en-US" w:eastAsia="zh-CN"/>
                        </w:rPr>
                        <w:t>紫水河</w:t>
                      </w:r>
                    </w:p>
                  </w:txbxContent>
                </v:textbox>
              </v:shape>
            </w:pict>
          </mc:Fallback>
        </mc:AlternateContent>
      </w:r>
    </w:p>
    <w:p w14:paraId="59336714">
      <w:pPr>
        <w:tabs>
          <w:tab w:val="left" w:pos="4830"/>
        </w:tabs>
        <w:ind w:firstLine="5644" w:firstLineChars="2352"/>
        <w:rPr>
          <w:rFonts w:hint="default"/>
          <w:b/>
          <w:sz w:val="24"/>
        </w:rPr>
      </w:pPr>
    </w:p>
    <w:p w14:paraId="7C6B5BF8">
      <w:pPr>
        <w:tabs>
          <w:tab w:val="left" w:pos="4830"/>
        </w:tabs>
        <w:ind w:firstLine="5644" w:firstLineChars="2352"/>
        <w:rPr>
          <w:rFonts w:hint="default"/>
          <w:b/>
          <w:sz w:val="24"/>
        </w:rPr>
      </w:pPr>
    </w:p>
    <w:p w14:paraId="1D643F50">
      <w:pPr>
        <w:tabs>
          <w:tab w:val="left" w:pos="4830"/>
        </w:tabs>
        <w:ind w:firstLine="5644" w:firstLineChars="2352"/>
        <w:rPr>
          <w:rFonts w:hint="default"/>
          <w:b/>
          <w:sz w:val="24"/>
        </w:rPr>
      </w:pPr>
    </w:p>
    <w:p w14:paraId="5F103C32">
      <w:pPr>
        <w:tabs>
          <w:tab w:val="left" w:pos="4830"/>
        </w:tabs>
        <w:ind w:firstLine="5644" w:firstLineChars="2352"/>
        <w:rPr>
          <w:rFonts w:hint="default"/>
          <w:b/>
          <w:sz w:val="24"/>
        </w:rPr>
      </w:pPr>
    </w:p>
    <w:p w14:paraId="044DBC49">
      <w:pPr>
        <w:tabs>
          <w:tab w:val="left" w:pos="4830"/>
        </w:tabs>
        <w:ind w:firstLine="5644" w:firstLineChars="2352"/>
        <w:rPr>
          <w:rFonts w:hint="default"/>
          <w:b/>
          <w:sz w:val="24"/>
        </w:rPr>
      </w:pPr>
    </w:p>
    <w:p w14:paraId="7B6C40C4">
      <w:pPr>
        <w:tabs>
          <w:tab w:val="left" w:pos="4830"/>
        </w:tabs>
        <w:ind w:firstLine="5644" w:firstLineChars="2352"/>
        <w:rPr>
          <w:rFonts w:hint="default"/>
          <w:b/>
          <w:sz w:val="24"/>
        </w:rPr>
      </w:pPr>
    </w:p>
    <w:p w14:paraId="247FA1FF">
      <w:pPr>
        <w:tabs>
          <w:tab w:val="left" w:pos="4830"/>
        </w:tabs>
        <w:ind w:firstLine="5644" w:firstLineChars="2352"/>
        <w:rPr>
          <w:rFonts w:hint="default"/>
          <w:b/>
          <w:sz w:val="24"/>
        </w:rPr>
      </w:pPr>
    </w:p>
    <w:p w14:paraId="169FC91C">
      <w:pPr>
        <w:tabs>
          <w:tab w:val="left" w:pos="4830"/>
        </w:tabs>
        <w:ind w:firstLine="5644" w:firstLineChars="2352"/>
        <w:rPr>
          <w:rFonts w:hint="default"/>
          <w:b/>
          <w:sz w:val="24"/>
        </w:rPr>
      </w:pPr>
    </w:p>
    <w:p w14:paraId="5412428A">
      <w:pPr>
        <w:tabs>
          <w:tab w:val="left" w:pos="4830"/>
        </w:tabs>
        <w:ind w:firstLine="5644" w:firstLineChars="2352"/>
        <w:rPr>
          <w:sz w:val="24"/>
        </w:rPr>
      </w:pPr>
      <w:r>
        <w:rPr>
          <w:rFonts w:hint="default"/>
          <w:b/>
          <w:sz w:val="24"/>
        </w:rPr>
        <w:t>附图</w:t>
      </w:r>
      <w:r>
        <w:rPr>
          <w:rFonts w:hint="default"/>
          <w:b/>
          <w:sz w:val="24"/>
          <w:lang w:val="en-US" w:eastAsia="zh-CN"/>
        </w:rPr>
        <w:t>3</w:t>
      </w:r>
      <w:r>
        <w:rPr>
          <w:rFonts w:hint="default"/>
          <w:b/>
          <w:sz w:val="24"/>
        </w:rPr>
        <w:t xml:space="preserve">  项目</w:t>
      </w:r>
      <w:r>
        <w:rPr>
          <w:rFonts w:hint="default"/>
          <w:b/>
          <w:sz w:val="24"/>
          <w:lang w:val="en-US" w:eastAsia="zh-CN"/>
        </w:rPr>
        <w:t>水系</w:t>
      </w:r>
      <w:r>
        <w:rPr>
          <w:rFonts w:hint="default"/>
          <w:b/>
          <w:sz w:val="24"/>
        </w:rPr>
        <w:t>图</w:t>
      </w:r>
    </w:p>
    <w:p w14:paraId="38A19409">
      <w:pPr>
        <w:pStyle w:val="48"/>
        <w:rPr>
          <w:rFonts w:ascii="Times New Roman" w:hAnsi="Times New Roman" w:cs="Times New Roman"/>
        </w:rPr>
        <w:sectPr>
          <w:pgSz w:w="16838" w:h="11906" w:orient="landscape"/>
          <w:pgMar w:top="1797" w:right="1440" w:bottom="1797" w:left="1440" w:header="851" w:footer="992" w:gutter="0"/>
          <w:pgBorders>
            <w:top w:val="none" w:sz="0" w:space="0"/>
            <w:left w:val="none" w:sz="0" w:space="0"/>
            <w:bottom w:val="none" w:sz="0" w:space="0"/>
            <w:right w:val="none" w:sz="0" w:space="0"/>
          </w:pgBorders>
          <w:cols w:space="720" w:num="1"/>
          <w:docGrid w:type="linesAndChars" w:linePitch="312" w:charSpace="0"/>
        </w:sectPr>
      </w:pPr>
    </w:p>
    <w:tbl>
      <w:tblPr>
        <w:tblStyle w:val="38"/>
        <w:tblW w:w="856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4330"/>
        <w:gridCol w:w="4238"/>
      </w:tblGrid>
      <w:tr w14:paraId="3C6628D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330" w:type="dxa"/>
            <w:noWrap w:val="0"/>
            <w:vAlign w:val="center"/>
          </w:tcPr>
          <w:p w14:paraId="61C97C64">
            <w:pPr>
              <w:adjustRightInd w:val="0"/>
              <w:snapToGrid w:val="0"/>
              <w:jc w:val="center"/>
              <w:rPr>
                <w:rFonts w:hint="default" w:eastAsia="宋体"/>
                <w:b/>
                <w:szCs w:val="21"/>
                <w:lang w:eastAsia="zh-CN"/>
              </w:rPr>
            </w:pPr>
            <w:r>
              <w:drawing>
                <wp:inline distT="0" distB="0" distL="114300" distR="114300">
                  <wp:extent cx="2607945" cy="1908175"/>
                  <wp:effectExtent l="0" t="0" r="1905" b="15875"/>
                  <wp:docPr id="8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5"/>
                          <pic:cNvPicPr>
                            <a:picLocks noChangeAspect="1"/>
                          </pic:cNvPicPr>
                        </pic:nvPicPr>
                        <pic:blipFill>
                          <a:blip r:embed="rId23"/>
                          <a:stretch>
                            <a:fillRect/>
                          </a:stretch>
                        </pic:blipFill>
                        <pic:spPr>
                          <a:xfrm>
                            <a:off x="0" y="0"/>
                            <a:ext cx="2607945" cy="1908175"/>
                          </a:xfrm>
                          <a:prstGeom prst="rect">
                            <a:avLst/>
                          </a:prstGeom>
                          <a:noFill/>
                          <a:ln>
                            <a:noFill/>
                          </a:ln>
                        </pic:spPr>
                      </pic:pic>
                    </a:graphicData>
                  </a:graphic>
                </wp:inline>
              </w:drawing>
            </w:r>
          </w:p>
        </w:tc>
        <w:tc>
          <w:tcPr>
            <w:tcW w:w="4238" w:type="dxa"/>
            <w:noWrap w:val="0"/>
            <w:vAlign w:val="center"/>
          </w:tcPr>
          <w:p w14:paraId="5F62321B">
            <w:pPr>
              <w:adjustRightInd w:val="0"/>
              <w:snapToGrid w:val="0"/>
              <w:jc w:val="center"/>
              <w:rPr>
                <w:rFonts w:hint="default" w:eastAsia="宋体"/>
                <w:b/>
                <w:szCs w:val="21"/>
                <w:lang w:eastAsia="zh-CN"/>
              </w:rPr>
            </w:pPr>
            <w:r>
              <w:rPr>
                <w:rFonts w:hint="default" w:eastAsia="宋体"/>
                <w:b/>
                <w:szCs w:val="21"/>
                <w:lang w:eastAsia="zh-CN"/>
              </w:rPr>
              <w:drawing>
                <wp:inline distT="0" distB="0" distL="114300" distR="114300">
                  <wp:extent cx="2609850" cy="1957070"/>
                  <wp:effectExtent l="0" t="0" r="0" b="5080"/>
                  <wp:docPr id="83" name="图片 83" descr="微信图片_20260805184948_979_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微信图片_20260805184948_979_99"/>
                          <pic:cNvPicPr>
                            <a:picLocks noChangeAspect="1"/>
                          </pic:cNvPicPr>
                        </pic:nvPicPr>
                        <pic:blipFill>
                          <a:blip r:embed="rId24"/>
                          <a:stretch>
                            <a:fillRect/>
                          </a:stretch>
                        </pic:blipFill>
                        <pic:spPr>
                          <a:xfrm>
                            <a:off x="0" y="0"/>
                            <a:ext cx="2609850" cy="1957070"/>
                          </a:xfrm>
                          <a:prstGeom prst="rect">
                            <a:avLst/>
                          </a:prstGeom>
                        </pic:spPr>
                      </pic:pic>
                    </a:graphicData>
                  </a:graphic>
                </wp:inline>
              </w:drawing>
            </w:r>
          </w:p>
        </w:tc>
      </w:tr>
      <w:tr w14:paraId="201DDE2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330" w:type="dxa"/>
            <w:noWrap w:val="0"/>
            <w:vAlign w:val="center"/>
          </w:tcPr>
          <w:p w14:paraId="24107CA8">
            <w:pPr>
              <w:adjustRightInd w:val="0"/>
              <w:snapToGrid w:val="0"/>
              <w:jc w:val="center"/>
              <w:rPr>
                <w:rFonts w:hint="default" w:eastAsia="宋体"/>
                <w:b/>
                <w:szCs w:val="21"/>
                <w:lang w:val="en-US" w:eastAsia="zh-CN"/>
              </w:rPr>
            </w:pPr>
            <w:r>
              <w:rPr>
                <w:rFonts w:hint="default"/>
                <w:b/>
                <w:szCs w:val="21"/>
                <w:lang w:val="en-US" w:eastAsia="zh-CN"/>
              </w:rPr>
              <w:t>厂房现状</w:t>
            </w:r>
          </w:p>
        </w:tc>
        <w:tc>
          <w:tcPr>
            <w:tcW w:w="4238" w:type="dxa"/>
            <w:noWrap w:val="0"/>
            <w:vAlign w:val="center"/>
          </w:tcPr>
          <w:p w14:paraId="3BA874E9">
            <w:pPr>
              <w:adjustRightInd w:val="0"/>
              <w:snapToGrid w:val="0"/>
              <w:jc w:val="center"/>
              <w:rPr>
                <w:rFonts w:hint="default" w:eastAsia="宋体"/>
                <w:b/>
                <w:szCs w:val="21"/>
                <w:lang w:eastAsia="zh-CN"/>
              </w:rPr>
            </w:pPr>
            <w:r>
              <w:rPr>
                <w:rFonts w:hint="default"/>
                <w:b/>
                <w:szCs w:val="21"/>
                <w:lang w:val="en-US" w:eastAsia="zh-CN"/>
              </w:rPr>
              <w:t>厂房现状</w:t>
            </w:r>
          </w:p>
        </w:tc>
      </w:tr>
      <w:tr w14:paraId="372BE72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330" w:type="dxa"/>
            <w:noWrap w:val="0"/>
            <w:vAlign w:val="center"/>
          </w:tcPr>
          <w:p w14:paraId="7454B456">
            <w:pPr>
              <w:adjustRightInd w:val="0"/>
              <w:snapToGrid w:val="0"/>
              <w:jc w:val="center"/>
              <w:rPr>
                <w:rFonts w:hint="default" w:eastAsia="宋体"/>
                <w:b/>
                <w:szCs w:val="21"/>
                <w:lang w:eastAsia="zh-CN"/>
              </w:rPr>
            </w:pPr>
            <w:r>
              <w:rPr>
                <w:rFonts w:hint="default" w:eastAsia="宋体"/>
                <w:b/>
                <w:szCs w:val="21"/>
                <w:lang w:eastAsia="zh-CN"/>
              </w:rPr>
              <w:drawing>
                <wp:inline distT="0" distB="0" distL="114300" distR="114300">
                  <wp:extent cx="2609850" cy="1957070"/>
                  <wp:effectExtent l="0" t="0" r="0" b="5080"/>
                  <wp:docPr id="80" name="图片 2" descr="东面（智辰碳纤维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2" descr="东面（智辰碳纤维厂）"/>
                          <pic:cNvPicPr>
                            <a:picLocks noChangeAspect="1"/>
                          </pic:cNvPicPr>
                        </pic:nvPicPr>
                        <pic:blipFill>
                          <a:blip r:embed="rId25"/>
                          <a:stretch>
                            <a:fillRect/>
                          </a:stretch>
                        </pic:blipFill>
                        <pic:spPr>
                          <a:xfrm>
                            <a:off x="0" y="0"/>
                            <a:ext cx="2609850" cy="1957070"/>
                          </a:xfrm>
                          <a:prstGeom prst="rect">
                            <a:avLst/>
                          </a:prstGeom>
                          <a:noFill/>
                          <a:ln>
                            <a:noFill/>
                          </a:ln>
                        </pic:spPr>
                      </pic:pic>
                    </a:graphicData>
                  </a:graphic>
                </wp:inline>
              </w:drawing>
            </w:r>
          </w:p>
        </w:tc>
        <w:tc>
          <w:tcPr>
            <w:tcW w:w="4238" w:type="dxa"/>
            <w:noWrap w:val="0"/>
            <w:vAlign w:val="center"/>
          </w:tcPr>
          <w:p w14:paraId="4BA8470E">
            <w:pPr>
              <w:adjustRightInd w:val="0"/>
              <w:snapToGrid w:val="0"/>
              <w:jc w:val="center"/>
              <w:rPr>
                <w:rFonts w:hint="default" w:eastAsia="宋体"/>
                <w:b/>
                <w:szCs w:val="21"/>
                <w:lang w:eastAsia="zh-CN"/>
              </w:rPr>
            </w:pPr>
            <w:r>
              <w:rPr>
                <w:rFonts w:hint="default" w:eastAsia="宋体"/>
                <w:b/>
                <w:szCs w:val="21"/>
                <w:lang w:eastAsia="zh-CN"/>
              </w:rPr>
              <w:drawing>
                <wp:inline distT="0" distB="0" distL="114300" distR="114300">
                  <wp:extent cx="2545080" cy="1908175"/>
                  <wp:effectExtent l="0" t="0" r="7620" b="15875"/>
                  <wp:docPr id="81" name="图片 3" descr="南面（申通快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3" descr="南面（申通快递）"/>
                          <pic:cNvPicPr>
                            <a:picLocks noChangeAspect="1"/>
                          </pic:cNvPicPr>
                        </pic:nvPicPr>
                        <pic:blipFill>
                          <a:blip r:embed="rId26"/>
                          <a:stretch>
                            <a:fillRect/>
                          </a:stretch>
                        </pic:blipFill>
                        <pic:spPr>
                          <a:xfrm>
                            <a:off x="0" y="0"/>
                            <a:ext cx="2545080" cy="1908175"/>
                          </a:xfrm>
                          <a:prstGeom prst="rect">
                            <a:avLst/>
                          </a:prstGeom>
                          <a:noFill/>
                          <a:ln>
                            <a:noFill/>
                          </a:ln>
                        </pic:spPr>
                      </pic:pic>
                    </a:graphicData>
                  </a:graphic>
                </wp:inline>
              </w:drawing>
            </w:r>
          </w:p>
        </w:tc>
      </w:tr>
      <w:tr w14:paraId="4FF3657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330" w:type="dxa"/>
            <w:noWrap w:val="0"/>
            <w:vAlign w:val="center"/>
          </w:tcPr>
          <w:p w14:paraId="7F1397A4">
            <w:pPr>
              <w:adjustRightInd w:val="0"/>
              <w:snapToGrid w:val="0"/>
              <w:jc w:val="center"/>
              <w:rPr>
                <w:rFonts w:hint="default"/>
                <w:lang w:val="en-US"/>
              </w:rPr>
            </w:pPr>
            <w:r>
              <w:rPr>
                <w:rFonts w:hint="default" w:ascii="Times New Roman" w:hAnsi="Times New Roman" w:eastAsia="宋体" w:cs="Times New Roman"/>
                <w:b/>
                <w:sz w:val="24"/>
                <w:lang w:val="en-US" w:eastAsia="zh-CN"/>
              </w:rPr>
              <w:t>项目周边环境（东面智辰公司）</w:t>
            </w:r>
          </w:p>
        </w:tc>
        <w:tc>
          <w:tcPr>
            <w:tcW w:w="4238" w:type="dxa"/>
            <w:noWrap w:val="0"/>
            <w:vAlign w:val="center"/>
          </w:tcPr>
          <w:p w14:paraId="0F34CFE4">
            <w:pPr>
              <w:adjustRightInd w:val="0"/>
              <w:snapToGrid w:val="0"/>
              <w:jc w:val="center"/>
            </w:pPr>
            <w:r>
              <w:rPr>
                <w:rFonts w:hint="default" w:ascii="Times New Roman" w:hAnsi="Times New Roman" w:eastAsia="宋体" w:cs="Times New Roman"/>
                <w:b/>
                <w:sz w:val="24"/>
                <w:lang w:val="en-US" w:eastAsia="zh-CN"/>
              </w:rPr>
              <w:t>项目周边环境（</w:t>
            </w:r>
            <w:r>
              <w:rPr>
                <w:rFonts w:hint="eastAsia" w:cs="Times New Roman"/>
                <w:b/>
                <w:sz w:val="24"/>
                <w:lang w:val="en-US" w:eastAsia="zh-CN"/>
              </w:rPr>
              <w:t>南面</w:t>
            </w:r>
            <w:r>
              <w:rPr>
                <w:rFonts w:hint="default" w:ascii="Times New Roman" w:hAnsi="Times New Roman" w:eastAsia="宋体" w:cs="Times New Roman"/>
                <w:b/>
                <w:sz w:val="24"/>
                <w:lang w:val="en-US" w:eastAsia="zh-CN"/>
              </w:rPr>
              <w:t>申通快递）</w:t>
            </w:r>
          </w:p>
        </w:tc>
      </w:tr>
      <w:tr w14:paraId="054674D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330" w:type="dxa"/>
            <w:noWrap w:val="0"/>
            <w:vAlign w:val="center"/>
          </w:tcPr>
          <w:p w14:paraId="5FCDB00A">
            <w:pPr>
              <w:adjustRightInd w:val="0"/>
              <w:snapToGrid w:val="0"/>
              <w:jc w:val="center"/>
              <w:rPr>
                <w:rFonts w:hint="default"/>
                <w:lang w:val="en-US" w:eastAsia="zh-CN"/>
              </w:rPr>
            </w:pPr>
            <w:r>
              <w:rPr>
                <w:rFonts w:hint="default"/>
                <w:lang w:val="en-US" w:eastAsia="zh-CN"/>
              </w:rPr>
              <w:drawing>
                <wp:inline distT="0" distB="0" distL="114300" distR="114300">
                  <wp:extent cx="2609850" cy="1957070"/>
                  <wp:effectExtent l="0" t="0" r="0" b="5080"/>
                  <wp:docPr id="35" name="图片 4" descr="西面（邮政快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4" descr="西面（邮政快递）"/>
                          <pic:cNvPicPr>
                            <a:picLocks noChangeAspect="1"/>
                          </pic:cNvPicPr>
                        </pic:nvPicPr>
                        <pic:blipFill>
                          <a:blip r:embed="rId27"/>
                          <a:stretch>
                            <a:fillRect/>
                          </a:stretch>
                        </pic:blipFill>
                        <pic:spPr>
                          <a:xfrm>
                            <a:off x="0" y="0"/>
                            <a:ext cx="2609850" cy="1957070"/>
                          </a:xfrm>
                          <a:prstGeom prst="rect">
                            <a:avLst/>
                          </a:prstGeom>
                          <a:noFill/>
                          <a:ln>
                            <a:noFill/>
                          </a:ln>
                        </pic:spPr>
                      </pic:pic>
                    </a:graphicData>
                  </a:graphic>
                </wp:inline>
              </w:drawing>
            </w:r>
          </w:p>
        </w:tc>
        <w:tc>
          <w:tcPr>
            <w:tcW w:w="4238" w:type="dxa"/>
            <w:noWrap w:val="0"/>
            <w:vAlign w:val="center"/>
          </w:tcPr>
          <w:p w14:paraId="5D013B7A">
            <w:pPr>
              <w:adjustRightInd w:val="0"/>
              <w:snapToGrid w:val="0"/>
              <w:jc w:val="center"/>
              <w:rPr>
                <w:rFonts w:hint="default" w:ascii="Times New Roman" w:hAnsi="Times New Roman" w:eastAsia="宋体" w:cs="Times New Roman"/>
                <w:b/>
                <w:sz w:val="24"/>
                <w:lang w:val="en-US" w:eastAsia="zh-CN"/>
              </w:rPr>
            </w:pPr>
            <w:r>
              <w:rPr>
                <w:rFonts w:hint="default" w:ascii="Times New Roman" w:hAnsi="Times New Roman" w:eastAsia="宋体" w:cs="Times New Roman"/>
                <w:b/>
                <w:sz w:val="24"/>
                <w:lang w:val="en-US" w:eastAsia="zh-CN"/>
              </w:rPr>
              <w:drawing>
                <wp:inline distT="0" distB="0" distL="114300" distR="114300">
                  <wp:extent cx="2545080" cy="1908175"/>
                  <wp:effectExtent l="0" t="0" r="7620" b="15875"/>
                  <wp:docPr id="36" name="图片 5" descr="北面（厂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5" descr="北面（厂房）"/>
                          <pic:cNvPicPr>
                            <a:picLocks noChangeAspect="1"/>
                          </pic:cNvPicPr>
                        </pic:nvPicPr>
                        <pic:blipFill>
                          <a:blip r:embed="rId28"/>
                          <a:stretch>
                            <a:fillRect/>
                          </a:stretch>
                        </pic:blipFill>
                        <pic:spPr>
                          <a:xfrm>
                            <a:off x="0" y="0"/>
                            <a:ext cx="2545080" cy="1908175"/>
                          </a:xfrm>
                          <a:prstGeom prst="rect">
                            <a:avLst/>
                          </a:prstGeom>
                          <a:noFill/>
                          <a:ln>
                            <a:noFill/>
                          </a:ln>
                        </pic:spPr>
                      </pic:pic>
                    </a:graphicData>
                  </a:graphic>
                </wp:inline>
              </w:drawing>
            </w:r>
          </w:p>
        </w:tc>
      </w:tr>
      <w:tr w14:paraId="1E35974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4330" w:type="dxa"/>
            <w:noWrap w:val="0"/>
            <w:vAlign w:val="center"/>
          </w:tcPr>
          <w:p w14:paraId="530C7C0C">
            <w:pPr>
              <w:adjustRightInd w:val="0"/>
              <w:snapToGrid w:val="0"/>
              <w:jc w:val="center"/>
              <w:rPr>
                <w:rFonts w:hint="default"/>
                <w:lang w:val="en-US" w:eastAsia="zh-CN"/>
              </w:rPr>
            </w:pPr>
            <w:r>
              <w:rPr>
                <w:rFonts w:hint="default" w:ascii="Times New Roman" w:hAnsi="Times New Roman" w:eastAsia="宋体" w:cs="Times New Roman"/>
                <w:b/>
                <w:sz w:val="24"/>
                <w:lang w:val="en-US" w:eastAsia="zh-CN"/>
              </w:rPr>
              <w:t>项目周边环境（</w:t>
            </w:r>
            <w:r>
              <w:rPr>
                <w:rFonts w:hint="eastAsia" w:cs="Times New Roman"/>
                <w:b/>
                <w:sz w:val="24"/>
                <w:lang w:val="en-US" w:eastAsia="zh-CN"/>
              </w:rPr>
              <w:t>西面</w:t>
            </w:r>
            <w:r>
              <w:rPr>
                <w:rFonts w:hint="default" w:ascii="Times New Roman" w:hAnsi="Times New Roman" w:eastAsia="宋体" w:cs="Times New Roman"/>
                <w:b/>
                <w:sz w:val="24"/>
                <w:lang w:val="en-US" w:eastAsia="zh-CN"/>
              </w:rPr>
              <w:t>邮政快递）</w:t>
            </w:r>
          </w:p>
        </w:tc>
        <w:tc>
          <w:tcPr>
            <w:tcW w:w="4238" w:type="dxa"/>
            <w:noWrap w:val="0"/>
            <w:vAlign w:val="center"/>
          </w:tcPr>
          <w:p w14:paraId="72108331">
            <w:pPr>
              <w:adjustRightInd w:val="0"/>
              <w:snapToGrid w:val="0"/>
              <w:jc w:val="center"/>
              <w:rPr>
                <w:rFonts w:hint="default" w:ascii="Times New Roman" w:hAnsi="Times New Roman" w:eastAsia="宋体" w:cs="Times New Roman"/>
                <w:b/>
                <w:sz w:val="24"/>
                <w:lang w:val="en-US" w:eastAsia="zh-CN"/>
              </w:rPr>
            </w:pPr>
            <w:r>
              <w:rPr>
                <w:rFonts w:hint="default" w:ascii="Times New Roman" w:hAnsi="Times New Roman" w:eastAsia="宋体" w:cs="Times New Roman"/>
                <w:b/>
                <w:sz w:val="24"/>
                <w:lang w:val="en-US" w:eastAsia="zh-CN"/>
              </w:rPr>
              <w:t>项目周边环境（北面厂房）</w:t>
            </w:r>
          </w:p>
        </w:tc>
      </w:tr>
    </w:tbl>
    <w:p w14:paraId="6ACC3161">
      <w:pPr>
        <w:rPr>
          <w:sz w:val="24"/>
        </w:rPr>
      </w:pPr>
    </w:p>
    <w:p w14:paraId="1D2A285C">
      <w:pPr>
        <w:jc w:val="center"/>
        <w:rPr>
          <w:b/>
          <w:sz w:val="24"/>
        </w:rPr>
      </w:pPr>
      <w:r>
        <w:rPr>
          <w:b/>
          <w:sz w:val="24"/>
        </w:rPr>
        <w:t>附图</w:t>
      </w:r>
      <w:r>
        <w:rPr>
          <w:rFonts w:hint="default"/>
          <w:b/>
          <w:sz w:val="24"/>
          <w:lang w:val="en-US" w:eastAsia="zh-CN"/>
        </w:rPr>
        <w:t>4</w:t>
      </w:r>
      <w:r>
        <w:rPr>
          <w:b/>
          <w:sz w:val="24"/>
        </w:rPr>
        <w:t xml:space="preserve">  项目</w:t>
      </w:r>
      <w:r>
        <w:rPr>
          <w:rFonts w:hint="default"/>
          <w:b/>
          <w:sz w:val="24"/>
        </w:rPr>
        <w:t>现场踏察</w:t>
      </w:r>
      <w:r>
        <w:rPr>
          <w:b/>
          <w:sz w:val="24"/>
        </w:rPr>
        <w:t>图</w:t>
      </w:r>
    </w:p>
    <w:p w14:paraId="1C3D2189">
      <w:pPr>
        <w:jc w:val="center"/>
        <w:rPr>
          <w:b/>
          <w:sz w:val="24"/>
        </w:rPr>
      </w:pPr>
    </w:p>
    <w:p w14:paraId="5CFE298A">
      <w:pPr>
        <w:jc w:val="center"/>
        <w:rPr>
          <w:b/>
          <w:sz w:val="24"/>
        </w:rPr>
      </w:pPr>
    </w:p>
    <w:p w14:paraId="05DACD4D">
      <w:pPr>
        <w:jc w:val="center"/>
        <w:rPr>
          <w:b/>
          <w:sz w:val="24"/>
        </w:rPr>
      </w:pPr>
    </w:p>
    <w:p w14:paraId="2C894C39">
      <w:pPr>
        <w:jc w:val="center"/>
        <w:rPr>
          <w:b/>
          <w:sz w:val="24"/>
        </w:rPr>
      </w:pPr>
    </w:p>
    <w:p w14:paraId="5D7E1A72">
      <w:pPr>
        <w:jc w:val="center"/>
        <w:rPr>
          <w:b/>
          <w:sz w:val="24"/>
        </w:rPr>
      </w:pPr>
    </w:p>
    <w:p w14:paraId="31E77395">
      <w:pPr>
        <w:jc w:val="center"/>
        <w:rPr>
          <w:b/>
          <w:sz w:val="24"/>
        </w:rPr>
      </w:pPr>
    </w:p>
    <w:p w14:paraId="628EA1BF">
      <w:pPr>
        <w:jc w:val="center"/>
        <w:rPr>
          <w:b/>
          <w:sz w:val="24"/>
        </w:rPr>
      </w:pPr>
    </w:p>
    <w:p w14:paraId="1F2A2202">
      <w:pPr>
        <w:jc w:val="center"/>
        <w:rPr>
          <w:b/>
          <w:sz w:val="24"/>
        </w:rPr>
      </w:pPr>
    </w:p>
    <w:p w14:paraId="276C71A5">
      <w:pPr>
        <w:jc w:val="center"/>
        <w:rPr>
          <w:b/>
          <w:sz w:val="24"/>
        </w:rPr>
      </w:pPr>
      <w:r>
        <w:rPr>
          <w:sz w:val="24"/>
        </w:rPr>
        <mc:AlternateContent>
          <mc:Choice Requires="wps">
            <w:drawing>
              <wp:anchor distT="0" distB="0" distL="114300" distR="114300" simplePos="0" relativeHeight="251696128" behindDoc="0" locked="0" layoutInCell="1" allowOverlap="1">
                <wp:simplePos x="0" y="0"/>
                <wp:positionH relativeFrom="column">
                  <wp:posOffset>3669665</wp:posOffset>
                </wp:positionH>
                <wp:positionV relativeFrom="paragraph">
                  <wp:posOffset>1279525</wp:posOffset>
                </wp:positionV>
                <wp:extent cx="1078230" cy="280035"/>
                <wp:effectExtent l="0" t="0" r="7620" b="5715"/>
                <wp:wrapNone/>
                <wp:docPr id="27" name="文本框 27"/>
                <wp:cNvGraphicFramePr/>
                <a:graphic xmlns:a="http://schemas.openxmlformats.org/drawingml/2006/main">
                  <a:graphicData uri="http://schemas.microsoft.com/office/word/2010/wordprocessingShape">
                    <wps:wsp>
                      <wps:cNvSpPr txBox="1"/>
                      <wps:spPr>
                        <a:xfrm>
                          <a:off x="2568575" y="9354185"/>
                          <a:ext cx="1078230" cy="2800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DD4E7DF">
                            <w:pPr>
                              <w:rPr>
                                <w:rFonts w:hint="default" w:eastAsia="宋体"/>
                                <w:b/>
                                <w:bCs/>
                                <w:color w:val="auto"/>
                                <w:lang w:val="en-US" w:eastAsia="zh-CN"/>
                              </w:rPr>
                            </w:pPr>
                            <w:r>
                              <w:rPr>
                                <w:rFonts w:hint="eastAsia"/>
                                <w:b/>
                                <w:bCs/>
                                <w:color w:val="auto"/>
                                <w:lang w:val="en-US" w:eastAsia="zh-CN"/>
                              </w:rPr>
                              <w:t>4台混合机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8.95pt;margin-top:100.75pt;height:22.05pt;width:84.9pt;z-index:251696128;mso-width-relative:page;mso-height-relative:page;" fillcolor="#FFFFFF [3201]" filled="t" stroked="f" coordsize="21600,21600" o:gfxdata="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gJdmoNYAAAALAQAADwAAAAAAAAABACAAAAAiAAAAZHJzL2Rvd25yZXYueG1sUEsBAhQAFAAAAAgA&#10;h07iQGBDMvlgAgAAnQQAAA4AAAAAAAAAAQAgAAAAJQEAAGRycy9lMm9Eb2MueG1sUEsFBgAAAAAG&#10;AAYAWQEAAPcFAAAAAA==&#10;">
                <v:fill on="t" focussize="0,0"/>
                <v:stroke on="f" weight="0.5pt"/>
                <v:imagedata o:title=""/>
                <o:lock v:ext="edit" aspectratio="f"/>
                <v:textbox>
                  <w:txbxContent>
                    <w:p w14:paraId="3DD4E7DF">
                      <w:pPr>
                        <w:rPr>
                          <w:rFonts w:hint="default" w:eastAsia="宋体"/>
                          <w:b/>
                          <w:bCs/>
                          <w:color w:val="auto"/>
                          <w:lang w:val="en-US" w:eastAsia="zh-CN"/>
                        </w:rPr>
                      </w:pPr>
                      <w:r>
                        <w:rPr>
                          <w:rFonts w:hint="eastAsia"/>
                          <w:b/>
                          <w:bCs/>
                          <w:color w:val="auto"/>
                          <w:lang w:val="en-US" w:eastAsia="zh-CN"/>
                        </w:rPr>
                        <w:t>4台混合机</w:t>
                      </w:r>
                    </w:p>
                  </w:txbxContent>
                </v:textbox>
              </v:shape>
            </w:pict>
          </mc:Fallback>
        </mc:AlternateContent>
      </w:r>
      <w:r>
        <w:rPr>
          <w:sz w:val="24"/>
        </w:rPr>
        <mc:AlternateContent>
          <mc:Choice Requires="wps">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1828800" cy="1828800"/>
                <wp:effectExtent l="4445" t="4445" r="14605" b="14605"/>
                <wp:wrapSquare wrapText="bothSides"/>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BC0AFA6">
                            <w:pPr>
                              <w:jc w:val="center"/>
                              <w:rPr>
                                <w:b/>
                                <w:sz w:val="24"/>
                              </w:rPr>
                            </w:pPr>
                            <w:r>
                              <w:rPr>
                                <w:rFonts w:hint="default" w:eastAsia="宋体"/>
                                <w:b/>
                                <w:sz w:val="24"/>
                                <w:lang w:eastAsia="zh-CN"/>
                              </w:rPr>
                              <w:drawing>
                                <wp:inline distT="0" distB="0" distL="114300" distR="114300">
                                  <wp:extent cx="5266690" cy="7451725"/>
                                  <wp:effectExtent l="0" t="0" r="10160" b="15875"/>
                                  <wp:docPr id="26" name="图片 6" descr="平面布置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6" descr="平面布置图"/>
                                          <pic:cNvPicPr>
                                            <a:picLocks noChangeAspect="1"/>
                                          </pic:cNvPicPr>
                                        </pic:nvPicPr>
                                        <pic:blipFill>
                                          <a:blip r:embed="rId29"/>
                                          <a:stretch>
                                            <a:fillRect/>
                                          </a:stretch>
                                        </pic:blipFill>
                                        <pic:spPr>
                                          <a:xfrm>
                                            <a:off x="0" y="0"/>
                                            <a:ext cx="5266690" cy="7451725"/>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0pt;margin-top:0pt;height:144pt;width:144pt;mso-wrap-distance-bottom:0pt;mso-wrap-distance-left:9pt;mso-wrap-distance-right:9pt;mso-wrap-distance-top:0pt;mso-wrap-style:none;z-index:251695104;mso-width-relative:page;mso-height-relative:page;" fillcolor="#FFFFFF [3201]" filled="t" stroked="t" coordsize="21600,21600" o:gfxdata="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mypHvc8AAAAFAQAADwAAAAAAAAAB&#10;ACAAAAAiAAAAZHJzL2Rvd25yZXYueG1sUEsBAhQAFAAAAAgAh07iQEqCjYlSAgAAtgQAAA4AAAAA&#10;AAAAAQAgAAAAHgEAAGRycy9lMm9Eb2MueG1sUEsFBgAAAAAGAAYAWQEAAOIFAAAAAA==&#10;">
                <v:fill on="t" focussize="0,0"/>
                <v:stroke weight="0.5pt" color="#000000 [3204]" joinstyle="round"/>
                <v:imagedata o:title=""/>
                <o:lock v:ext="edit" aspectratio="f"/>
                <v:textbox style="mso-fit-shape-to-text:t;">
                  <w:txbxContent>
                    <w:p w14:paraId="0BC0AFA6">
                      <w:pPr>
                        <w:jc w:val="center"/>
                        <w:rPr>
                          <w:b/>
                          <w:sz w:val="24"/>
                        </w:rPr>
                      </w:pPr>
                      <w:r>
                        <w:rPr>
                          <w:rFonts w:hint="default" w:eastAsia="宋体"/>
                          <w:b/>
                          <w:sz w:val="24"/>
                          <w:lang w:eastAsia="zh-CN"/>
                        </w:rPr>
                        <w:drawing>
                          <wp:inline distT="0" distB="0" distL="114300" distR="114300">
                            <wp:extent cx="5266690" cy="7451725"/>
                            <wp:effectExtent l="0" t="0" r="10160" b="15875"/>
                            <wp:docPr id="26" name="图片 6" descr="平面布置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6" descr="平面布置图"/>
                                    <pic:cNvPicPr>
                                      <a:picLocks noChangeAspect="1"/>
                                    </pic:cNvPicPr>
                                  </pic:nvPicPr>
                                  <pic:blipFill>
                                    <a:blip r:embed="rId29"/>
                                    <a:stretch>
                                      <a:fillRect/>
                                    </a:stretch>
                                  </pic:blipFill>
                                  <pic:spPr>
                                    <a:xfrm>
                                      <a:off x="0" y="0"/>
                                      <a:ext cx="5266690" cy="7451725"/>
                                    </a:xfrm>
                                    <a:prstGeom prst="rect">
                                      <a:avLst/>
                                    </a:prstGeom>
                                    <a:noFill/>
                                    <a:ln>
                                      <a:noFill/>
                                    </a:ln>
                                  </pic:spPr>
                                </pic:pic>
                              </a:graphicData>
                            </a:graphic>
                          </wp:inline>
                        </w:drawing>
                      </w:r>
                    </w:p>
                  </w:txbxContent>
                </v:textbox>
                <w10:wrap type="square"/>
              </v:shape>
            </w:pict>
          </mc:Fallback>
        </mc:AlternateContent>
      </w:r>
    </w:p>
    <w:p w14:paraId="1E01348D">
      <w:pPr>
        <w:jc w:val="center"/>
        <w:rPr>
          <w:b/>
          <w:sz w:val="24"/>
        </w:rPr>
      </w:pPr>
      <w:r>
        <w:rPr>
          <w:b/>
          <w:sz w:val="24"/>
        </w:rPr>
        <w:t>附图</w:t>
      </w:r>
      <w:r>
        <w:rPr>
          <w:rFonts w:hint="default"/>
          <w:b/>
          <w:sz w:val="24"/>
          <w:lang w:val="en-US" w:eastAsia="zh-CN"/>
        </w:rPr>
        <w:t>5</w:t>
      </w:r>
      <w:r>
        <w:rPr>
          <w:b/>
          <w:sz w:val="24"/>
        </w:rPr>
        <w:t xml:space="preserve">  项目</w:t>
      </w:r>
      <w:r>
        <w:rPr>
          <w:rFonts w:hint="default"/>
          <w:b/>
          <w:sz w:val="24"/>
          <w:lang w:val="en-US" w:eastAsia="zh-CN"/>
        </w:rPr>
        <w:t>平面布置</w:t>
      </w:r>
      <w:r>
        <w:rPr>
          <w:b/>
          <w:sz w:val="24"/>
        </w:rPr>
        <w:t>图</w:t>
      </w:r>
    </w:p>
    <w:p w14:paraId="1F598653">
      <w:pPr>
        <w:jc w:val="center"/>
        <w:rPr>
          <w:b/>
          <w:sz w:val="24"/>
        </w:rPr>
      </w:pPr>
    </w:p>
    <w:p w14:paraId="36559634">
      <w:pPr>
        <w:jc w:val="center"/>
        <w:rPr>
          <w:b/>
          <w:sz w:val="24"/>
        </w:rPr>
      </w:pPr>
    </w:p>
    <w:p w14:paraId="214AAB23">
      <w:pPr>
        <w:spacing w:line="240" w:lineRule="atLeast"/>
        <w:ind w:firstLine="1687" w:firstLineChars="700"/>
        <w:jc w:val="both"/>
        <w:rPr>
          <w:b/>
          <w:sz w:val="24"/>
        </w:rPr>
      </w:pPr>
    </w:p>
    <w:p w14:paraId="5D407287">
      <w:pPr>
        <w:spacing w:line="240" w:lineRule="atLeast"/>
        <w:jc w:val="both"/>
        <w:rPr>
          <w:rFonts w:hint="default" w:ascii="Times New Roman" w:hAnsi="Times New Roman" w:cs="Times New Roman"/>
          <w:b/>
          <w:sz w:val="24"/>
          <w:lang w:val="en-US" w:eastAsia="zh-CN"/>
        </w:rPr>
        <w:sectPr>
          <w:pgSz w:w="11906" w:h="16838"/>
          <w:pgMar w:top="1440" w:right="1797" w:bottom="1440" w:left="1797" w:header="851" w:footer="992" w:gutter="0"/>
          <w:pgBorders>
            <w:top w:val="none" w:sz="0" w:space="0"/>
            <w:left w:val="none" w:sz="0" w:space="0"/>
            <w:bottom w:val="none" w:sz="0" w:space="0"/>
            <w:right w:val="none" w:sz="0" w:space="0"/>
          </w:pgBorders>
          <w:cols w:space="720" w:num="1"/>
          <w:docGrid w:type="lines" w:linePitch="312" w:charSpace="0"/>
        </w:sectPr>
      </w:pPr>
    </w:p>
    <w:p w14:paraId="54F13066">
      <w:pPr>
        <w:spacing w:line="240" w:lineRule="auto"/>
        <w:rPr>
          <w:rFonts w:hint="default"/>
          <w:sz w:val="24"/>
        </w:rPr>
      </w:pPr>
      <w:r>
        <w:rPr>
          <w:sz w:val="24"/>
        </w:rPr>
        <mc:AlternateContent>
          <mc:Choice Requires="wps">
            <w:drawing>
              <wp:anchor distT="0" distB="0" distL="114300" distR="114300" simplePos="0" relativeHeight="251682816" behindDoc="0" locked="0" layoutInCell="1" allowOverlap="1">
                <wp:simplePos x="0" y="0"/>
                <wp:positionH relativeFrom="column">
                  <wp:posOffset>3672840</wp:posOffset>
                </wp:positionH>
                <wp:positionV relativeFrom="paragraph">
                  <wp:posOffset>3583305</wp:posOffset>
                </wp:positionV>
                <wp:extent cx="772160" cy="297180"/>
                <wp:effectExtent l="817880" t="5080" r="10160" b="21590"/>
                <wp:wrapNone/>
                <wp:docPr id="64" name="矩形标注 64"/>
                <wp:cNvGraphicFramePr/>
                <a:graphic xmlns:a="http://schemas.openxmlformats.org/drawingml/2006/main">
                  <a:graphicData uri="http://schemas.microsoft.com/office/word/2010/wordprocessingShape">
                    <wps:wsp>
                      <wps:cNvSpPr/>
                      <wps:spPr>
                        <a:xfrm>
                          <a:off x="0" y="0"/>
                          <a:ext cx="772160" cy="297180"/>
                        </a:xfrm>
                        <a:prstGeom prst="wedgeRectCallout">
                          <a:avLst>
                            <a:gd name="adj1" fmla="val -150981"/>
                            <a:gd name="adj2" fmla="val -8759"/>
                          </a:avLst>
                        </a:prstGeom>
                        <a:solidFill>
                          <a:srgbClr val="FFFFFF"/>
                        </a:solidFill>
                        <a:ln w="9525" cap="flat" cmpd="sng">
                          <a:solidFill>
                            <a:srgbClr val="000000"/>
                          </a:solidFill>
                          <a:prstDash val="solid"/>
                          <a:miter/>
                          <a:headEnd type="none" w="med" len="med"/>
                          <a:tailEnd type="none" w="med" len="med"/>
                        </a:ln>
                      </wps:spPr>
                      <wps:txbx>
                        <w:txbxContent>
                          <w:p w14:paraId="18760E4B">
                            <w:pPr>
                              <w:rPr>
                                <w:rFonts w:hint="eastAsia" w:eastAsia="宋体"/>
                                <w:b/>
                                <w:bCs/>
                                <w:color w:val="FF0000"/>
                                <w:lang w:eastAsia="zh-CN"/>
                              </w:rPr>
                            </w:pPr>
                            <w:r>
                              <w:rPr>
                                <w:rFonts w:hint="eastAsia"/>
                                <w:b/>
                                <w:bCs/>
                                <w:color w:val="FF0000"/>
                              </w:rPr>
                              <w:t>项目位置</w:t>
                            </w:r>
                          </w:p>
                        </w:txbxContent>
                      </wps:txbx>
                      <wps:bodyPr upright="1"/>
                    </wps:wsp>
                  </a:graphicData>
                </a:graphic>
              </wp:anchor>
            </w:drawing>
          </mc:Choice>
          <mc:Fallback>
            <w:pict>
              <v:shape id="_x0000_s1026" o:spid="_x0000_s1026" o:spt="61" type="#_x0000_t61" style="position:absolute;left:0pt;margin-left:289.2pt;margin-top:282.15pt;height:23.4pt;width:60.8pt;z-index:251682816;mso-width-relative:page;mso-height-relative:page;" fillcolor="#FFFFFF" filled="t" stroked="t" coordsize="21600,21600" o:gfxdata="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0xt6KNsAAAALAQAADwAAAAAAAAABACAAAAAiAAAAZHJzL2Rv&#10;d25yZXYueG1sUEsBAhQAFAAAAAgAh07iQC9jz6c3AgAAjwQAAA4AAAAAAAAAAQAgAAAAKgEAAGRy&#10;cy9lMm9Eb2MueG1sUEsFBgAAAAAGAAYAWQEAANMFAAAAAA==&#10;" adj="-21812,8908">
                <v:fill on="t" focussize="0,0"/>
                <v:stroke color="#000000" joinstyle="miter"/>
                <v:imagedata o:title=""/>
                <o:lock v:ext="edit" aspectratio="f"/>
                <v:textbox>
                  <w:txbxContent>
                    <w:p w14:paraId="18760E4B">
                      <w:pPr>
                        <w:rPr>
                          <w:rFonts w:hint="eastAsia" w:eastAsia="宋体"/>
                          <w:b/>
                          <w:bCs/>
                          <w:color w:val="FF0000"/>
                          <w:lang w:eastAsia="zh-CN"/>
                        </w:rPr>
                      </w:pPr>
                      <w:r>
                        <w:rPr>
                          <w:rFonts w:hint="eastAsia"/>
                          <w:b/>
                          <w:bCs/>
                          <w:color w:val="FF0000"/>
                        </w:rPr>
                        <w:t>项目位置</w:t>
                      </w:r>
                    </w:p>
                  </w:txbxContent>
                </v:textbox>
              </v:shape>
            </w:pict>
          </mc:Fallback>
        </mc:AlternateContent>
      </w:r>
      <w:r>
        <w:rPr>
          <w:sz w:val="24"/>
        </w:rPr>
        <mc:AlternateContent>
          <mc:Choice Requires="wps">
            <w:drawing>
              <wp:anchor distT="0" distB="0" distL="114300" distR="114300" simplePos="0" relativeHeight="251683840" behindDoc="0" locked="0" layoutInCell="1" allowOverlap="1">
                <wp:simplePos x="0" y="0"/>
                <wp:positionH relativeFrom="column">
                  <wp:posOffset>2840990</wp:posOffset>
                </wp:positionH>
                <wp:positionV relativeFrom="paragraph">
                  <wp:posOffset>3651250</wp:posOffset>
                </wp:positionV>
                <wp:extent cx="75565" cy="75565"/>
                <wp:effectExtent l="4445" t="4445" r="15240" b="15240"/>
                <wp:wrapNone/>
                <wp:docPr id="62" name="任意多边形 62"/>
                <wp:cNvGraphicFramePr/>
                <a:graphic xmlns:a="http://schemas.openxmlformats.org/drawingml/2006/main">
                  <a:graphicData uri="http://schemas.microsoft.com/office/word/2010/wordprocessingShape">
                    <wps:wsp>
                      <wps:cNvSpPr/>
                      <wps:spPr>
                        <a:xfrm>
                          <a:off x="0" y="0"/>
                          <a:ext cx="75565" cy="75565"/>
                        </a:xfrm>
                        <a:custGeom>
                          <a:avLst/>
                          <a:gdLst>
                            <a:gd name="txL" fmla="*/ 3163 w 21600"/>
                            <a:gd name="txT" fmla="*/ 3163 h 21600"/>
                            <a:gd name="txR" fmla="*/ 18437 w 21600"/>
                            <a:gd name="txB" fmla="*/ 18437 h 21600"/>
                          </a:gdLst>
                          <a:ahLst/>
                          <a:cxnLst>
                            <a:cxn ang="270">
                              <a:pos x="10800" y="0"/>
                            </a:cxn>
                            <a:cxn ang="270">
                              <a:pos x="3163" y="3163"/>
                            </a:cxn>
                            <a:cxn ang="180">
                              <a:pos x="0" y="10800"/>
                            </a:cxn>
                            <a:cxn ang="90">
                              <a:pos x="3163" y="18437"/>
                            </a:cxn>
                            <a:cxn ang="90">
                              <a:pos x="10800" y="21600"/>
                            </a:cxn>
                            <a:cxn ang="90">
                              <a:pos x="18437" y="18437"/>
                            </a:cxn>
                            <a:cxn ang="0">
                              <a:pos x="21600" y="10800"/>
                            </a:cxn>
                            <a:cxn ang="270">
                              <a:pos x="18437" y="3163"/>
                            </a:cxn>
                          </a:cxnLst>
                          <a:rect l="txL" t="txT" r="txR" b="txB"/>
                          <a:pathLst>
                            <a:path w="21600" h="21600">
                              <a:moveTo>
                                <a:pt x="0" y="10800"/>
                              </a:moveTo>
                              <a:arcTo wR="10800" hR="10800" stAng="10800000" swAng="5400000"/>
                              <a:arcTo wR="10800" hR="10800" stAng="-5400000" swAng="5400000"/>
                              <a:arcTo wR="10800" hR="10800" stAng="0" swAng="5400000"/>
                              <a:arcTo wR="10800" hR="10800" stAng="5400000" swAng="5400000"/>
                              <a:close/>
                              <a:moveTo>
                                <a:pt x="5400" y="10800"/>
                              </a:moveTo>
                              <a:arcTo wR="5400" hR="5400" stAng="10800000" swAng="-5400000"/>
                              <a:arcTo wR="5400" hR="5400" stAng="5400000" swAng="-5400000"/>
                              <a:arcTo wR="5400" hR="5400" stAng="0" swAng="-5400000"/>
                              <a:arcTo wR="5400" hR="5400" stAng="-5400000" swAng="-5400000"/>
                              <a:close/>
                            </a:path>
                          </a:pathLst>
                        </a:custGeom>
                        <a:solidFill>
                          <a:srgbClr val="FF0000"/>
                        </a:solidFill>
                        <a:ln w="9525" cap="flat" cmpd="sng">
                          <a:solidFill>
                            <a:srgbClr val="000000"/>
                          </a:solidFill>
                          <a:prstDash val="solid"/>
                          <a:headEnd type="none" w="med" len="med"/>
                          <a:tailEnd type="none" w="med" len="med"/>
                        </a:ln>
                      </wps:spPr>
                      <wps:txbx>
                        <w:txbxContent>
                          <w:p w14:paraId="5E8FE798"/>
                        </w:txbxContent>
                      </wps:txbx>
                      <wps:bodyPr upright="1"/>
                    </wps:wsp>
                  </a:graphicData>
                </a:graphic>
              </wp:anchor>
            </w:drawing>
          </mc:Choice>
          <mc:Fallback>
            <w:pict>
              <v:shape id="_x0000_s1026" o:spid="_x0000_s1026" o:spt="100" style="position:absolute;left:0pt;margin-left:223.7pt;margin-top:287.5pt;height:5.95pt;width:5.95pt;z-index:251683840;mso-width-relative:page;mso-height-relative:page;" fillcolor="#FF0000" filled="t" stroked="t" coordsize="21600,21600" o:gfxdata="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" path="m0,10800c0,4835,4835,0,10800,0c16765,0,21600,4835,21600,10800c21600,16765,16765,21600,10800,21600c4835,21600,0,16765,0,10800xm5400,10800c5400,13782,7818,16200,10800,16200c13782,16200,16200,13782,16200,10800c16200,7818,13782,5400,10800,5400c7818,5400,5400,7818,5400,10800xe">
                <v:path textboxrect="0,0,21600,21600" o:connectlocs="10800,0;3163,3163;0,10800;3163,18437;10800,21600;18437,18437;21600,10800;18437,3163" o:connectangles="0,0,0,0,0,0,0,0"/>
                <v:fill on="t" focussize="0,0"/>
                <v:stroke color="#000000" joinstyle="round"/>
                <v:imagedata o:title=""/>
                <o:lock v:ext="edit" aspectratio="f"/>
                <v:textbox>
                  <w:txbxContent>
                    <w:p w14:paraId="5E8FE798"/>
                  </w:txbxContent>
                </v:textbox>
              </v:shape>
            </w:pict>
          </mc:Fallback>
        </mc:AlternateContent>
      </w:r>
      <w:r>
        <w:drawing>
          <wp:inline distT="0" distB="0" distL="114300" distR="114300">
            <wp:extent cx="8817610" cy="5420995"/>
            <wp:effectExtent l="0" t="0" r="2540" b="8255"/>
            <wp:docPr id="84" name="图片 7" descr="09控规总图20180509方案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7" descr="09控规总图20180509方案二"/>
                    <pic:cNvPicPr>
                      <a:picLocks noChangeAspect="1"/>
                    </pic:cNvPicPr>
                  </pic:nvPicPr>
                  <pic:blipFill>
                    <a:blip r:embed="rId30"/>
                    <a:srcRect l="3406" t="2669" r="1547" b="1668"/>
                    <a:stretch>
                      <a:fillRect/>
                    </a:stretch>
                  </pic:blipFill>
                  <pic:spPr>
                    <a:xfrm>
                      <a:off x="0" y="0"/>
                      <a:ext cx="8817610" cy="5420995"/>
                    </a:xfrm>
                    <a:prstGeom prst="rect">
                      <a:avLst/>
                    </a:prstGeom>
                    <a:noFill/>
                    <a:ln>
                      <a:noFill/>
                    </a:ln>
                  </pic:spPr>
                </pic:pic>
              </a:graphicData>
            </a:graphic>
          </wp:inline>
        </w:drawing>
      </w:r>
    </w:p>
    <w:p w14:paraId="32B97A68">
      <w:pPr>
        <w:spacing w:line="240" w:lineRule="atLeast"/>
        <w:ind w:firstLine="3360" w:firstLineChars="1400"/>
        <w:jc w:val="both"/>
      </w:pPr>
      <w:r>
        <w:rPr>
          <w:rFonts w:hint="default" w:ascii="Times New Roman" w:hAnsi="Times New Roman" w:eastAsia="宋体" w:cs="Times New Roman"/>
          <w:b/>
          <w:sz w:val="24"/>
        </w:rPr>
        <w:t>附图</w:t>
      </w:r>
      <w:r>
        <w:rPr>
          <w:rFonts w:hint="default" w:ascii="Times New Roman" w:hAnsi="Times New Roman" w:eastAsia="宋体" w:cs="Times New Roman"/>
          <w:b/>
          <w:sz w:val="24"/>
          <w:lang w:val="en-US" w:eastAsia="zh-CN"/>
        </w:rPr>
        <w:t>6</w:t>
      </w:r>
      <w:r>
        <w:rPr>
          <w:rFonts w:ascii="Times New Roman" w:hAnsi="Times New Roman" w:eastAsia="宋体" w:cs="Times New Roman"/>
          <w:b/>
          <w:sz w:val="24"/>
        </w:rPr>
        <w:t xml:space="preserve"> </w:t>
      </w:r>
      <w:r>
        <w:rPr>
          <w:rFonts w:hint="default" w:ascii="Times New Roman" w:hAnsi="Times New Roman" w:eastAsia="宋体" w:cs="Times New Roman"/>
          <w:b/>
          <w:sz w:val="24"/>
        </w:rPr>
        <w:t>项目与</w:t>
      </w:r>
      <w:r>
        <w:rPr>
          <w:rFonts w:hint="default" w:ascii="Times New Roman" w:hAnsi="Times New Roman" w:eastAsia="宋体" w:cs="Times New Roman"/>
          <w:b/>
          <w:sz w:val="24"/>
          <w:lang w:val="en-US" w:eastAsia="zh-CN"/>
        </w:rPr>
        <w:t>东安经济开发区白牙市工业园</w:t>
      </w:r>
      <w:r>
        <w:rPr>
          <w:rFonts w:hint="default" w:ascii="Times New Roman" w:hAnsi="Times New Roman" w:eastAsia="宋体" w:cs="Times New Roman"/>
          <w:b/>
          <w:sz w:val="24"/>
        </w:rPr>
        <w:t>土地利用规划图示意</w:t>
      </w:r>
      <w:r>
        <w:rPr>
          <w:rFonts w:hint="default" w:ascii="Times New Roman" w:hAnsi="Times New Roman" w:eastAsia="宋体" w:cs="Times New Roman"/>
          <w:b/>
          <w:sz w:val="24"/>
          <w:lang w:val="en-US" w:eastAsia="zh-CN"/>
        </w:rPr>
        <w:t>图</w:t>
      </w:r>
    </w:p>
    <w:p w14:paraId="0423E80A">
      <w:pPr>
        <w:spacing w:line="240" w:lineRule="atLeast"/>
        <w:ind w:firstLine="0" w:firstLineChars="0"/>
        <w:jc w:val="both"/>
      </w:pPr>
      <w:r>
        <w:rPr>
          <w:sz w:val="24"/>
        </w:rPr>
        <mc:AlternateContent>
          <mc:Choice Requires="wps">
            <w:drawing>
              <wp:anchor distT="0" distB="0" distL="114300" distR="114300" simplePos="0" relativeHeight="251693056" behindDoc="0" locked="0" layoutInCell="1" allowOverlap="1">
                <wp:simplePos x="0" y="0"/>
                <wp:positionH relativeFrom="column">
                  <wp:posOffset>905510</wp:posOffset>
                </wp:positionH>
                <wp:positionV relativeFrom="paragraph">
                  <wp:posOffset>2013585</wp:posOffset>
                </wp:positionV>
                <wp:extent cx="772160" cy="297180"/>
                <wp:effectExtent l="4445" t="5080" r="633095" b="21590"/>
                <wp:wrapNone/>
                <wp:docPr id="86" name="矩形标注 86"/>
                <wp:cNvGraphicFramePr/>
                <a:graphic xmlns:a="http://schemas.openxmlformats.org/drawingml/2006/main">
                  <a:graphicData uri="http://schemas.microsoft.com/office/word/2010/wordprocessingShape">
                    <wps:wsp>
                      <wps:cNvSpPr/>
                      <wps:spPr>
                        <a:xfrm>
                          <a:off x="0" y="0"/>
                          <a:ext cx="772160" cy="297180"/>
                        </a:xfrm>
                        <a:prstGeom prst="wedgeRectCallout">
                          <a:avLst>
                            <a:gd name="adj1" fmla="val 126069"/>
                            <a:gd name="adj2" fmla="val 48504"/>
                          </a:avLst>
                        </a:prstGeom>
                        <a:solidFill>
                          <a:srgbClr val="FFFFFF"/>
                        </a:solidFill>
                        <a:ln w="9525" cap="flat" cmpd="sng">
                          <a:solidFill>
                            <a:srgbClr val="000000"/>
                          </a:solidFill>
                          <a:prstDash val="solid"/>
                          <a:miter/>
                          <a:headEnd type="none" w="med" len="med"/>
                          <a:tailEnd type="none" w="med" len="med"/>
                        </a:ln>
                      </wps:spPr>
                      <wps:txbx>
                        <w:txbxContent>
                          <w:p w14:paraId="7F7AE430">
                            <w:pPr>
                              <w:rPr>
                                <w:rFonts w:hint="eastAsia" w:eastAsia="宋体"/>
                                <w:b/>
                                <w:bCs/>
                                <w:color w:val="FF0000"/>
                                <w:lang w:eastAsia="zh-CN"/>
                              </w:rPr>
                            </w:pPr>
                            <w:r>
                              <w:rPr>
                                <w:rFonts w:hint="eastAsia"/>
                                <w:b/>
                                <w:bCs/>
                                <w:color w:val="FF0000"/>
                              </w:rPr>
                              <w:t>项目位置</w:t>
                            </w:r>
                          </w:p>
                        </w:txbxContent>
                      </wps:txbx>
                      <wps:bodyPr upright="1"/>
                    </wps:wsp>
                  </a:graphicData>
                </a:graphic>
              </wp:anchor>
            </w:drawing>
          </mc:Choice>
          <mc:Fallback>
            <w:pict>
              <v:shape id="_x0000_s1026" o:spid="_x0000_s1026" o:spt="61" type="#_x0000_t61" style="position:absolute;left:0pt;margin-left:71.3pt;margin-top:158.55pt;height:23.4pt;width:60.8pt;z-index:251693056;mso-width-relative:page;mso-height-relative:page;" fillcolor="#FFFFFF" filled="t" stroked="t" coordsize="21600,21600" o:gfxdata="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7lOg7XAAAACwEAAA8AAAAAAAAAAQAgAAAAIgAAAGRycy9kb3du&#10;cmV2LnhtbFBLAQIUABQAAAAIAIdO4kCQgTDPOQIAAI4EAAAOAAAAAAAAAAEAIAAAACYBAABkcnMv&#10;ZTJvRG9jLnhtbFBLBQYAAAAABgAGAFkBAADRBQAAAAA=&#10;" adj="38031,21277">
                <v:fill on="t" focussize="0,0"/>
                <v:stroke color="#000000" joinstyle="miter"/>
                <v:imagedata o:title=""/>
                <o:lock v:ext="edit" aspectratio="f"/>
                <v:textbox>
                  <w:txbxContent>
                    <w:p w14:paraId="7F7AE430">
                      <w:pPr>
                        <w:rPr>
                          <w:rFonts w:hint="eastAsia" w:eastAsia="宋体"/>
                          <w:b/>
                          <w:bCs/>
                          <w:color w:val="FF0000"/>
                          <w:lang w:eastAsia="zh-CN"/>
                        </w:rPr>
                      </w:pPr>
                      <w:r>
                        <w:rPr>
                          <w:rFonts w:hint="eastAsia"/>
                          <w:b/>
                          <w:bCs/>
                          <w:color w:val="FF0000"/>
                        </w:rPr>
                        <w:t>项目位置</w:t>
                      </w:r>
                    </w:p>
                  </w:txbxContent>
                </v:textbox>
              </v:shape>
            </w:pict>
          </mc:Fallback>
        </mc:AlternateContent>
      </w:r>
      <w:r>
        <w:rPr>
          <w:sz w:val="24"/>
        </w:rPr>
        <mc:AlternateContent>
          <mc:Choice Requires="wps">
            <w:drawing>
              <wp:anchor distT="0" distB="0" distL="114300" distR="114300" simplePos="0" relativeHeight="251694080" behindDoc="0" locked="0" layoutInCell="1" allowOverlap="1">
                <wp:simplePos x="0" y="0"/>
                <wp:positionH relativeFrom="column">
                  <wp:posOffset>2277745</wp:posOffset>
                </wp:positionH>
                <wp:positionV relativeFrom="paragraph">
                  <wp:posOffset>2272030</wp:posOffset>
                </wp:positionV>
                <wp:extent cx="75565" cy="75565"/>
                <wp:effectExtent l="4445" t="4445" r="15240" b="15240"/>
                <wp:wrapNone/>
                <wp:docPr id="87" name="任意多边形 87"/>
                <wp:cNvGraphicFramePr/>
                <a:graphic xmlns:a="http://schemas.openxmlformats.org/drawingml/2006/main">
                  <a:graphicData uri="http://schemas.microsoft.com/office/word/2010/wordprocessingShape">
                    <wps:wsp>
                      <wps:cNvSpPr/>
                      <wps:spPr>
                        <a:xfrm>
                          <a:off x="0" y="0"/>
                          <a:ext cx="75565" cy="75565"/>
                        </a:xfrm>
                        <a:custGeom>
                          <a:avLst/>
                          <a:gdLst>
                            <a:gd name="txL" fmla="*/ 3163 w 21600"/>
                            <a:gd name="txT" fmla="*/ 3163 h 21600"/>
                            <a:gd name="txR" fmla="*/ 18437 w 21600"/>
                            <a:gd name="txB" fmla="*/ 18437 h 21600"/>
                          </a:gdLst>
                          <a:ahLst/>
                          <a:cxnLst>
                            <a:cxn ang="270">
                              <a:pos x="10800" y="0"/>
                            </a:cxn>
                            <a:cxn ang="270">
                              <a:pos x="3163" y="3163"/>
                            </a:cxn>
                            <a:cxn ang="180">
                              <a:pos x="0" y="10800"/>
                            </a:cxn>
                            <a:cxn ang="90">
                              <a:pos x="3163" y="18437"/>
                            </a:cxn>
                            <a:cxn ang="90">
                              <a:pos x="10800" y="21600"/>
                            </a:cxn>
                            <a:cxn ang="90">
                              <a:pos x="18437" y="18437"/>
                            </a:cxn>
                            <a:cxn ang="0">
                              <a:pos x="21600" y="10800"/>
                            </a:cxn>
                            <a:cxn ang="270">
                              <a:pos x="18437" y="3163"/>
                            </a:cxn>
                          </a:cxnLst>
                          <a:rect l="txL" t="txT" r="txR" b="txB"/>
                          <a:pathLst>
                            <a:path w="21600" h="21600">
                              <a:moveTo>
                                <a:pt x="0" y="10800"/>
                              </a:moveTo>
                              <a:arcTo wR="10800" hR="10800" stAng="10800000" swAng="5400000"/>
                              <a:arcTo wR="10800" hR="10800" stAng="-5400000" swAng="5400000"/>
                              <a:arcTo wR="10800" hR="10800" stAng="0" swAng="5400000"/>
                              <a:arcTo wR="10800" hR="10800" stAng="5400000" swAng="5400000"/>
                              <a:close/>
                              <a:moveTo>
                                <a:pt x="5400" y="10800"/>
                              </a:moveTo>
                              <a:arcTo wR="5400" hR="5400" stAng="10800000" swAng="-5400000"/>
                              <a:arcTo wR="5400" hR="5400" stAng="5400000" swAng="-5400000"/>
                              <a:arcTo wR="5400" hR="5400" stAng="0" swAng="-5400000"/>
                              <a:arcTo wR="5400" hR="5400" stAng="-5400000" swAng="-5400000"/>
                              <a:close/>
                            </a:path>
                          </a:pathLst>
                        </a:custGeom>
                        <a:solidFill>
                          <a:srgbClr val="FF0000"/>
                        </a:solidFill>
                        <a:ln w="9525" cap="flat" cmpd="sng">
                          <a:solidFill>
                            <a:srgbClr val="000000"/>
                          </a:solidFill>
                          <a:prstDash val="solid"/>
                          <a:headEnd type="none" w="med" len="med"/>
                          <a:tailEnd type="none" w="med" len="med"/>
                        </a:ln>
                      </wps:spPr>
                      <wps:txbx>
                        <w:txbxContent>
                          <w:p w14:paraId="50E8422A"/>
                        </w:txbxContent>
                      </wps:txbx>
                      <wps:bodyPr upright="1"/>
                    </wps:wsp>
                  </a:graphicData>
                </a:graphic>
              </wp:anchor>
            </w:drawing>
          </mc:Choice>
          <mc:Fallback>
            <w:pict>
              <v:shape id="_x0000_s1026" o:spid="_x0000_s1026" o:spt="100" style="position:absolute;left:0pt;margin-left:179.35pt;margin-top:178.9pt;height:5.95pt;width:5.95pt;z-index:251694080;mso-width-relative:page;mso-height-relative:page;" fillcolor="#FF0000" filled="t" stroked="t" coordsize="21600,21600" o:gfxdata="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" path="m0,10800c0,4835,4835,0,10800,0c16765,0,21600,4835,21600,10800c21600,16765,16765,21600,10800,21600c4835,21600,0,16765,0,10800xm5400,10800c5400,13782,7818,16200,10800,16200c13782,16200,16200,13782,16200,10800c16200,7818,13782,5400,10800,5400c7818,5400,5400,7818,5400,10800xe">
                <v:path textboxrect="0,0,21600,21600" o:connectlocs="10800,0;3163,3163;0,10800;3163,18437;10800,21600;18437,18437;21600,10800;18437,3163" o:connectangles="0,0,0,0,0,0,0,0"/>
                <v:fill on="t" focussize="0,0"/>
                <v:stroke color="#000000" joinstyle="round"/>
                <v:imagedata o:title=""/>
                <o:lock v:ext="edit" aspectratio="f"/>
                <v:textbox>
                  <w:txbxContent>
                    <w:p w14:paraId="50E8422A"/>
                  </w:txbxContent>
                </v:textbox>
              </v:shape>
            </w:pict>
          </mc:Fallback>
        </mc:AlternateContent>
      </w:r>
      <w:r>
        <w:drawing>
          <wp:inline distT="0" distB="0" distL="114300" distR="114300">
            <wp:extent cx="7813675" cy="5419090"/>
            <wp:effectExtent l="0" t="0" r="15875" b="10160"/>
            <wp:docPr id="8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6"/>
                    <pic:cNvPicPr>
                      <a:picLocks noChangeAspect="1"/>
                    </pic:cNvPicPr>
                  </pic:nvPicPr>
                  <pic:blipFill>
                    <a:blip r:embed="rId31"/>
                    <a:stretch>
                      <a:fillRect/>
                    </a:stretch>
                  </pic:blipFill>
                  <pic:spPr>
                    <a:xfrm>
                      <a:off x="0" y="0"/>
                      <a:ext cx="7813675" cy="5419090"/>
                    </a:xfrm>
                    <a:prstGeom prst="rect">
                      <a:avLst/>
                    </a:prstGeom>
                    <a:noFill/>
                    <a:ln>
                      <a:noFill/>
                    </a:ln>
                  </pic:spPr>
                </pic:pic>
              </a:graphicData>
            </a:graphic>
          </wp:inline>
        </w:drawing>
      </w:r>
    </w:p>
    <w:p w14:paraId="24CF241F">
      <w:pPr>
        <w:spacing w:line="240" w:lineRule="atLeast"/>
        <w:ind w:firstLine="4080" w:firstLineChars="1700"/>
        <w:jc w:val="both"/>
        <w:rPr>
          <w:rFonts w:hint="default" w:ascii="Times New Roman" w:hAnsi="Times New Roman" w:eastAsia="宋体" w:cs="Times New Roman"/>
          <w:lang w:val="en-US" w:eastAsia="zh-CN"/>
        </w:rPr>
        <w:sectPr>
          <w:pgSz w:w="16838" w:h="11906" w:orient="landscape"/>
          <w:pgMar w:top="1418" w:right="1440" w:bottom="1191" w:left="1440" w:header="851" w:footer="992" w:gutter="0"/>
          <w:pgBorders>
            <w:top w:val="none" w:sz="0" w:space="0"/>
            <w:left w:val="none" w:sz="0" w:space="0"/>
            <w:bottom w:val="none" w:sz="0" w:space="0"/>
            <w:right w:val="none" w:sz="0" w:space="0"/>
          </w:pgBorders>
          <w:cols w:space="720" w:num="1"/>
          <w:docGrid w:type="linesAndChars" w:linePitch="312" w:charSpace="0"/>
        </w:sectPr>
      </w:pPr>
      <w:r>
        <w:rPr>
          <w:rFonts w:hint="default" w:ascii="Times New Roman" w:hAnsi="Times New Roman" w:eastAsia="宋体" w:cs="Times New Roman"/>
          <w:b/>
          <w:sz w:val="24"/>
        </w:rPr>
        <w:t>附图</w:t>
      </w:r>
      <w:r>
        <w:rPr>
          <w:rFonts w:hint="default" w:ascii="Times New Roman" w:hAnsi="Times New Roman" w:eastAsia="宋体" w:cs="Times New Roman"/>
          <w:b/>
          <w:sz w:val="24"/>
          <w:lang w:val="en-US" w:eastAsia="zh-CN"/>
        </w:rPr>
        <w:t>7</w:t>
      </w:r>
      <w:r>
        <w:rPr>
          <w:rFonts w:ascii="Times New Roman" w:hAnsi="Times New Roman" w:eastAsia="宋体" w:cs="Times New Roman"/>
          <w:b/>
          <w:sz w:val="24"/>
        </w:rPr>
        <w:t xml:space="preserve"> </w:t>
      </w:r>
      <w:r>
        <w:rPr>
          <w:rFonts w:hint="default" w:ascii="Times New Roman" w:hAnsi="Times New Roman" w:eastAsia="宋体" w:cs="Times New Roman"/>
          <w:b/>
          <w:sz w:val="24"/>
          <w:lang w:val="en-US" w:eastAsia="zh-CN"/>
        </w:rPr>
        <w:t>东安经济开发区白牙市工业园污水管网图</w:t>
      </w:r>
    </w:p>
    <w:p w14:paraId="539475A2">
      <w:pPr>
        <w:spacing w:line="276" w:lineRule="auto"/>
        <w:rPr>
          <w:rFonts w:hint="default"/>
          <w:b/>
          <w:sz w:val="28"/>
          <w:szCs w:val="28"/>
        </w:rPr>
      </w:pPr>
      <w:r>
        <w:rPr>
          <w:rFonts w:hint="default"/>
          <w:b/>
          <w:sz w:val="28"/>
          <w:szCs w:val="28"/>
        </w:rPr>
        <w:t>附件1：委托书</w:t>
      </w:r>
    </w:p>
    <w:p w14:paraId="013B501A">
      <w:pPr>
        <w:pStyle w:val="22"/>
        <w:rPr>
          <w:rFonts w:hint="default" w:ascii="Times New Roman" w:hAnsi="Times New Roman" w:cs="Times New Roman"/>
        </w:rPr>
      </w:pPr>
      <w:r>
        <w:drawing>
          <wp:inline distT="0" distB="0" distL="114300" distR="114300">
            <wp:extent cx="5010150" cy="7277100"/>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32"/>
                    <a:stretch>
                      <a:fillRect/>
                    </a:stretch>
                  </pic:blipFill>
                  <pic:spPr>
                    <a:xfrm>
                      <a:off x="0" y="0"/>
                      <a:ext cx="5010150" cy="7277100"/>
                    </a:xfrm>
                    <a:prstGeom prst="rect">
                      <a:avLst/>
                    </a:prstGeom>
                    <a:noFill/>
                    <a:ln>
                      <a:noFill/>
                    </a:ln>
                  </pic:spPr>
                </pic:pic>
              </a:graphicData>
            </a:graphic>
          </wp:inline>
        </w:drawing>
      </w:r>
    </w:p>
    <w:p w14:paraId="12D2B0A0">
      <w:pPr>
        <w:spacing w:line="276" w:lineRule="auto"/>
        <w:jc w:val="left"/>
        <w:rPr>
          <w:rFonts w:hint="default"/>
          <w:b/>
          <w:sz w:val="28"/>
          <w:szCs w:val="28"/>
        </w:rPr>
      </w:pPr>
    </w:p>
    <w:p w14:paraId="7F8B4416">
      <w:pPr>
        <w:spacing w:line="276" w:lineRule="auto"/>
        <w:jc w:val="left"/>
        <w:rPr>
          <w:rFonts w:hint="default"/>
          <w:b/>
          <w:sz w:val="28"/>
          <w:szCs w:val="28"/>
        </w:rPr>
      </w:pPr>
    </w:p>
    <w:p w14:paraId="5EF348A7">
      <w:pPr>
        <w:spacing w:line="276" w:lineRule="auto"/>
        <w:jc w:val="left"/>
        <w:rPr>
          <w:rFonts w:hint="default"/>
          <w:b/>
          <w:sz w:val="28"/>
          <w:szCs w:val="28"/>
        </w:rPr>
      </w:pPr>
    </w:p>
    <w:p w14:paraId="3D5DC6A1">
      <w:pPr>
        <w:spacing w:line="276" w:lineRule="auto"/>
        <w:jc w:val="left"/>
        <w:rPr>
          <w:rFonts w:hint="default"/>
          <w:b/>
          <w:sz w:val="28"/>
          <w:szCs w:val="28"/>
        </w:rPr>
      </w:pPr>
    </w:p>
    <w:p w14:paraId="0701907C">
      <w:pPr>
        <w:spacing w:line="276" w:lineRule="auto"/>
        <w:jc w:val="left"/>
        <w:rPr>
          <w:rFonts w:hint="default"/>
          <w:b/>
          <w:sz w:val="28"/>
          <w:szCs w:val="28"/>
        </w:rPr>
      </w:pPr>
      <w:r>
        <w:rPr>
          <w:rFonts w:hint="default"/>
          <w:b/>
          <w:sz w:val="28"/>
          <w:szCs w:val="28"/>
        </w:rPr>
        <w:t>附件2：营业执照</w:t>
      </w:r>
    </w:p>
    <w:p w14:paraId="668555A7">
      <w:pPr>
        <w:jc w:val="center"/>
      </w:pPr>
      <w:r>
        <w:drawing>
          <wp:inline distT="0" distB="0" distL="114300" distR="114300">
            <wp:extent cx="7793990" cy="4832350"/>
            <wp:effectExtent l="0" t="0" r="6350" b="16510"/>
            <wp:docPr id="5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8"/>
                    <pic:cNvPicPr>
                      <a:picLocks noChangeAspect="1"/>
                    </pic:cNvPicPr>
                  </pic:nvPicPr>
                  <pic:blipFill>
                    <a:blip r:embed="rId33"/>
                    <a:srcRect r="3347"/>
                    <a:stretch>
                      <a:fillRect/>
                    </a:stretch>
                  </pic:blipFill>
                  <pic:spPr>
                    <a:xfrm rot="-5400000">
                      <a:off x="0" y="0"/>
                      <a:ext cx="7793990" cy="4832350"/>
                    </a:xfrm>
                    <a:prstGeom prst="rect">
                      <a:avLst/>
                    </a:prstGeom>
                    <a:noFill/>
                    <a:ln>
                      <a:noFill/>
                    </a:ln>
                  </pic:spPr>
                </pic:pic>
              </a:graphicData>
            </a:graphic>
          </wp:inline>
        </w:drawing>
      </w:r>
    </w:p>
    <w:p w14:paraId="7D81679B"/>
    <w:p w14:paraId="780E17F9">
      <w:pPr>
        <w:rPr>
          <w:rFonts w:hint="default"/>
          <w:lang w:val="en-US" w:eastAsia="zh-CN"/>
        </w:rPr>
      </w:pPr>
    </w:p>
    <w:p w14:paraId="1AD4E872">
      <w:pPr>
        <w:spacing w:line="276" w:lineRule="auto"/>
        <w:jc w:val="left"/>
        <w:rPr>
          <w:rFonts w:hint="default" w:eastAsia="宋体"/>
          <w:b/>
          <w:sz w:val="28"/>
          <w:szCs w:val="28"/>
          <w:lang w:val="en-US" w:eastAsia="zh-CN"/>
        </w:rPr>
      </w:pPr>
      <w:r>
        <w:rPr>
          <w:rFonts w:hint="default"/>
          <w:b/>
          <w:sz w:val="28"/>
          <w:szCs w:val="28"/>
        </w:rPr>
        <w:t>附件</w:t>
      </w:r>
      <w:r>
        <w:rPr>
          <w:rFonts w:hint="default"/>
          <w:b/>
          <w:sz w:val="28"/>
          <w:szCs w:val="28"/>
          <w:lang w:val="en-US" w:eastAsia="zh-CN"/>
        </w:rPr>
        <w:t>3</w:t>
      </w:r>
      <w:r>
        <w:rPr>
          <w:rFonts w:hint="default"/>
          <w:b/>
          <w:sz w:val="28"/>
          <w:szCs w:val="28"/>
        </w:rPr>
        <w:t>：</w:t>
      </w:r>
      <w:r>
        <w:rPr>
          <w:rFonts w:hint="default"/>
          <w:b/>
          <w:sz w:val="28"/>
          <w:szCs w:val="28"/>
          <w:lang w:val="en-US" w:eastAsia="zh-CN"/>
        </w:rPr>
        <w:t>租赁合同</w:t>
      </w:r>
    </w:p>
    <w:p w14:paraId="0FEF91AF">
      <w:pPr>
        <w:spacing w:line="276" w:lineRule="auto"/>
        <w:jc w:val="left"/>
        <w:rPr>
          <w:rFonts w:hint="default"/>
          <w:b/>
          <w:sz w:val="28"/>
          <w:szCs w:val="28"/>
          <w:lang w:val="en-US" w:eastAsia="zh-CN"/>
        </w:rPr>
      </w:pPr>
      <w:r>
        <w:rPr>
          <w:rFonts w:hint="default"/>
          <w:b/>
          <w:sz w:val="28"/>
          <w:szCs w:val="28"/>
          <w:lang w:val="en-US" w:eastAsia="zh-CN"/>
        </w:rPr>
        <w:drawing>
          <wp:inline distT="0" distB="0" distL="114300" distR="114300">
            <wp:extent cx="4801235" cy="7263130"/>
            <wp:effectExtent l="0" t="0" r="0" b="0"/>
            <wp:docPr id="5" name="图片 5" descr="b99c154e0c9a5a79637e590bc9d11b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b99c154e0c9a5a79637e590bc9d11bfe"/>
                    <pic:cNvPicPr>
                      <a:picLocks noChangeAspect="1"/>
                    </pic:cNvPicPr>
                  </pic:nvPicPr>
                  <pic:blipFill>
                    <a:blip r:embed="rId34"/>
                    <a:srcRect l="7636" t="2514" r="6443"/>
                    <a:stretch>
                      <a:fillRect/>
                    </a:stretch>
                  </pic:blipFill>
                  <pic:spPr>
                    <a:xfrm>
                      <a:off x="0" y="0"/>
                      <a:ext cx="4801235" cy="7263130"/>
                    </a:xfrm>
                    <a:prstGeom prst="rect">
                      <a:avLst/>
                    </a:prstGeom>
                  </pic:spPr>
                </pic:pic>
              </a:graphicData>
            </a:graphic>
          </wp:inline>
        </w:drawing>
      </w:r>
    </w:p>
    <w:p w14:paraId="3656C841">
      <w:pPr>
        <w:spacing w:line="276" w:lineRule="auto"/>
        <w:jc w:val="left"/>
        <w:rPr>
          <w:rFonts w:hint="default"/>
          <w:b/>
          <w:sz w:val="28"/>
          <w:szCs w:val="28"/>
          <w:lang w:val="en-US" w:eastAsia="zh-CN"/>
        </w:rPr>
      </w:pPr>
    </w:p>
    <w:p w14:paraId="11E0E9C6">
      <w:pPr>
        <w:spacing w:line="276" w:lineRule="auto"/>
        <w:jc w:val="left"/>
        <w:rPr>
          <w:rFonts w:hint="default"/>
          <w:b/>
          <w:sz w:val="28"/>
          <w:szCs w:val="28"/>
          <w:lang w:val="en-US" w:eastAsia="zh-CN"/>
        </w:rPr>
      </w:pPr>
    </w:p>
    <w:p w14:paraId="072C1D90">
      <w:pPr>
        <w:spacing w:line="276" w:lineRule="auto"/>
        <w:jc w:val="left"/>
        <w:rPr>
          <w:rFonts w:hint="default"/>
          <w:b/>
          <w:sz w:val="28"/>
          <w:szCs w:val="28"/>
          <w:lang w:val="en-US" w:eastAsia="zh-CN"/>
        </w:rPr>
      </w:pPr>
    </w:p>
    <w:p w14:paraId="65EC9BD9">
      <w:pPr>
        <w:spacing w:line="276" w:lineRule="auto"/>
        <w:jc w:val="left"/>
        <w:rPr>
          <w:rFonts w:hint="default"/>
          <w:b/>
          <w:sz w:val="28"/>
          <w:szCs w:val="28"/>
          <w:lang w:val="en-US" w:eastAsia="zh-CN"/>
        </w:rPr>
      </w:pPr>
    </w:p>
    <w:p w14:paraId="75B3569D">
      <w:pPr>
        <w:spacing w:line="276" w:lineRule="auto"/>
        <w:jc w:val="left"/>
        <w:rPr>
          <w:rFonts w:hint="default"/>
          <w:b/>
          <w:sz w:val="28"/>
          <w:szCs w:val="28"/>
          <w:lang w:val="en-US" w:eastAsia="zh-CN"/>
        </w:rPr>
      </w:pPr>
      <w:r>
        <w:rPr>
          <w:rFonts w:hint="default"/>
          <w:b/>
          <w:sz w:val="28"/>
          <w:szCs w:val="28"/>
        </w:rPr>
        <w:t>附件</w:t>
      </w:r>
      <w:r>
        <w:rPr>
          <w:rFonts w:hint="default"/>
          <w:b/>
          <w:sz w:val="28"/>
          <w:szCs w:val="28"/>
          <w:lang w:val="en-US" w:eastAsia="zh-CN"/>
        </w:rPr>
        <w:t>4</w:t>
      </w:r>
      <w:r>
        <w:rPr>
          <w:rFonts w:hint="default"/>
          <w:b/>
          <w:sz w:val="28"/>
          <w:szCs w:val="28"/>
        </w:rPr>
        <w:t>：</w:t>
      </w:r>
      <w:r>
        <w:rPr>
          <w:rFonts w:hint="default"/>
          <w:b/>
          <w:sz w:val="28"/>
          <w:szCs w:val="28"/>
          <w:lang w:val="en-US" w:eastAsia="zh-CN"/>
        </w:rPr>
        <w:t>湘环评函【2025】16号</w:t>
      </w:r>
    </w:p>
    <w:p w14:paraId="1DA2A43D">
      <w:pPr>
        <w:spacing w:line="276" w:lineRule="auto"/>
        <w:jc w:val="left"/>
        <w:rPr>
          <w:rFonts w:hint="default"/>
          <w:b/>
          <w:sz w:val="28"/>
          <w:szCs w:val="28"/>
          <w:lang w:val="en-US" w:eastAsia="zh-CN"/>
        </w:rPr>
      </w:pPr>
    </w:p>
    <w:p w14:paraId="59860666">
      <w:pPr>
        <w:spacing w:line="276" w:lineRule="auto"/>
        <w:jc w:val="left"/>
      </w:pPr>
      <w:r>
        <w:drawing>
          <wp:inline distT="0" distB="0" distL="114300" distR="114300">
            <wp:extent cx="5429250" cy="7724775"/>
            <wp:effectExtent l="0" t="0" r="0" b="9525"/>
            <wp:docPr id="6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0"/>
                    <pic:cNvPicPr>
                      <a:picLocks noChangeAspect="1"/>
                    </pic:cNvPicPr>
                  </pic:nvPicPr>
                  <pic:blipFill>
                    <a:blip r:embed="rId35"/>
                    <a:stretch>
                      <a:fillRect/>
                    </a:stretch>
                  </pic:blipFill>
                  <pic:spPr>
                    <a:xfrm>
                      <a:off x="0" y="0"/>
                      <a:ext cx="5429250" cy="7724775"/>
                    </a:xfrm>
                    <a:prstGeom prst="rect">
                      <a:avLst/>
                    </a:prstGeom>
                    <a:noFill/>
                    <a:ln>
                      <a:noFill/>
                    </a:ln>
                  </pic:spPr>
                </pic:pic>
              </a:graphicData>
            </a:graphic>
          </wp:inline>
        </w:drawing>
      </w:r>
    </w:p>
    <w:p w14:paraId="71517B97">
      <w:pPr>
        <w:spacing w:line="276" w:lineRule="auto"/>
        <w:jc w:val="left"/>
      </w:pPr>
    </w:p>
    <w:p w14:paraId="648CA96F">
      <w:pPr>
        <w:spacing w:line="276" w:lineRule="auto"/>
        <w:jc w:val="left"/>
      </w:pPr>
      <w:r>
        <w:drawing>
          <wp:inline distT="0" distB="0" distL="114300" distR="114300">
            <wp:extent cx="5612765" cy="7642860"/>
            <wp:effectExtent l="0" t="0" r="6985" b="15240"/>
            <wp:docPr id="4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1"/>
                    <pic:cNvPicPr>
                      <a:picLocks noChangeAspect="1"/>
                    </pic:cNvPicPr>
                  </pic:nvPicPr>
                  <pic:blipFill>
                    <a:blip r:embed="rId36"/>
                    <a:stretch>
                      <a:fillRect/>
                    </a:stretch>
                  </pic:blipFill>
                  <pic:spPr>
                    <a:xfrm>
                      <a:off x="0" y="0"/>
                      <a:ext cx="5612765" cy="7642860"/>
                    </a:xfrm>
                    <a:prstGeom prst="rect">
                      <a:avLst/>
                    </a:prstGeom>
                    <a:noFill/>
                    <a:ln>
                      <a:noFill/>
                    </a:ln>
                  </pic:spPr>
                </pic:pic>
              </a:graphicData>
            </a:graphic>
          </wp:inline>
        </w:drawing>
      </w:r>
    </w:p>
    <w:p w14:paraId="3954E61B">
      <w:pPr>
        <w:spacing w:line="276" w:lineRule="auto"/>
        <w:jc w:val="left"/>
      </w:pPr>
    </w:p>
    <w:p w14:paraId="7A217B7D">
      <w:pPr>
        <w:spacing w:line="276" w:lineRule="auto"/>
        <w:jc w:val="left"/>
      </w:pPr>
    </w:p>
    <w:p w14:paraId="5B173B65">
      <w:pPr>
        <w:spacing w:line="276" w:lineRule="auto"/>
        <w:jc w:val="left"/>
      </w:pPr>
      <w:r>
        <w:drawing>
          <wp:inline distT="0" distB="0" distL="114300" distR="114300">
            <wp:extent cx="5486400" cy="7553325"/>
            <wp:effectExtent l="0" t="0" r="0" b="9525"/>
            <wp:docPr id="3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2"/>
                    <pic:cNvPicPr>
                      <a:picLocks noChangeAspect="1"/>
                    </pic:cNvPicPr>
                  </pic:nvPicPr>
                  <pic:blipFill>
                    <a:blip r:embed="rId37"/>
                    <a:stretch>
                      <a:fillRect/>
                    </a:stretch>
                  </pic:blipFill>
                  <pic:spPr>
                    <a:xfrm>
                      <a:off x="0" y="0"/>
                      <a:ext cx="5486400" cy="7553325"/>
                    </a:xfrm>
                    <a:prstGeom prst="rect">
                      <a:avLst/>
                    </a:prstGeom>
                    <a:noFill/>
                    <a:ln>
                      <a:noFill/>
                    </a:ln>
                  </pic:spPr>
                </pic:pic>
              </a:graphicData>
            </a:graphic>
          </wp:inline>
        </w:drawing>
      </w:r>
    </w:p>
    <w:p w14:paraId="20CA2BC8">
      <w:pPr>
        <w:spacing w:line="276" w:lineRule="auto"/>
        <w:jc w:val="left"/>
      </w:pPr>
    </w:p>
    <w:p w14:paraId="1E7C2DE1">
      <w:pPr>
        <w:spacing w:line="276" w:lineRule="auto"/>
        <w:jc w:val="left"/>
      </w:pPr>
    </w:p>
    <w:p w14:paraId="3D123A90">
      <w:pPr>
        <w:spacing w:line="276" w:lineRule="auto"/>
        <w:jc w:val="left"/>
        <w:rPr>
          <w:rFonts w:hint="default"/>
          <w:lang w:val="en-US" w:eastAsia="zh-CN"/>
        </w:rPr>
      </w:pPr>
    </w:p>
    <w:p w14:paraId="48DD53DA">
      <w:pPr>
        <w:pStyle w:val="4"/>
        <w:rPr>
          <w:rFonts w:hint="default" w:ascii="Times New Roman" w:cs="Times New Roman"/>
        </w:rPr>
      </w:pPr>
      <w:r>
        <w:rPr>
          <w:rFonts w:hint="default" w:ascii="Times New Roman" w:cs="Times New Roman"/>
        </w:rPr>
        <w:drawing>
          <wp:inline distT="0" distB="0" distL="114300" distR="114300">
            <wp:extent cx="5505450" cy="7419975"/>
            <wp:effectExtent l="0" t="0" r="0" b="9525"/>
            <wp:docPr id="39"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3"/>
                    <pic:cNvPicPr>
                      <a:picLocks noChangeAspect="1"/>
                    </pic:cNvPicPr>
                  </pic:nvPicPr>
                  <pic:blipFill>
                    <a:blip r:embed="rId38"/>
                    <a:stretch>
                      <a:fillRect/>
                    </a:stretch>
                  </pic:blipFill>
                  <pic:spPr>
                    <a:xfrm>
                      <a:off x="0" y="0"/>
                      <a:ext cx="5505450" cy="7419975"/>
                    </a:xfrm>
                    <a:prstGeom prst="rect">
                      <a:avLst/>
                    </a:prstGeom>
                    <a:noFill/>
                    <a:ln>
                      <a:noFill/>
                    </a:ln>
                  </pic:spPr>
                </pic:pic>
              </a:graphicData>
            </a:graphic>
          </wp:inline>
        </w:drawing>
      </w:r>
    </w:p>
    <w:p w14:paraId="4E47C312"/>
    <w:p w14:paraId="7882C70A"/>
    <w:p w14:paraId="3A518E41"/>
    <w:p w14:paraId="4C7C6FCC">
      <w:r>
        <w:drawing>
          <wp:inline distT="0" distB="0" distL="114300" distR="114300">
            <wp:extent cx="5505450" cy="7172325"/>
            <wp:effectExtent l="0" t="0" r="0" b="9525"/>
            <wp:docPr id="4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4"/>
                    <pic:cNvPicPr>
                      <a:picLocks noChangeAspect="1"/>
                    </pic:cNvPicPr>
                  </pic:nvPicPr>
                  <pic:blipFill>
                    <a:blip r:embed="rId39"/>
                    <a:stretch>
                      <a:fillRect/>
                    </a:stretch>
                  </pic:blipFill>
                  <pic:spPr>
                    <a:xfrm>
                      <a:off x="0" y="0"/>
                      <a:ext cx="5505450" cy="7172325"/>
                    </a:xfrm>
                    <a:prstGeom prst="rect">
                      <a:avLst/>
                    </a:prstGeom>
                    <a:noFill/>
                    <a:ln>
                      <a:noFill/>
                    </a:ln>
                  </pic:spPr>
                </pic:pic>
              </a:graphicData>
            </a:graphic>
          </wp:inline>
        </w:drawing>
      </w:r>
    </w:p>
    <w:p w14:paraId="142A7055"/>
    <w:p w14:paraId="041FD4E1">
      <w:pPr>
        <w:rPr>
          <w:rFonts w:hint="default"/>
          <w:lang w:eastAsia="zh-CN"/>
        </w:rPr>
      </w:pPr>
    </w:p>
    <w:p w14:paraId="1ABF426C"/>
    <w:p w14:paraId="747A7803"/>
    <w:p w14:paraId="26B6942C"/>
    <w:p w14:paraId="2A5B24CC"/>
    <w:p w14:paraId="63DAD182"/>
    <w:p w14:paraId="30B8C789">
      <w:pPr>
        <w:spacing w:line="276" w:lineRule="auto"/>
        <w:jc w:val="left"/>
      </w:pPr>
    </w:p>
    <w:p w14:paraId="0689D8FB">
      <w:pPr>
        <w:spacing w:line="276" w:lineRule="auto"/>
        <w:jc w:val="left"/>
      </w:pPr>
    </w:p>
    <w:p w14:paraId="68640CFC">
      <w:pPr>
        <w:spacing w:line="276" w:lineRule="auto"/>
        <w:jc w:val="left"/>
        <w:rPr>
          <w:rFonts w:hint="default" w:ascii="Times New Roman" w:hAnsi="Times New Roman" w:eastAsia="宋体" w:cs="Times New Roman"/>
          <w:b/>
          <w:sz w:val="28"/>
          <w:szCs w:val="28"/>
          <w:lang w:val="en-US" w:eastAsia="zh-CN"/>
        </w:rPr>
      </w:pPr>
      <w:r>
        <w:rPr>
          <w:rFonts w:hint="default" w:ascii="Times New Roman" w:hAnsi="Times New Roman" w:eastAsia="宋体" w:cs="Times New Roman"/>
          <w:b/>
          <w:sz w:val="28"/>
          <w:szCs w:val="28"/>
        </w:rPr>
        <w:t>附件</w:t>
      </w:r>
      <w:r>
        <w:rPr>
          <w:rFonts w:hint="default" w:ascii="Times New Roman" w:hAnsi="Times New Roman" w:eastAsia="宋体" w:cs="Times New Roman"/>
          <w:b/>
          <w:sz w:val="28"/>
          <w:szCs w:val="28"/>
          <w:lang w:val="en-US" w:eastAsia="zh-CN"/>
        </w:rPr>
        <w:t>5</w:t>
      </w:r>
      <w:r>
        <w:rPr>
          <w:rFonts w:hint="default" w:ascii="Times New Roman" w:hAnsi="Times New Roman" w:eastAsia="宋体" w:cs="Times New Roman"/>
          <w:b/>
          <w:sz w:val="28"/>
          <w:szCs w:val="28"/>
        </w:rPr>
        <w:t>：</w:t>
      </w:r>
      <w:r>
        <w:rPr>
          <w:rFonts w:hint="default" w:ascii="Times New Roman" w:hAnsi="Times New Roman" w:eastAsia="宋体" w:cs="Times New Roman"/>
          <w:b/>
          <w:sz w:val="28"/>
          <w:szCs w:val="28"/>
          <w:lang w:val="en-US" w:eastAsia="zh-CN"/>
        </w:rPr>
        <w:t>安全技术说明书(橡胶</w:t>
      </w:r>
      <w:r>
        <w:rPr>
          <w:rFonts w:hint="eastAsia" w:cs="Times New Roman"/>
          <w:b/>
          <w:sz w:val="28"/>
          <w:szCs w:val="28"/>
          <w:lang w:val="en-US" w:eastAsia="zh-CN"/>
        </w:rPr>
        <w:t>石蜡</w:t>
      </w:r>
      <w:r>
        <w:rPr>
          <w:rFonts w:hint="default" w:ascii="Times New Roman" w:hAnsi="Times New Roman" w:eastAsia="宋体" w:cs="Times New Roman"/>
          <w:b/>
          <w:sz w:val="28"/>
          <w:szCs w:val="28"/>
          <w:lang w:val="en-US" w:eastAsia="zh-CN"/>
        </w:rPr>
        <w:t>油MSDS)</w:t>
      </w:r>
    </w:p>
    <w:p w14:paraId="2552408D">
      <w:pPr>
        <w:spacing w:line="276" w:lineRule="auto"/>
        <w:jc w:val="left"/>
      </w:pPr>
      <w:r>
        <w:drawing>
          <wp:inline distT="0" distB="0" distL="114300" distR="114300">
            <wp:extent cx="5238750" cy="7448550"/>
            <wp:effectExtent l="0" t="0" r="0" b="0"/>
            <wp:docPr id="58"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5"/>
                    <pic:cNvPicPr>
                      <a:picLocks noChangeAspect="1"/>
                    </pic:cNvPicPr>
                  </pic:nvPicPr>
                  <pic:blipFill>
                    <a:blip r:embed="rId40"/>
                    <a:stretch>
                      <a:fillRect/>
                    </a:stretch>
                  </pic:blipFill>
                  <pic:spPr>
                    <a:xfrm>
                      <a:off x="0" y="0"/>
                      <a:ext cx="5238750" cy="7448550"/>
                    </a:xfrm>
                    <a:prstGeom prst="rect">
                      <a:avLst/>
                    </a:prstGeom>
                    <a:noFill/>
                    <a:ln>
                      <a:noFill/>
                    </a:ln>
                  </pic:spPr>
                </pic:pic>
              </a:graphicData>
            </a:graphic>
          </wp:inline>
        </w:drawing>
      </w:r>
    </w:p>
    <w:p w14:paraId="623EB773">
      <w:pPr>
        <w:spacing w:line="276" w:lineRule="auto"/>
        <w:jc w:val="left"/>
      </w:pPr>
    </w:p>
    <w:p w14:paraId="77BBE0AD">
      <w:pPr>
        <w:spacing w:line="276" w:lineRule="auto"/>
        <w:jc w:val="left"/>
      </w:pPr>
    </w:p>
    <w:p w14:paraId="4B85656C">
      <w:pPr>
        <w:spacing w:line="276" w:lineRule="auto"/>
        <w:jc w:val="left"/>
      </w:pPr>
      <w:r>
        <w:drawing>
          <wp:inline distT="0" distB="0" distL="114300" distR="114300">
            <wp:extent cx="5172075" cy="7210425"/>
            <wp:effectExtent l="0" t="0" r="9525" b="9525"/>
            <wp:docPr id="6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6"/>
                    <pic:cNvPicPr>
                      <a:picLocks noChangeAspect="1"/>
                    </pic:cNvPicPr>
                  </pic:nvPicPr>
                  <pic:blipFill>
                    <a:blip r:embed="rId41"/>
                    <a:stretch>
                      <a:fillRect/>
                    </a:stretch>
                  </pic:blipFill>
                  <pic:spPr>
                    <a:xfrm>
                      <a:off x="0" y="0"/>
                      <a:ext cx="5172075" cy="7210425"/>
                    </a:xfrm>
                    <a:prstGeom prst="rect">
                      <a:avLst/>
                    </a:prstGeom>
                    <a:noFill/>
                    <a:ln>
                      <a:noFill/>
                    </a:ln>
                  </pic:spPr>
                </pic:pic>
              </a:graphicData>
            </a:graphic>
          </wp:inline>
        </w:drawing>
      </w:r>
    </w:p>
    <w:p w14:paraId="378C6D4F">
      <w:pPr>
        <w:spacing w:line="276" w:lineRule="auto"/>
        <w:jc w:val="left"/>
      </w:pPr>
    </w:p>
    <w:p w14:paraId="7A0DF901">
      <w:pPr>
        <w:spacing w:line="276" w:lineRule="auto"/>
        <w:jc w:val="left"/>
      </w:pPr>
    </w:p>
    <w:p w14:paraId="61771D20">
      <w:pPr>
        <w:spacing w:line="276" w:lineRule="auto"/>
        <w:jc w:val="left"/>
      </w:pPr>
    </w:p>
    <w:p w14:paraId="76CAC5DB">
      <w:pPr>
        <w:spacing w:line="276" w:lineRule="auto"/>
        <w:jc w:val="left"/>
      </w:pPr>
    </w:p>
    <w:p w14:paraId="509FAFC2">
      <w:pPr>
        <w:spacing w:line="276" w:lineRule="auto"/>
        <w:jc w:val="left"/>
      </w:pPr>
    </w:p>
    <w:p w14:paraId="5B4B8C24">
      <w:pPr>
        <w:spacing w:line="276" w:lineRule="auto"/>
        <w:jc w:val="left"/>
      </w:pPr>
    </w:p>
    <w:p w14:paraId="5E74A268">
      <w:pPr>
        <w:spacing w:line="276" w:lineRule="auto"/>
        <w:jc w:val="left"/>
      </w:pPr>
    </w:p>
    <w:p w14:paraId="09BE76ED">
      <w:pPr>
        <w:spacing w:line="276" w:lineRule="auto"/>
        <w:jc w:val="left"/>
      </w:pPr>
      <w:r>
        <w:drawing>
          <wp:inline distT="0" distB="0" distL="114300" distR="114300">
            <wp:extent cx="5181600" cy="6829425"/>
            <wp:effectExtent l="0" t="0" r="0" b="9525"/>
            <wp:docPr id="4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7"/>
                    <pic:cNvPicPr>
                      <a:picLocks noChangeAspect="1"/>
                    </pic:cNvPicPr>
                  </pic:nvPicPr>
                  <pic:blipFill>
                    <a:blip r:embed="rId42"/>
                    <a:stretch>
                      <a:fillRect/>
                    </a:stretch>
                  </pic:blipFill>
                  <pic:spPr>
                    <a:xfrm>
                      <a:off x="0" y="0"/>
                      <a:ext cx="5181600" cy="6829425"/>
                    </a:xfrm>
                    <a:prstGeom prst="rect">
                      <a:avLst/>
                    </a:prstGeom>
                    <a:noFill/>
                    <a:ln>
                      <a:noFill/>
                    </a:ln>
                  </pic:spPr>
                </pic:pic>
              </a:graphicData>
            </a:graphic>
          </wp:inline>
        </w:drawing>
      </w:r>
    </w:p>
    <w:p w14:paraId="5C67AF70">
      <w:pPr>
        <w:spacing w:line="276" w:lineRule="auto"/>
        <w:jc w:val="left"/>
      </w:pPr>
    </w:p>
    <w:p w14:paraId="0A3F53C4">
      <w:pPr>
        <w:spacing w:line="276" w:lineRule="auto"/>
        <w:jc w:val="left"/>
      </w:pPr>
    </w:p>
    <w:p w14:paraId="6302FF3C">
      <w:pPr>
        <w:spacing w:line="276" w:lineRule="auto"/>
        <w:jc w:val="left"/>
      </w:pPr>
    </w:p>
    <w:p w14:paraId="48BE54F3">
      <w:pPr>
        <w:spacing w:line="276" w:lineRule="auto"/>
        <w:jc w:val="left"/>
      </w:pPr>
    </w:p>
    <w:p w14:paraId="3EBE9251">
      <w:pPr>
        <w:spacing w:line="276" w:lineRule="auto"/>
        <w:jc w:val="left"/>
        <w:rPr>
          <w:rFonts w:hint="default"/>
          <w:lang w:val="en-US" w:eastAsia="zh-CN"/>
        </w:rPr>
      </w:pPr>
    </w:p>
    <w:p w14:paraId="60660AF7">
      <w:pPr>
        <w:spacing w:line="276" w:lineRule="auto"/>
        <w:jc w:val="left"/>
      </w:pPr>
    </w:p>
    <w:p w14:paraId="54DE0250">
      <w:pPr>
        <w:spacing w:line="276" w:lineRule="auto"/>
        <w:jc w:val="left"/>
      </w:pPr>
      <w:r>
        <w:drawing>
          <wp:inline distT="0" distB="0" distL="114300" distR="114300">
            <wp:extent cx="5191125" cy="7096125"/>
            <wp:effectExtent l="0" t="0" r="9525" b="9525"/>
            <wp:docPr id="4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8"/>
                    <pic:cNvPicPr>
                      <a:picLocks noChangeAspect="1"/>
                    </pic:cNvPicPr>
                  </pic:nvPicPr>
                  <pic:blipFill>
                    <a:blip r:embed="rId43"/>
                    <a:stretch>
                      <a:fillRect/>
                    </a:stretch>
                  </pic:blipFill>
                  <pic:spPr>
                    <a:xfrm>
                      <a:off x="0" y="0"/>
                      <a:ext cx="5191125" cy="7096125"/>
                    </a:xfrm>
                    <a:prstGeom prst="rect">
                      <a:avLst/>
                    </a:prstGeom>
                    <a:noFill/>
                    <a:ln>
                      <a:noFill/>
                    </a:ln>
                  </pic:spPr>
                </pic:pic>
              </a:graphicData>
            </a:graphic>
          </wp:inline>
        </w:drawing>
      </w:r>
    </w:p>
    <w:p w14:paraId="38F7F7E6">
      <w:pPr>
        <w:spacing w:line="276" w:lineRule="auto"/>
        <w:jc w:val="left"/>
      </w:pPr>
    </w:p>
    <w:p w14:paraId="11A87B49">
      <w:pPr>
        <w:spacing w:line="276" w:lineRule="auto"/>
        <w:jc w:val="left"/>
      </w:pPr>
    </w:p>
    <w:p w14:paraId="4F589C8A">
      <w:pPr>
        <w:spacing w:line="276" w:lineRule="auto"/>
        <w:jc w:val="left"/>
      </w:pPr>
    </w:p>
    <w:p w14:paraId="3277CDC6">
      <w:pPr>
        <w:spacing w:line="276" w:lineRule="auto"/>
        <w:jc w:val="left"/>
      </w:pPr>
    </w:p>
    <w:p w14:paraId="6C3A3F89">
      <w:pPr>
        <w:spacing w:line="276" w:lineRule="auto"/>
        <w:jc w:val="left"/>
      </w:pPr>
    </w:p>
    <w:p w14:paraId="73197A7C"/>
    <w:p w14:paraId="79B67E64"/>
    <w:p w14:paraId="3BA7F878">
      <w:r>
        <w:drawing>
          <wp:inline distT="0" distB="0" distL="114300" distR="114300">
            <wp:extent cx="5067300" cy="7362825"/>
            <wp:effectExtent l="0" t="0" r="0" b="9525"/>
            <wp:docPr id="5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9"/>
                    <pic:cNvPicPr>
                      <a:picLocks noChangeAspect="1"/>
                    </pic:cNvPicPr>
                  </pic:nvPicPr>
                  <pic:blipFill>
                    <a:blip r:embed="rId44"/>
                    <a:stretch>
                      <a:fillRect/>
                    </a:stretch>
                  </pic:blipFill>
                  <pic:spPr>
                    <a:xfrm>
                      <a:off x="0" y="0"/>
                      <a:ext cx="5067300" cy="7362825"/>
                    </a:xfrm>
                    <a:prstGeom prst="rect">
                      <a:avLst/>
                    </a:prstGeom>
                    <a:noFill/>
                    <a:ln>
                      <a:noFill/>
                    </a:ln>
                  </pic:spPr>
                </pic:pic>
              </a:graphicData>
            </a:graphic>
          </wp:inline>
        </w:drawing>
      </w:r>
    </w:p>
    <w:p w14:paraId="6DF73305"/>
    <w:p w14:paraId="37C670A3"/>
    <w:p w14:paraId="066C646B">
      <w:pPr>
        <w:pStyle w:val="48"/>
        <w:rPr>
          <w:rFonts w:ascii="Times New Roman" w:hAnsi="Times New Roman" w:cs="Times New Roman"/>
        </w:rPr>
      </w:pPr>
    </w:p>
    <w:p w14:paraId="582AC439">
      <w:pPr>
        <w:pStyle w:val="48"/>
        <w:rPr>
          <w:rFonts w:ascii="Times New Roman" w:hAnsi="Times New Roman" w:cs="Times New Roman"/>
        </w:rPr>
      </w:pPr>
      <w:r>
        <w:rPr>
          <w:rFonts w:ascii="Times New Roman" w:hAnsi="Times New Roman" w:cs="Times New Roman"/>
        </w:rPr>
        <w:drawing>
          <wp:inline distT="0" distB="0" distL="114300" distR="114300">
            <wp:extent cx="5248275" cy="7191375"/>
            <wp:effectExtent l="0" t="0" r="9525" b="9525"/>
            <wp:docPr id="5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20"/>
                    <pic:cNvPicPr>
                      <a:picLocks noChangeAspect="1"/>
                    </pic:cNvPicPr>
                  </pic:nvPicPr>
                  <pic:blipFill>
                    <a:blip r:embed="rId45"/>
                    <a:stretch>
                      <a:fillRect/>
                    </a:stretch>
                  </pic:blipFill>
                  <pic:spPr>
                    <a:xfrm>
                      <a:off x="0" y="0"/>
                      <a:ext cx="5248275" cy="7191375"/>
                    </a:xfrm>
                    <a:prstGeom prst="rect">
                      <a:avLst/>
                    </a:prstGeom>
                    <a:noFill/>
                    <a:ln>
                      <a:noFill/>
                    </a:ln>
                  </pic:spPr>
                </pic:pic>
              </a:graphicData>
            </a:graphic>
          </wp:inline>
        </w:drawing>
      </w:r>
    </w:p>
    <w:p w14:paraId="6510C0A8">
      <w:pPr>
        <w:pStyle w:val="48"/>
        <w:rPr>
          <w:rFonts w:ascii="Times New Roman" w:hAnsi="Times New Roman" w:cs="Times New Roman"/>
        </w:rPr>
      </w:pPr>
    </w:p>
    <w:p w14:paraId="61672474">
      <w:pPr>
        <w:pStyle w:val="48"/>
        <w:rPr>
          <w:rFonts w:ascii="Times New Roman" w:hAnsi="Times New Roman" w:cs="Times New Roman"/>
        </w:rPr>
      </w:pPr>
    </w:p>
    <w:p w14:paraId="124A141E">
      <w:pPr>
        <w:pStyle w:val="48"/>
        <w:rPr>
          <w:rFonts w:ascii="Times New Roman" w:hAnsi="Times New Roman" w:cs="Times New Roman"/>
        </w:rPr>
      </w:pPr>
    </w:p>
    <w:p w14:paraId="68CDC16C">
      <w:pPr>
        <w:pStyle w:val="48"/>
        <w:rPr>
          <w:rFonts w:ascii="Times New Roman" w:hAnsi="Times New Roman" w:cs="Times New Roman"/>
        </w:rPr>
      </w:pPr>
    </w:p>
    <w:p w14:paraId="2728E244">
      <w:pPr>
        <w:pStyle w:val="48"/>
        <w:rPr>
          <w:rFonts w:ascii="Times New Roman" w:hAnsi="Times New Roman" w:cs="Times New Roman"/>
        </w:rPr>
      </w:pPr>
    </w:p>
    <w:p w14:paraId="3A19A23E">
      <w:pPr>
        <w:pStyle w:val="48"/>
        <w:rPr>
          <w:rFonts w:ascii="Times New Roman" w:hAnsi="Times New Roman" w:cs="Times New Roman"/>
        </w:rPr>
      </w:pPr>
      <w:r>
        <w:rPr>
          <w:rFonts w:ascii="Times New Roman" w:hAnsi="Times New Roman" w:cs="Times New Roman"/>
        </w:rPr>
        <w:drawing>
          <wp:inline distT="0" distB="0" distL="114300" distR="114300">
            <wp:extent cx="5124450" cy="6934200"/>
            <wp:effectExtent l="0" t="0" r="0" b="0"/>
            <wp:docPr id="5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21"/>
                    <pic:cNvPicPr>
                      <a:picLocks noChangeAspect="1"/>
                    </pic:cNvPicPr>
                  </pic:nvPicPr>
                  <pic:blipFill>
                    <a:blip r:embed="rId46"/>
                    <a:stretch>
                      <a:fillRect/>
                    </a:stretch>
                  </pic:blipFill>
                  <pic:spPr>
                    <a:xfrm>
                      <a:off x="0" y="0"/>
                      <a:ext cx="5124450" cy="6934200"/>
                    </a:xfrm>
                    <a:prstGeom prst="rect">
                      <a:avLst/>
                    </a:prstGeom>
                    <a:noFill/>
                    <a:ln>
                      <a:noFill/>
                    </a:ln>
                  </pic:spPr>
                </pic:pic>
              </a:graphicData>
            </a:graphic>
          </wp:inline>
        </w:drawing>
      </w:r>
    </w:p>
    <w:p w14:paraId="2F1AD82F">
      <w:pPr>
        <w:pStyle w:val="48"/>
        <w:rPr>
          <w:rFonts w:ascii="Times New Roman" w:hAnsi="Times New Roman" w:cs="Times New Roman"/>
        </w:rPr>
      </w:pPr>
    </w:p>
    <w:p w14:paraId="0AC8904B">
      <w:pPr>
        <w:spacing w:line="276" w:lineRule="auto"/>
        <w:jc w:val="left"/>
      </w:pPr>
      <w:r>
        <w:drawing>
          <wp:inline distT="0" distB="0" distL="114300" distR="114300">
            <wp:extent cx="5191125" cy="7210425"/>
            <wp:effectExtent l="0" t="0" r="9525" b="9525"/>
            <wp:docPr id="4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22"/>
                    <pic:cNvPicPr>
                      <a:picLocks noChangeAspect="1"/>
                    </pic:cNvPicPr>
                  </pic:nvPicPr>
                  <pic:blipFill>
                    <a:blip r:embed="rId47"/>
                    <a:stretch>
                      <a:fillRect/>
                    </a:stretch>
                  </pic:blipFill>
                  <pic:spPr>
                    <a:xfrm>
                      <a:off x="0" y="0"/>
                      <a:ext cx="5191125" cy="7210425"/>
                    </a:xfrm>
                    <a:prstGeom prst="rect">
                      <a:avLst/>
                    </a:prstGeom>
                    <a:noFill/>
                    <a:ln>
                      <a:noFill/>
                    </a:ln>
                  </pic:spPr>
                </pic:pic>
              </a:graphicData>
            </a:graphic>
          </wp:inline>
        </w:drawing>
      </w:r>
    </w:p>
    <w:p w14:paraId="5767C55C">
      <w:pPr>
        <w:spacing w:line="276" w:lineRule="auto"/>
        <w:jc w:val="left"/>
      </w:pPr>
    </w:p>
    <w:p w14:paraId="4614B30F">
      <w:pPr>
        <w:spacing w:line="276" w:lineRule="auto"/>
        <w:jc w:val="left"/>
      </w:pPr>
      <w:r>
        <w:drawing>
          <wp:inline distT="0" distB="0" distL="114300" distR="114300">
            <wp:extent cx="5191125" cy="7477125"/>
            <wp:effectExtent l="0" t="0" r="9525" b="9525"/>
            <wp:docPr id="5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23"/>
                    <pic:cNvPicPr>
                      <a:picLocks noChangeAspect="1"/>
                    </pic:cNvPicPr>
                  </pic:nvPicPr>
                  <pic:blipFill>
                    <a:blip r:embed="rId48"/>
                    <a:stretch>
                      <a:fillRect/>
                    </a:stretch>
                  </pic:blipFill>
                  <pic:spPr>
                    <a:xfrm>
                      <a:off x="0" y="0"/>
                      <a:ext cx="5191125" cy="7477125"/>
                    </a:xfrm>
                    <a:prstGeom prst="rect">
                      <a:avLst/>
                    </a:prstGeom>
                    <a:noFill/>
                    <a:ln>
                      <a:noFill/>
                    </a:ln>
                  </pic:spPr>
                </pic:pic>
              </a:graphicData>
            </a:graphic>
          </wp:inline>
        </w:drawing>
      </w:r>
    </w:p>
    <w:p w14:paraId="6E40EA0C">
      <w:pPr>
        <w:spacing w:line="276" w:lineRule="auto"/>
        <w:jc w:val="left"/>
      </w:pPr>
    </w:p>
    <w:p w14:paraId="3D25642F">
      <w:pPr>
        <w:spacing w:line="276" w:lineRule="auto"/>
        <w:jc w:val="left"/>
      </w:pPr>
      <w:r>
        <w:drawing>
          <wp:inline distT="0" distB="0" distL="114300" distR="114300">
            <wp:extent cx="5229225" cy="7191375"/>
            <wp:effectExtent l="0" t="0" r="9525" b="9525"/>
            <wp:docPr id="5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24"/>
                    <pic:cNvPicPr>
                      <a:picLocks noChangeAspect="1"/>
                    </pic:cNvPicPr>
                  </pic:nvPicPr>
                  <pic:blipFill>
                    <a:blip r:embed="rId49"/>
                    <a:stretch>
                      <a:fillRect/>
                    </a:stretch>
                  </pic:blipFill>
                  <pic:spPr>
                    <a:xfrm>
                      <a:off x="0" y="0"/>
                      <a:ext cx="5229225" cy="7191375"/>
                    </a:xfrm>
                    <a:prstGeom prst="rect">
                      <a:avLst/>
                    </a:prstGeom>
                    <a:noFill/>
                    <a:ln>
                      <a:noFill/>
                    </a:ln>
                  </pic:spPr>
                </pic:pic>
              </a:graphicData>
            </a:graphic>
          </wp:inline>
        </w:drawing>
      </w:r>
    </w:p>
    <w:p w14:paraId="0BD34751">
      <w:pPr>
        <w:spacing w:line="276" w:lineRule="auto"/>
        <w:jc w:val="left"/>
      </w:pPr>
    </w:p>
    <w:p w14:paraId="4B8BB5D5">
      <w:pPr>
        <w:spacing w:line="276" w:lineRule="auto"/>
        <w:jc w:val="left"/>
      </w:pPr>
    </w:p>
    <w:p w14:paraId="770AAEA0">
      <w:pPr>
        <w:spacing w:line="276" w:lineRule="auto"/>
        <w:jc w:val="left"/>
      </w:pPr>
    </w:p>
    <w:p w14:paraId="0CED5B98">
      <w:pPr>
        <w:spacing w:line="276" w:lineRule="auto"/>
        <w:jc w:val="left"/>
      </w:pPr>
      <w:r>
        <w:drawing>
          <wp:inline distT="0" distB="0" distL="114300" distR="114300">
            <wp:extent cx="5229225" cy="6991350"/>
            <wp:effectExtent l="0" t="0" r="9525" b="0"/>
            <wp:docPr id="47"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5"/>
                    <pic:cNvPicPr>
                      <a:picLocks noChangeAspect="1"/>
                    </pic:cNvPicPr>
                  </pic:nvPicPr>
                  <pic:blipFill>
                    <a:blip r:embed="rId50"/>
                    <a:stretch>
                      <a:fillRect/>
                    </a:stretch>
                  </pic:blipFill>
                  <pic:spPr>
                    <a:xfrm>
                      <a:off x="0" y="0"/>
                      <a:ext cx="5229225" cy="6991350"/>
                    </a:xfrm>
                    <a:prstGeom prst="rect">
                      <a:avLst/>
                    </a:prstGeom>
                    <a:noFill/>
                    <a:ln>
                      <a:noFill/>
                    </a:ln>
                  </pic:spPr>
                </pic:pic>
              </a:graphicData>
            </a:graphic>
          </wp:inline>
        </w:drawing>
      </w:r>
    </w:p>
    <w:p w14:paraId="0CD0DECE">
      <w:pPr>
        <w:rPr>
          <w:rFonts w:hint="default"/>
        </w:rPr>
      </w:pPr>
    </w:p>
    <w:p w14:paraId="21DD0337">
      <w:pPr>
        <w:rPr>
          <w:rFonts w:hint="default" w:ascii="Times New Roman" w:hAnsi="Times New Roman" w:cs="Times New Roman"/>
          <w:snapToGrid w:val="0"/>
          <w:color w:val="auto"/>
          <w:spacing w:val="-6"/>
          <w:kern w:val="21"/>
          <w:szCs w:val="21"/>
          <w:u w:val="none"/>
        </w:rPr>
      </w:pPr>
    </w:p>
    <w:p w14:paraId="00A3AD49">
      <w:pPr>
        <w:rPr>
          <w:rFonts w:hint="eastAsia" w:ascii="Times New Roman" w:hAnsi="Times New Roman" w:eastAsia="宋体" w:cs="Times New Roman"/>
          <w:snapToGrid w:val="0"/>
          <w:color w:val="auto"/>
          <w:spacing w:val="-6"/>
          <w:kern w:val="21"/>
          <w:szCs w:val="21"/>
          <w:u w:val="none"/>
          <w:lang w:eastAsia="zh-CN"/>
        </w:rPr>
      </w:pPr>
    </w:p>
    <w:sectPr>
      <w:pgSz w:w="11906" w:h="16838"/>
      <w:pgMar w:top="1701" w:right="1531" w:bottom="1701" w:left="1531" w:header="851" w:footer="850"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1A029012-FF84-43D4-BF07-E2E971E356EF}"/>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C9A3DEBB-08DE-421C-A2F7-7BDC55470EC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embedRegular r:id="rId3" w:fontKey="{DC0B1696-1F2A-4E43-A63F-2027B3211DC3}"/>
  </w:font>
  <w:font w:name="仿宋">
    <w:panose1 w:val="02010609060101010101"/>
    <w:charset w:val="86"/>
    <w:family w:val="modern"/>
    <w:pitch w:val="default"/>
    <w:sig w:usb0="800002BF" w:usb1="38CF7CFA" w:usb2="00000016" w:usb3="00000000" w:csb0="00040001" w:csb1="00000000"/>
    <w:embedRegular r:id="rId4" w:fontKey="{8787DC77-2D22-468B-91A4-FD75645E0710}"/>
  </w:font>
  <w:font w:name="楷体_GB2312">
    <w:altName w:val="楷体"/>
    <w:panose1 w:val="00000000000000000000"/>
    <w:charset w:val="86"/>
    <w:family w:val="modern"/>
    <w:pitch w:val="default"/>
    <w:sig w:usb0="00000000" w:usb1="00000000" w:usb2="00000010" w:usb3="00000000" w:csb0="00040000" w:csb1="00000000"/>
    <w:embedRegular r:id="rId5" w:fontKey="{75D78F6E-95DB-4CA2-9F94-CE9C9333423F}"/>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新宋体-18030">
    <w:altName w:val="宋体"/>
    <w:panose1 w:val="00000000000000000000"/>
    <w:charset w:val="00"/>
    <w:family w:val="auto"/>
    <w:pitch w:val="default"/>
    <w:sig w:usb0="00000000" w:usb1="00000000" w:usb2="00000000"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_x000B__x000C_">
    <w:altName w:val="Times New Roman"/>
    <w:panose1 w:val="00000000000000000000"/>
    <w:charset w:val="00"/>
    <w:family w:val="roman"/>
    <w:pitch w:val="default"/>
    <w:sig w:usb0="00000000" w:usb1="00000000" w:usb2="00000000" w:usb3="00000000" w:csb0="00040001" w:csb1="00000000"/>
  </w:font>
  <w:font w:name="新宋体">
    <w:panose1 w:val="02010609030101010101"/>
    <w:charset w:val="86"/>
    <w:family w:val="modern"/>
    <w:pitch w:val="default"/>
    <w:sig w:usb0="00000203" w:usb1="288F0000" w:usb2="00000006" w:usb3="00000000" w:csb0="00040001" w:csb1="00000000"/>
  </w:font>
  <w:font w:name="方正小标宋_GBK">
    <w:panose1 w:val="02000000000000000000"/>
    <w:charset w:val="86"/>
    <w:family w:val="script"/>
    <w:pitch w:val="default"/>
    <w:sig w:usb0="A00002BF" w:usb1="38CF7CFA" w:usb2="00082016" w:usb3="00000000" w:csb0="00040001" w:csb1="00000000"/>
    <w:embedRegular r:id="rId6" w:fontKey="{3902B57B-7889-420A-A6F0-45FC285E3492}"/>
  </w:font>
  <w:font w:name="思源宋體 TW">
    <w:altName w:val="MS Gothic"/>
    <w:panose1 w:val="00000000000000000000"/>
    <w:charset w:val="80"/>
    <w:family w:val="roman"/>
    <w:pitch w:val="default"/>
    <w:sig w:usb0="00000000" w:usb1="00000000" w:usb2="00000010" w:usb3="00000000" w:csb0="00020000" w:csb1="00000000"/>
    <w:embedRegular r:id="rId7" w:fontKey="{5A6B2A7D-89D0-4DB0-A41C-E75C08CE299E}"/>
  </w:font>
  <w:font w:name="MS Gothic">
    <w:panose1 w:val="020B0609070205080204"/>
    <w:charset w:val="80"/>
    <w:family w:val="auto"/>
    <w:pitch w:val="default"/>
    <w:sig w:usb0="E00002FF" w:usb1="6AC7FDFB" w:usb2="08000012" w:usb3="00000000" w:csb0="4002009F" w:csb1="DFD70000"/>
  </w:font>
  <w:font w:name="MS PGothic">
    <w:panose1 w:val="020B0600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2C35D">
    <w:pPr>
      <w:pStyle w:val="26"/>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07B22">
    <w:pPr>
      <w:pStyle w:val="26"/>
      <w:framePr w:wrap="around" w:vAnchor="text" w:hAnchor="margin" w:xAlign="center" w:y="1"/>
      <w:rPr>
        <w:rStyle w:val="42"/>
      </w:rPr>
    </w:pPr>
    <w:r>
      <w:fldChar w:fldCharType="begin"/>
    </w:r>
    <w:r>
      <w:rPr>
        <w:rStyle w:val="42"/>
      </w:rPr>
      <w:instrText xml:space="preserve">PAGE  </w:instrText>
    </w:r>
    <w:r>
      <w:fldChar w:fldCharType="end"/>
    </w:r>
  </w:p>
  <w:p w14:paraId="4B701E41">
    <w:pPr>
      <w:pStyle w:val="2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BD409">
    <w:pPr>
      <w:pStyle w:val="26"/>
      <w:ind w:right="360"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-245745</wp:posOffset>
              </wp:positionV>
              <wp:extent cx="775335" cy="230505"/>
              <wp:effectExtent l="2540" t="3175" r="3175" b="4445"/>
              <wp:wrapNone/>
              <wp:docPr id="1" name="文本框 1029"/>
              <wp:cNvGraphicFramePr/>
              <a:graphic xmlns:a="http://schemas.openxmlformats.org/drawingml/2006/main">
                <a:graphicData uri="http://schemas.microsoft.com/office/word/2010/wordprocessingShape">
                  <wps:wsp>
                    <wps:cNvSpPr txBox="1">
                      <a:spLocks noChangeArrowheads="1"/>
                    </wps:cNvSpPr>
                    <wps:spPr bwMode="auto">
                      <a:xfrm>
                        <a:off x="0" y="0"/>
                        <a:ext cx="775335" cy="230505"/>
                      </a:xfrm>
                      <a:prstGeom prst="rect">
                        <a:avLst/>
                      </a:prstGeom>
                      <a:noFill/>
                      <a:ln>
                        <a:noFill/>
                      </a:ln>
                    </wps:spPr>
                    <wps:txbx>
                      <w:txbxContent>
                        <w:p w14:paraId="0B38FBF5">
                          <w:pPr>
                            <w:pStyle w:val="26"/>
                            <w:rPr>
                              <w:rStyle w:val="42"/>
                              <w:rFonts w:ascii="宋体" w:hAnsi="宋体"/>
                              <w:sz w:val="28"/>
                              <w:szCs w:val="28"/>
                            </w:rPr>
                          </w:pPr>
                          <w:r>
                            <w:rPr>
                              <w:rStyle w:val="42"/>
                              <w:rFonts w:hint="eastAsia" w:ascii="宋体" w:hAnsi="宋体"/>
                              <w:sz w:val="28"/>
                              <w:szCs w:val="28"/>
                            </w:rPr>
                            <w:t>—</w:t>
                          </w:r>
                          <w:r>
                            <w:rPr>
                              <w:rStyle w:val="42"/>
                              <w:rFonts w:hint="eastAsia" w:ascii="宋体" w:hAnsi="宋体"/>
                              <w:sz w:val="20"/>
                            </w:rPr>
                            <w:t xml:space="preserve">  </w:t>
                          </w:r>
                          <w:r>
                            <w:rPr>
                              <w:rFonts w:ascii="宋体" w:hAnsi="宋体"/>
                              <w:sz w:val="26"/>
                              <w:szCs w:val="26"/>
                            </w:rPr>
                            <w:fldChar w:fldCharType="begin"/>
                          </w:r>
                          <w:r>
                            <w:rPr>
                              <w:rStyle w:val="42"/>
                              <w:rFonts w:ascii="宋体" w:hAnsi="宋体"/>
                              <w:sz w:val="26"/>
                              <w:szCs w:val="26"/>
                            </w:rPr>
                            <w:instrText xml:space="preserve">PAGE  </w:instrText>
                          </w:r>
                          <w:r>
                            <w:rPr>
                              <w:rFonts w:ascii="宋体" w:hAnsi="宋体"/>
                              <w:sz w:val="26"/>
                              <w:szCs w:val="26"/>
                            </w:rPr>
                            <w:fldChar w:fldCharType="separate"/>
                          </w:r>
                          <w:r>
                            <w:rPr>
                              <w:rStyle w:val="42"/>
                              <w:rFonts w:ascii="宋体" w:hAnsi="宋体"/>
                              <w:sz w:val="26"/>
                              <w:szCs w:val="26"/>
                            </w:rPr>
                            <w:t>25</w:t>
                          </w:r>
                          <w:r>
                            <w:rPr>
                              <w:rFonts w:ascii="宋体" w:hAnsi="宋体"/>
                              <w:sz w:val="26"/>
                              <w:szCs w:val="26"/>
                            </w:rPr>
                            <w:fldChar w:fldCharType="end"/>
                          </w:r>
                          <w:r>
                            <w:rPr>
                              <w:rStyle w:val="42"/>
                              <w:rFonts w:hint="eastAsia" w:ascii="宋体" w:hAnsi="宋体"/>
                              <w:sz w:val="20"/>
                            </w:rPr>
                            <w:t xml:space="preserve">  </w:t>
                          </w:r>
                          <w:r>
                            <w:rPr>
                              <w:rStyle w:val="42"/>
                              <w:rFonts w:hint="eastAsia" w:ascii="宋体" w:hAnsi="宋体"/>
                              <w:sz w:val="28"/>
                              <w:szCs w:val="28"/>
                            </w:rPr>
                            <w:t>—</w:t>
                          </w:r>
                        </w:p>
                      </w:txbxContent>
                    </wps:txbx>
                    <wps:bodyPr rot="0" vert="horz" wrap="none" lIns="0" tIns="0" rIns="0" bIns="0" anchor="t" anchorCtr="0" upright="1">
                      <a:spAutoFit/>
                    </wps:bodyPr>
                  </wps:wsp>
                </a:graphicData>
              </a:graphic>
            </wp:anchor>
          </w:drawing>
        </mc:Choice>
        <mc:Fallback>
          <w:pict>
            <v:shape id="文本框 1029" o:spid="_x0000_s1026" o:spt="202" type="#_x0000_t202" style="position:absolute;left:0pt;margin-top:-19.35pt;height:18.15pt;width:61.05pt;mso-position-horizontal:center;mso-position-horizontal-relative:margin;mso-wrap-style:none;z-index:251660288;mso-width-relative:page;mso-height-relative:page;" filled="f" stroked="f" coordsize="21600,21600" o:gfxdata="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InYWADUAAAABwEAAA8AAAAAAAAAAQAgAAAAIgAA&#10;AGRycy9kb3ducmV2LnhtbFBLAQIUABQAAAAIAIdO4kAehDaTDAIAAAUEAAAOAAAAAAAAAAEAIAAA&#10;ACMBAABkcnMvZTJvRG9jLnhtbFBLBQYAAAAABgAGAFkBAAChBQAAAAA=&#10;">
              <v:fill on="f" focussize="0,0"/>
              <v:stroke on="f"/>
              <v:imagedata o:title=""/>
              <o:lock v:ext="edit" aspectratio="f"/>
              <v:textbox inset="0mm,0mm,0mm,0mm" style="mso-fit-shape-to-text:t;">
                <w:txbxContent>
                  <w:p w14:paraId="0B38FBF5">
                    <w:pPr>
                      <w:pStyle w:val="26"/>
                      <w:rPr>
                        <w:rStyle w:val="42"/>
                        <w:rFonts w:ascii="宋体" w:hAnsi="宋体"/>
                        <w:sz w:val="28"/>
                        <w:szCs w:val="28"/>
                      </w:rPr>
                    </w:pPr>
                    <w:r>
                      <w:rPr>
                        <w:rStyle w:val="42"/>
                        <w:rFonts w:hint="eastAsia" w:ascii="宋体" w:hAnsi="宋体"/>
                        <w:sz w:val="28"/>
                        <w:szCs w:val="28"/>
                      </w:rPr>
                      <w:t>—</w:t>
                    </w:r>
                    <w:r>
                      <w:rPr>
                        <w:rStyle w:val="42"/>
                        <w:rFonts w:hint="eastAsia" w:ascii="宋体" w:hAnsi="宋体"/>
                        <w:sz w:val="20"/>
                      </w:rPr>
                      <w:t xml:space="preserve">  </w:t>
                    </w:r>
                    <w:r>
                      <w:rPr>
                        <w:rFonts w:ascii="宋体" w:hAnsi="宋体"/>
                        <w:sz w:val="26"/>
                        <w:szCs w:val="26"/>
                      </w:rPr>
                      <w:fldChar w:fldCharType="begin"/>
                    </w:r>
                    <w:r>
                      <w:rPr>
                        <w:rStyle w:val="42"/>
                        <w:rFonts w:ascii="宋体" w:hAnsi="宋体"/>
                        <w:sz w:val="26"/>
                        <w:szCs w:val="26"/>
                      </w:rPr>
                      <w:instrText xml:space="preserve">PAGE  </w:instrText>
                    </w:r>
                    <w:r>
                      <w:rPr>
                        <w:rFonts w:ascii="宋体" w:hAnsi="宋体"/>
                        <w:sz w:val="26"/>
                        <w:szCs w:val="26"/>
                      </w:rPr>
                      <w:fldChar w:fldCharType="separate"/>
                    </w:r>
                    <w:r>
                      <w:rPr>
                        <w:rStyle w:val="42"/>
                        <w:rFonts w:ascii="宋体" w:hAnsi="宋体"/>
                        <w:sz w:val="26"/>
                        <w:szCs w:val="26"/>
                      </w:rPr>
                      <w:t>25</w:t>
                    </w:r>
                    <w:r>
                      <w:rPr>
                        <w:rFonts w:ascii="宋体" w:hAnsi="宋体"/>
                        <w:sz w:val="26"/>
                        <w:szCs w:val="26"/>
                      </w:rPr>
                      <w:fldChar w:fldCharType="end"/>
                    </w:r>
                    <w:r>
                      <w:rPr>
                        <w:rStyle w:val="42"/>
                        <w:rFonts w:hint="eastAsia" w:ascii="宋体" w:hAnsi="宋体"/>
                        <w:sz w:val="20"/>
                      </w:rPr>
                      <w:t xml:space="preserve">  </w:t>
                    </w:r>
                    <w:r>
                      <w:rPr>
                        <w:rStyle w:val="42"/>
                        <w:rFonts w:hint="eastAsia" w:ascii="宋体" w:hAnsi="宋体"/>
                        <w:sz w:val="28"/>
                        <w:szCs w:val="28"/>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E5B65">
    <w:pPr>
      <w:pStyle w:val="26"/>
      <w:ind w:right="360" w:firstLine="36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2E708D">
    <w:pPr>
      <w:pStyle w:val="2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293625"/>
    <w:multiLevelType w:val="singleLevel"/>
    <w:tmpl w:val="B4293625"/>
    <w:lvl w:ilvl="0" w:tentative="0">
      <w:start w:val="1"/>
      <w:numFmt w:val="decimal"/>
      <w:lvlText w:val="%1."/>
      <w:lvlJc w:val="left"/>
      <w:pPr>
        <w:tabs>
          <w:tab w:val="left" w:pos="312"/>
        </w:tabs>
      </w:pPr>
    </w:lvl>
  </w:abstractNum>
  <w:abstractNum w:abstractNumId="1">
    <w:nsid w:val="BF7EB74C"/>
    <w:multiLevelType w:val="singleLevel"/>
    <w:tmpl w:val="BF7EB74C"/>
    <w:lvl w:ilvl="0" w:tentative="0">
      <w:start w:val="1"/>
      <w:numFmt w:val="decimal"/>
      <w:suff w:val="space"/>
      <w:lvlText w:val="%1."/>
      <w:lvlJc w:val="left"/>
    </w:lvl>
  </w:abstractNum>
  <w:abstractNum w:abstractNumId="2">
    <w:nsid w:val="BFFA3809"/>
    <w:multiLevelType w:val="singleLevel"/>
    <w:tmpl w:val="BFFA3809"/>
    <w:lvl w:ilvl="0" w:tentative="0">
      <w:start w:val="2"/>
      <w:numFmt w:val="decimal"/>
      <w:suff w:val="nothing"/>
      <w:lvlText w:val="%1、"/>
      <w:lvlJc w:val="left"/>
    </w:lvl>
  </w:abstractNum>
  <w:abstractNum w:abstractNumId="3">
    <w:nsid w:val="C0B3E6C7"/>
    <w:multiLevelType w:val="singleLevel"/>
    <w:tmpl w:val="C0B3E6C7"/>
    <w:lvl w:ilvl="0" w:tentative="0">
      <w:start w:val="5"/>
      <w:numFmt w:val="decimal"/>
      <w:suff w:val="nothing"/>
      <w:lvlText w:val="（%1）"/>
      <w:lvlJc w:val="left"/>
    </w:lvl>
  </w:abstractNum>
  <w:abstractNum w:abstractNumId="4">
    <w:nsid w:val="DE1936B5"/>
    <w:multiLevelType w:val="singleLevel"/>
    <w:tmpl w:val="DE1936B5"/>
    <w:lvl w:ilvl="0" w:tentative="0">
      <w:start w:val="5"/>
      <w:numFmt w:val="chineseCounting"/>
      <w:suff w:val="nothing"/>
      <w:lvlText w:val="%1、"/>
      <w:lvlJc w:val="left"/>
      <w:rPr>
        <w:rFonts w:hint="eastAsia"/>
      </w:rPr>
    </w:lvl>
  </w:abstractNum>
  <w:abstractNum w:abstractNumId="5">
    <w:nsid w:val="E62F6E51"/>
    <w:multiLevelType w:val="singleLevel"/>
    <w:tmpl w:val="E62F6E51"/>
    <w:lvl w:ilvl="0" w:tentative="0">
      <w:start w:val="1"/>
      <w:numFmt w:val="decimal"/>
      <w:lvlText w:val="%1."/>
      <w:lvlJc w:val="left"/>
      <w:pPr>
        <w:tabs>
          <w:tab w:val="left" w:pos="312"/>
        </w:tabs>
      </w:pPr>
    </w:lvl>
  </w:abstractNum>
  <w:abstractNum w:abstractNumId="6">
    <w:nsid w:val="F0EBFEA0"/>
    <w:multiLevelType w:val="singleLevel"/>
    <w:tmpl w:val="F0EBFEA0"/>
    <w:lvl w:ilvl="0" w:tentative="0">
      <w:start w:val="5"/>
      <w:numFmt w:val="decimal"/>
      <w:suff w:val="nothing"/>
      <w:lvlText w:val="%1）"/>
      <w:lvlJc w:val="left"/>
    </w:lvl>
  </w:abstractNum>
  <w:abstractNum w:abstractNumId="7">
    <w:nsid w:val="0000000A"/>
    <w:multiLevelType w:val="multilevel"/>
    <w:tmpl w:val="0000000A"/>
    <w:lvl w:ilvl="0" w:tentative="0">
      <w:start w:val="5"/>
      <w:numFmt w:val="decimal"/>
      <w:pStyle w:val="50"/>
      <w:lvlText w:val="%1"/>
      <w:lvlJc w:val="left"/>
      <w:pPr>
        <w:tabs>
          <w:tab w:val="left" w:pos="360"/>
        </w:tabs>
        <w:ind w:left="360" w:hanging="36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03E9B27C"/>
    <w:multiLevelType w:val="singleLevel"/>
    <w:tmpl w:val="03E9B27C"/>
    <w:lvl w:ilvl="0" w:tentative="0">
      <w:start w:val="1"/>
      <w:numFmt w:val="decimal"/>
      <w:lvlText w:val="%1."/>
      <w:lvlJc w:val="left"/>
      <w:pPr>
        <w:tabs>
          <w:tab w:val="left" w:pos="312"/>
        </w:tabs>
      </w:pPr>
    </w:lvl>
  </w:abstractNum>
  <w:abstractNum w:abstractNumId="9">
    <w:nsid w:val="1162F33B"/>
    <w:multiLevelType w:val="singleLevel"/>
    <w:tmpl w:val="1162F33B"/>
    <w:lvl w:ilvl="0" w:tentative="0">
      <w:start w:val="1"/>
      <w:numFmt w:val="decimal"/>
      <w:suff w:val="nothing"/>
      <w:lvlText w:val="（%1）"/>
      <w:lvlJc w:val="left"/>
    </w:lvl>
  </w:abstractNum>
  <w:abstractNum w:abstractNumId="10">
    <w:nsid w:val="2F669E7E"/>
    <w:multiLevelType w:val="singleLevel"/>
    <w:tmpl w:val="2F669E7E"/>
    <w:lvl w:ilvl="0" w:tentative="0">
      <w:start w:val="1"/>
      <w:numFmt w:val="decimal"/>
      <w:suff w:val="nothing"/>
      <w:lvlText w:val="%1、"/>
      <w:lvlJc w:val="left"/>
      <w:pPr>
        <w:ind w:left="-60"/>
      </w:pPr>
      <w:rPr>
        <w:rFonts w:hint="default"/>
        <w:b/>
        <w:bCs/>
      </w:rPr>
    </w:lvl>
  </w:abstractNum>
  <w:num w:numId="1">
    <w:abstractNumId w:val="7"/>
  </w:num>
  <w:num w:numId="2">
    <w:abstractNumId w:val="3"/>
  </w:num>
  <w:num w:numId="3">
    <w:abstractNumId w:val="5"/>
  </w:num>
  <w:num w:numId="4">
    <w:abstractNumId w:val="8"/>
  </w:num>
  <w:num w:numId="5">
    <w:abstractNumId w:val="0"/>
  </w:num>
  <w:num w:numId="6">
    <w:abstractNumId w:val="9"/>
  </w:num>
  <w:num w:numId="7">
    <w:abstractNumId w:val="10"/>
  </w:num>
  <w:num w:numId="8">
    <w:abstractNumId w:val="2"/>
  </w:num>
  <w:num w:numId="9">
    <w:abstractNumId w:val="6"/>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TrueTypeFonts/>
  <w:saveSubsetFonts/>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dit="trackedChanges" w:enforcement="0"/>
  <w:defaultTabStop w:val="420"/>
  <w:doNotHyphenateCaps/>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Q5NjhjODAzMTEzMGY5NDk2OGQ2MTYwNTAyNjEyNGUifQ=="/>
  </w:docVars>
  <w:rsids>
    <w:rsidRoot w:val="00172A27"/>
    <w:rsid w:val="00001DF8"/>
    <w:rsid w:val="000060B3"/>
    <w:rsid w:val="0001409A"/>
    <w:rsid w:val="0004364B"/>
    <w:rsid w:val="00045A91"/>
    <w:rsid w:val="00061B1F"/>
    <w:rsid w:val="000644FA"/>
    <w:rsid w:val="000733C4"/>
    <w:rsid w:val="00074783"/>
    <w:rsid w:val="0008070B"/>
    <w:rsid w:val="000810AC"/>
    <w:rsid w:val="00081A02"/>
    <w:rsid w:val="00082231"/>
    <w:rsid w:val="00085F3D"/>
    <w:rsid w:val="00092D38"/>
    <w:rsid w:val="0009377B"/>
    <w:rsid w:val="000A20C9"/>
    <w:rsid w:val="000A521C"/>
    <w:rsid w:val="000A6468"/>
    <w:rsid w:val="000B058F"/>
    <w:rsid w:val="000B4467"/>
    <w:rsid w:val="000B4DB9"/>
    <w:rsid w:val="000C09AC"/>
    <w:rsid w:val="000C767F"/>
    <w:rsid w:val="000D5A44"/>
    <w:rsid w:val="000E0DC3"/>
    <w:rsid w:val="000E3ED2"/>
    <w:rsid w:val="00103469"/>
    <w:rsid w:val="001206FE"/>
    <w:rsid w:val="00131F42"/>
    <w:rsid w:val="00135135"/>
    <w:rsid w:val="001357F1"/>
    <w:rsid w:val="00140FA8"/>
    <w:rsid w:val="00142FEB"/>
    <w:rsid w:val="00143A2D"/>
    <w:rsid w:val="00145A41"/>
    <w:rsid w:val="00151675"/>
    <w:rsid w:val="00152D23"/>
    <w:rsid w:val="00154F67"/>
    <w:rsid w:val="00155C73"/>
    <w:rsid w:val="00157435"/>
    <w:rsid w:val="00163CE3"/>
    <w:rsid w:val="0017504D"/>
    <w:rsid w:val="0017671A"/>
    <w:rsid w:val="00177422"/>
    <w:rsid w:val="00184590"/>
    <w:rsid w:val="00185CBD"/>
    <w:rsid w:val="001870D1"/>
    <w:rsid w:val="0018781E"/>
    <w:rsid w:val="0019262D"/>
    <w:rsid w:val="001964FB"/>
    <w:rsid w:val="001A1B35"/>
    <w:rsid w:val="001A48A2"/>
    <w:rsid w:val="001A6F61"/>
    <w:rsid w:val="001B72B8"/>
    <w:rsid w:val="001C2347"/>
    <w:rsid w:val="001C69B3"/>
    <w:rsid w:val="001D5595"/>
    <w:rsid w:val="001D7874"/>
    <w:rsid w:val="001D7F22"/>
    <w:rsid w:val="001F0F17"/>
    <w:rsid w:val="001F3347"/>
    <w:rsid w:val="001F69E4"/>
    <w:rsid w:val="002021BC"/>
    <w:rsid w:val="002125B4"/>
    <w:rsid w:val="002155B8"/>
    <w:rsid w:val="00224839"/>
    <w:rsid w:val="002249B2"/>
    <w:rsid w:val="00226574"/>
    <w:rsid w:val="002278EC"/>
    <w:rsid w:val="0023280E"/>
    <w:rsid w:val="002377D1"/>
    <w:rsid w:val="002506BC"/>
    <w:rsid w:val="00250D2E"/>
    <w:rsid w:val="00254345"/>
    <w:rsid w:val="00257335"/>
    <w:rsid w:val="00264557"/>
    <w:rsid w:val="002805AB"/>
    <w:rsid w:val="00284204"/>
    <w:rsid w:val="00284993"/>
    <w:rsid w:val="00291773"/>
    <w:rsid w:val="00294637"/>
    <w:rsid w:val="002A168C"/>
    <w:rsid w:val="002A3DC7"/>
    <w:rsid w:val="002B49E2"/>
    <w:rsid w:val="002B7B00"/>
    <w:rsid w:val="002B7C44"/>
    <w:rsid w:val="002C28E5"/>
    <w:rsid w:val="002C2B17"/>
    <w:rsid w:val="002D3DD0"/>
    <w:rsid w:val="002D60E0"/>
    <w:rsid w:val="002E1F3A"/>
    <w:rsid w:val="002E298A"/>
    <w:rsid w:val="002E29EC"/>
    <w:rsid w:val="002F0462"/>
    <w:rsid w:val="002F2DFA"/>
    <w:rsid w:val="00301978"/>
    <w:rsid w:val="0030332C"/>
    <w:rsid w:val="003051C2"/>
    <w:rsid w:val="00305B86"/>
    <w:rsid w:val="00307BC2"/>
    <w:rsid w:val="00312296"/>
    <w:rsid w:val="00314F0E"/>
    <w:rsid w:val="00321D8E"/>
    <w:rsid w:val="00325928"/>
    <w:rsid w:val="00331E28"/>
    <w:rsid w:val="00332863"/>
    <w:rsid w:val="0033684D"/>
    <w:rsid w:val="00337B42"/>
    <w:rsid w:val="00341B42"/>
    <w:rsid w:val="0034348F"/>
    <w:rsid w:val="003449EC"/>
    <w:rsid w:val="00353810"/>
    <w:rsid w:val="00356653"/>
    <w:rsid w:val="0035743F"/>
    <w:rsid w:val="00357BE2"/>
    <w:rsid w:val="0036170C"/>
    <w:rsid w:val="00366E0F"/>
    <w:rsid w:val="00381A72"/>
    <w:rsid w:val="00384676"/>
    <w:rsid w:val="00390857"/>
    <w:rsid w:val="003A4BF3"/>
    <w:rsid w:val="003B0890"/>
    <w:rsid w:val="003B420D"/>
    <w:rsid w:val="003B4D2D"/>
    <w:rsid w:val="003B57FD"/>
    <w:rsid w:val="003C014F"/>
    <w:rsid w:val="003C6C16"/>
    <w:rsid w:val="003D794D"/>
    <w:rsid w:val="003E3058"/>
    <w:rsid w:val="003E76A9"/>
    <w:rsid w:val="003F0809"/>
    <w:rsid w:val="003F4914"/>
    <w:rsid w:val="003F6A8C"/>
    <w:rsid w:val="003F755C"/>
    <w:rsid w:val="00406F01"/>
    <w:rsid w:val="00416D50"/>
    <w:rsid w:val="00416FD5"/>
    <w:rsid w:val="00417772"/>
    <w:rsid w:val="00420E6A"/>
    <w:rsid w:val="00425A9E"/>
    <w:rsid w:val="00426D6B"/>
    <w:rsid w:val="00431E6C"/>
    <w:rsid w:val="00433CE7"/>
    <w:rsid w:val="00452738"/>
    <w:rsid w:val="00456091"/>
    <w:rsid w:val="00466321"/>
    <w:rsid w:val="004705F1"/>
    <w:rsid w:val="00483572"/>
    <w:rsid w:val="00484B9B"/>
    <w:rsid w:val="004855F6"/>
    <w:rsid w:val="0048661E"/>
    <w:rsid w:val="00494670"/>
    <w:rsid w:val="004A3599"/>
    <w:rsid w:val="004A3823"/>
    <w:rsid w:val="004A5761"/>
    <w:rsid w:val="004E6946"/>
    <w:rsid w:val="004F1AD8"/>
    <w:rsid w:val="005039CB"/>
    <w:rsid w:val="005052A1"/>
    <w:rsid w:val="0050558F"/>
    <w:rsid w:val="00506286"/>
    <w:rsid w:val="00510813"/>
    <w:rsid w:val="00511990"/>
    <w:rsid w:val="00511DE0"/>
    <w:rsid w:val="00512112"/>
    <w:rsid w:val="00514870"/>
    <w:rsid w:val="00514B9B"/>
    <w:rsid w:val="00517F02"/>
    <w:rsid w:val="00524303"/>
    <w:rsid w:val="005258A2"/>
    <w:rsid w:val="005401AE"/>
    <w:rsid w:val="00542E07"/>
    <w:rsid w:val="00543B62"/>
    <w:rsid w:val="00545424"/>
    <w:rsid w:val="005510F3"/>
    <w:rsid w:val="00554A7B"/>
    <w:rsid w:val="0055572C"/>
    <w:rsid w:val="0056106A"/>
    <w:rsid w:val="00566808"/>
    <w:rsid w:val="005673C9"/>
    <w:rsid w:val="005720AE"/>
    <w:rsid w:val="0058523E"/>
    <w:rsid w:val="0058676D"/>
    <w:rsid w:val="00594D77"/>
    <w:rsid w:val="005969E4"/>
    <w:rsid w:val="005A06B7"/>
    <w:rsid w:val="005A1759"/>
    <w:rsid w:val="005A68A7"/>
    <w:rsid w:val="005B698D"/>
    <w:rsid w:val="005D36AB"/>
    <w:rsid w:val="005D3CB0"/>
    <w:rsid w:val="005F46F3"/>
    <w:rsid w:val="005F645D"/>
    <w:rsid w:val="00604352"/>
    <w:rsid w:val="00617CC3"/>
    <w:rsid w:val="006377A6"/>
    <w:rsid w:val="00637A3D"/>
    <w:rsid w:val="00640B41"/>
    <w:rsid w:val="006411EF"/>
    <w:rsid w:val="00671911"/>
    <w:rsid w:val="006748B8"/>
    <w:rsid w:val="006775C3"/>
    <w:rsid w:val="0069290A"/>
    <w:rsid w:val="00694E81"/>
    <w:rsid w:val="0069775A"/>
    <w:rsid w:val="00697813"/>
    <w:rsid w:val="006A31CE"/>
    <w:rsid w:val="006A3EE8"/>
    <w:rsid w:val="006A72BF"/>
    <w:rsid w:val="006B03F2"/>
    <w:rsid w:val="006B3643"/>
    <w:rsid w:val="006B37DC"/>
    <w:rsid w:val="006B4F68"/>
    <w:rsid w:val="006B6076"/>
    <w:rsid w:val="006C0592"/>
    <w:rsid w:val="006C272E"/>
    <w:rsid w:val="006C5479"/>
    <w:rsid w:val="006D13B5"/>
    <w:rsid w:val="006D25A9"/>
    <w:rsid w:val="006D432C"/>
    <w:rsid w:val="006D6B0C"/>
    <w:rsid w:val="006E12FF"/>
    <w:rsid w:val="006E607E"/>
    <w:rsid w:val="006F0C28"/>
    <w:rsid w:val="00700F5B"/>
    <w:rsid w:val="00706C5D"/>
    <w:rsid w:val="00713A8A"/>
    <w:rsid w:val="00732922"/>
    <w:rsid w:val="0075162E"/>
    <w:rsid w:val="00754034"/>
    <w:rsid w:val="00755314"/>
    <w:rsid w:val="00756556"/>
    <w:rsid w:val="007618C4"/>
    <w:rsid w:val="00767980"/>
    <w:rsid w:val="00770B19"/>
    <w:rsid w:val="0077463F"/>
    <w:rsid w:val="007836EA"/>
    <w:rsid w:val="00784CDA"/>
    <w:rsid w:val="007906C4"/>
    <w:rsid w:val="007917C8"/>
    <w:rsid w:val="007940EA"/>
    <w:rsid w:val="007967E8"/>
    <w:rsid w:val="007A2170"/>
    <w:rsid w:val="007A22BF"/>
    <w:rsid w:val="007A3323"/>
    <w:rsid w:val="007B72B8"/>
    <w:rsid w:val="007B7A58"/>
    <w:rsid w:val="007C21B5"/>
    <w:rsid w:val="007D29C3"/>
    <w:rsid w:val="007E4BD2"/>
    <w:rsid w:val="00801393"/>
    <w:rsid w:val="00802F88"/>
    <w:rsid w:val="0081293E"/>
    <w:rsid w:val="00815465"/>
    <w:rsid w:val="00817E9A"/>
    <w:rsid w:val="00823C87"/>
    <w:rsid w:val="008306BD"/>
    <w:rsid w:val="00831A80"/>
    <w:rsid w:val="00833743"/>
    <w:rsid w:val="008340A4"/>
    <w:rsid w:val="00866A19"/>
    <w:rsid w:val="0087135F"/>
    <w:rsid w:val="00872D94"/>
    <w:rsid w:val="0087719A"/>
    <w:rsid w:val="00880364"/>
    <w:rsid w:val="00885A56"/>
    <w:rsid w:val="00891592"/>
    <w:rsid w:val="00891E9E"/>
    <w:rsid w:val="00893393"/>
    <w:rsid w:val="008A2F68"/>
    <w:rsid w:val="008B4FA6"/>
    <w:rsid w:val="008B5282"/>
    <w:rsid w:val="008B7C17"/>
    <w:rsid w:val="008C2D01"/>
    <w:rsid w:val="008C40E6"/>
    <w:rsid w:val="008D0F7A"/>
    <w:rsid w:val="008D68E4"/>
    <w:rsid w:val="008E0506"/>
    <w:rsid w:val="008E0CFF"/>
    <w:rsid w:val="008E333D"/>
    <w:rsid w:val="008E5D6B"/>
    <w:rsid w:val="008E76F0"/>
    <w:rsid w:val="008F15FE"/>
    <w:rsid w:val="008F2D29"/>
    <w:rsid w:val="008F5187"/>
    <w:rsid w:val="008F60D8"/>
    <w:rsid w:val="00900BB4"/>
    <w:rsid w:val="00902727"/>
    <w:rsid w:val="0090312B"/>
    <w:rsid w:val="00916F87"/>
    <w:rsid w:val="0091736D"/>
    <w:rsid w:val="00920560"/>
    <w:rsid w:val="00926DC0"/>
    <w:rsid w:val="0093037A"/>
    <w:rsid w:val="009311C3"/>
    <w:rsid w:val="0094154D"/>
    <w:rsid w:val="00942D16"/>
    <w:rsid w:val="00942F85"/>
    <w:rsid w:val="0095155F"/>
    <w:rsid w:val="0095315B"/>
    <w:rsid w:val="00954429"/>
    <w:rsid w:val="009563CE"/>
    <w:rsid w:val="00956B4B"/>
    <w:rsid w:val="00976328"/>
    <w:rsid w:val="0097680D"/>
    <w:rsid w:val="00982438"/>
    <w:rsid w:val="0098404C"/>
    <w:rsid w:val="00985283"/>
    <w:rsid w:val="00995992"/>
    <w:rsid w:val="009A03E5"/>
    <w:rsid w:val="009A0F3B"/>
    <w:rsid w:val="009A1BB4"/>
    <w:rsid w:val="009A2628"/>
    <w:rsid w:val="009A3200"/>
    <w:rsid w:val="009B06FE"/>
    <w:rsid w:val="009B0897"/>
    <w:rsid w:val="009B7BD9"/>
    <w:rsid w:val="009B7EF6"/>
    <w:rsid w:val="009C7DD5"/>
    <w:rsid w:val="009D2727"/>
    <w:rsid w:val="009E0A83"/>
    <w:rsid w:val="009E227D"/>
    <w:rsid w:val="009E5019"/>
    <w:rsid w:val="00A04F1B"/>
    <w:rsid w:val="00A0501B"/>
    <w:rsid w:val="00A05117"/>
    <w:rsid w:val="00A14947"/>
    <w:rsid w:val="00A32A83"/>
    <w:rsid w:val="00A368DB"/>
    <w:rsid w:val="00A36FCE"/>
    <w:rsid w:val="00A423AA"/>
    <w:rsid w:val="00A53EC6"/>
    <w:rsid w:val="00A55C0F"/>
    <w:rsid w:val="00A8713F"/>
    <w:rsid w:val="00A90BA1"/>
    <w:rsid w:val="00A927E2"/>
    <w:rsid w:val="00A97A9A"/>
    <w:rsid w:val="00AA0671"/>
    <w:rsid w:val="00AA2531"/>
    <w:rsid w:val="00AB1E09"/>
    <w:rsid w:val="00AB445F"/>
    <w:rsid w:val="00AB5330"/>
    <w:rsid w:val="00AB7747"/>
    <w:rsid w:val="00AC14CE"/>
    <w:rsid w:val="00AC2A56"/>
    <w:rsid w:val="00AD055E"/>
    <w:rsid w:val="00AD341B"/>
    <w:rsid w:val="00AD47A7"/>
    <w:rsid w:val="00AD7338"/>
    <w:rsid w:val="00AF0CBF"/>
    <w:rsid w:val="00AF257F"/>
    <w:rsid w:val="00AF33CF"/>
    <w:rsid w:val="00AF4D50"/>
    <w:rsid w:val="00AF6179"/>
    <w:rsid w:val="00AF7B5A"/>
    <w:rsid w:val="00B10E7D"/>
    <w:rsid w:val="00B1295A"/>
    <w:rsid w:val="00B20A45"/>
    <w:rsid w:val="00B22C5C"/>
    <w:rsid w:val="00B24F30"/>
    <w:rsid w:val="00B31ABF"/>
    <w:rsid w:val="00B33BE3"/>
    <w:rsid w:val="00B47673"/>
    <w:rsid w:val="00B53B5D"/>
    <w:rsid w:val="00B55AFB"/>
    <w:rsid w:val="00B6055E"/>
    <w:rsid w:val="00B6317D"/>
    <w:rsid w:val="00B719DB"/>
    <w:rsid w:val="00B7723F"/>
    <w:rsid w:val="00B80534"/>
    <w:rsid w:val="00B8433C"/>
    <w:rsid w:val="00B87491"/>
    <w:rsid w:val="00B92CE2"/>
    <w:rsid w:val="00BA29E9"/>
    <w:rsid w:val="00BA3E4F"/>
    <w:rsid w:val="00BA7142"/>
    <w:rsid w:val="00BB237C"/>
    <w:rsid w:val="00BB41A3"/>
    <w:rsid w:val="00BC32DC"/>
    <w:rsid w:val="00BC35B6"/>
    <w:rsid w:val="00BC55E4"/>
    <w:rsid w:val="00BD1B51"/>
    <w:rsid w:val="00BD4596"/>
    <w:rsid w:val="00BE1405"/>
    <w:rsid w:val="00BE312D"/>
    <w:rsid w:val="00BE640C"/>
    <w:rsid w:val="00BF1C20"/>
    <w:rsid w:val="00C10578"/>
    <w:rsid w:val="00C120D7"/>
    <w:rsid w:val="00C135BC"/>
    <w:rsid w:val="00C15C95"/>
    <w:rsid w:val="00C2596A"/>
    <w:rsid w:val="00C27537"/>
    <w:rsid w:val="00C328FE"/>
    <w:rsid w:val="00C32AEB"/>
    <w:rsid w:val="00C33507"/>
    <w:rsid w:val="00C41394"/>
    <w:rsid w:val="00C4409D"/>
    <w:rsid w:val="00C44E72"/>
    <w:rsid w:val="00C45A06"/>
    <w:rsid w:val="00C47E5B"/>
    <w:rsid w:val="00C61E4B"/>
    <w:rsid w:val="00C64BFF"/>
    <w:rsid w:val="00C704E9"/>
    <w:rsid w:val="00C763C9"/>
    <w:rsid w:val="00C80057"/>
    <w:rsid w:val="00C82232"/>
    <w:rsid w:val="00C82913"/>
    <w:rsid w:val="00C87BB2"/>
    <w:rsid w:val="00C972B1"/>
    <w:rsid w:val="00CA2CCE"/>
    <w:rsid w:val="00CA43FD"/>
    <w:rsid w:val="00CA7EF8"/>
    <w:rsid w:val="00CB1901"/>
    <w:rsid w:val="00CC489B"/>
    <w:rsid w:val="00CD2BCD"/>
    <w:rsid w:val="00CD3A4C"/>
    <w:rsid w:val="00CE10E9"/>
    <w:rsid w:val="00CE2910"/>
    <w:rsid w:val="00CE5393"/>
    <w:rsid w:val="00CF07F9"/>
    <w:rsid w:val="00CF36BE"/>
    <w:rsid w:val="00CF6000"/>
    <w:rsid w:val="00CF68DB"/>
    <w:rsid w:val="00D003F3"/>
    <w:rsid w:val="00D0364F"/>
    <w:rsid w:val="00D06834"/>
    <w:rsid w:val="00D15C7F"/>
    <w:rsid w:val="00D20C93"/>
    <w:rsid w:val="00D308ED"/>
    <w:rsid w:val="00D36D86"/>
    <w:rsid w:val="00D3794D"/>
    <w:rsid w:val="00D410E9"/>
    <w:rsid w:val="00D428AA"/>
    <w:rsid w:val="00D50A34"/>
    <w:rsid w:val="00D53EFA"/>
    <w:rsid w:val="00D94A7C"/>
    <w:rsid w:val="00D95896"/>
    <w:rsid w:val="00DA2BE0"/>
    <w:rsid w:val="00DA4D12"/>
    <w:rsid w:val="00DB2983"/>
    <w:rsid w:val="00DC1257"/>
    <w:rsid w:val="00DC3DC0"/>
    <w:rsid w:val="00DC5B2B"/>
    <w:rsid w:val="00DD318D"/>
    <w:rsid w:val="00DD5859"/>
    <w:rsid w:val="00DF2E12"/>
    <w:rsid w:val="00DF514A"/>
    <w:rsid w:val="00DF6690"/>
    <w:rsid w:val="00DF6804"/>
    <w:rsid w:val="00E0358D"/>
    <w:rsid w:val="00E04323"/>
    <w:rsid w:val="00E06783"/>
    <w:rsid w:val="00E070A2"/>
    <w:rsid w:val="00E20B9B"/>
    <w:rsid w:val="00E22FD6"/>
    <w:rsid w:val="00E2656A"/>
    <w:rsid w:val="00E34479"/>
    <w:rsid w:val="00E412D0"/>
    <w:rsid w:val="00E56322"/>
    <w:rsid w:val="00E60982"/>
    <w:rsid w:val="00E62C62"/>
    <w:rsid w:val="00E6496A"/>
    <w:rsid w:val="00E654C1"/>
    <w:rsid w:val="00E65D97"/>
    <w:rsid w:val="00E72A5A"/>
    <w:rsid w:val="00E73354"/>
    <w:rsid w:val="00E9242D"/>
    <w:rsid w:val="00E93F45"/>
    <w:rsid w:val="00EB5255"/>
    <w:rsid w:val="00EB5C47"/>
    <w:rsid w:val="00ED0639"/>
    <w:rsid w:val="00EF4755"/>
    <w:rsid w:val="00EF7135"/>
    <w:rsid w:val="00F027DB"/>
    <w:rsid w:val="00F0283C"/>
    <w:rsid w:val="00F14A7A"/>
    <w:rsid w:val="00F21478"/>
    <w:rsid w:val="00F22985"/>
    <w:rsid w:val="00F26BCF"/>
    <w:rsid w:val="00F32364"/>
    <w:rsid w:val="00F3383E"/>
    <w:rsid w:val="00F465A7"/>
    <w:rsid w:val="00F50B7C"/>
    <w:rsid w:val="00F54506"/>
    <w:rsid w:val="00F550E6"/>
    <w:rsid w:val="00F66F31"/>
    <w:rsid w:val="00F74345"/>
    <w:rsid w:val="00F80A0A"/>
    <w:rsid w:val="00F82B19"/>
    <w:rsid w:val="00F8350B"/>
    <w:rsid w:val="00F9212D"/>
    <w:rsid w:val="00F928B6"/>
    <w:rsid w:val="00F965DA"/>
    <w:rsid w:val="00FA406A"/>
    <w:rsid w:val="00FB503A"/>
    <w:rsid w:val="00FB516C"/>
    <w:rsid w:val="00FB7F8B"/>
    <w:rsid w:val="00FD0236"/>
    <w:rsid w:val="00FD02BF"/>
    <w:rsid w:val="00FD18F4"/>
    <w:rsid w:val="00FD54DB"/>
    <w:rsid w:val="00FD619F"/>
    <w:rsid w:val="00FE418B"/>
    <w:rsid w:val="00FE61CB"/>
    <w:rsid w:val="01265D4D"/>
    <w:rsid w:val="01290F7E"/>
    <w:rsid w:val="012A6BDB"/>
    <w:rsid w:val="014A2755"/>
    <w:rsid w:val="015411C5"/>
    <w:rsid w:val="015B54ED"/>
    <w:rsid w:val="015D1E09"/>
    <w:rsid w:val="016539F8"/>
    <w:rsid w:val="016B5F84"/>
    <w:rsid w:val="01722330"/>
    <w:rsid w:val="0173585E"/>
    <w:rsid w:val="019422A6"/>
    <w:rsid w:val="01966C21"/>
    <w:rsid w:val="01EB6F50"/>
    <w:rsid w:val="01FA25F9"/>
    <w:rsid w:val="01FE3D24"/>
    <w:rsid w:val="0208563A"/>
    <w:rsid w:val="023575E5"/>
    <w:rsid w:val="024E06A7"/>
    <w:rsid w:val="02697903"/>
    <w:rsid w:val="027E3C21"/>
    <w:rsid w:val="02BB54A8"/>
    <w:rsid w:val="02F96569"/>
    <w:rsid w:val="03082F4B"/>
    <w:rsid w:val="030A0A72"/>
    <w:rsid w:val="030E0E5C"/>
    <w:rsid w:val="03103BAE"/>
    <w:rsid w:val="03300B8F"/>
    <w:rsid w:val="035F0179"/>
    <w:rsid w:val="03AA7B5F"/>
    <w:rsid w:val="03D010A3"/>
    <w:rsid w:val="03E312C3"/>
    <w:rsid w:val="03E37F54"/>
    <w:rsid w:val="03EA7B21"/>
    <w:rsid w:val="03F11C32"/>
    <w:rsid w:val="04051239"/>
    <w:rsid w:val="041F60D6"/>
    <w:rsid w:val="044A30F0"/>
    <w:rsid w:val="047D1717"/>
    <w:rsid w:val="048C6CB1"/>
    <w:rsid w:val="04AA373F"/>
    <w:rsid w:val="04B1607C"/>
    <w:rsid w:val="04C5780A"/>
    <w:rsid w:val="04CA6527"/>
    <w:rsid w:val="04E26C71"/>
    <w:rsid w:val="05145BD8"/>
    <w:rsid w:val="05167156"/>
    <w:rsid w:val="051D2612"/>
    <w:rsid w:val="051D4D50"/>
    <w:rsid w:val="052E5568"/>
    <w:rsid w:val="05631BE2"/>
    <w:rsid w:val="05737E86"/>
    <w:rsid w:val="0577271C"/>
    <w:rsid w:val="05793C8D"/>
    <w:rsid w:val="05A0360C"/>
    <w:rsid w:val="05C47B94"/>
    <w:rsid w:val="05F83EAE"/>
    <w:rsid w:val="05FE23E4"/>
    <w:rsid w:val="063E7D85"/>
    <w:rsid w:val="066606B5"/>
    <w:rsid w:val="06906489"/>
    <w:rsid w:val="069E18E6"/>
    <w:rsid w:val="06D25D4A"/>
    <w:rsid w:val="06F8525B"/>
    <w:rsid w:val="07293586"/>
    <w:rsid w:val="07295285"/>
    <w:rsid w:val="07464042"/>
    <w:rsid w:val="07636392"/>
    <w:rsid w:val="07770C56"/>
    <w:rsid w:val="078B7CA7"/>
    <w:rsid w:val="079F59DC"/>
    <w:rsid w:val="07B263A2"/>
    <w:rsid w:val="07C136C9"/>
    <w:rsid w:val="07C6627C"/>
    <w:rsid w:val="07EA6E3F"/>
    <w:rsid w:val="08094AA6"/>
    <w:rsid w:val="08731403"/>
    <w:rsid w:val="08805332"/>
    <w:rsid w:val="08A0750E"/>
    <w:rsid w:val="09171817"/>
    <w:rsid w:val="09187C60"/>
    <w:rsid w:val="091A390B"/>
    <w:rsid w:val="092217DD"/>
    <w:rsid w:val="093A7294"/>
    <w:rsid w:val="0941698B"/>
    <w:rsid w:val="09585CA9"/>
    <w:rsid w:val="09702289"/>
    <w:rsid w:val="09723D05"/>
    <w:rsid w:val="098552F6"/>
    <w:rsid w:val="099850AA"/>
    <w:rsid w:val="09C573F9"/>
    <w:rsid w:val="09F323A6"/>
    <w:rsid w:val="0A1E7BA8"/>
    <w:rsid w:val="0A263993"/>
    <w:rsid w:val="0A2D3AC2"/>
    <w:rsid w:val="0A4F5AF7"/>
    <w:rsid w:val="0A5F7AC8"/>
    <w:rsid w:val="0A665900"/>
    <w:rsid w:val="0A737F99"/>
    <w:rsid w:val="0A740EC6"/>
    <w:rsid w:val="0A806DFC"/>
    <w:rsid w:val="0A8A6D11"/>
    <w:rsid w:val="0A991C74"/>
    <w:rsid w:val="0AA51C01"/>
    <w:rsid w:val="0AA755DF"/>
    <w:rsid w:val="0AEE0C79"/>
    <w:rsid w:val="0B120D44"/>
    <w:rsid w:val="0B123A20"/>
    <w:rsid w:val="0B5807E8"/>
    <w:rsid w:val="0B5F18BF"/>
    <w:rsid w:val="0B7D1FFD"/>
    <w:rsid w:val="0B94142E"/>
    <w:rsid w:val="0BA57222"/>
    <w:rsid w:val="0BD27BF6"/>
    <w:rsid w:val="0BE074C4"/>
    <w:rsid w:val="0C051C23"/>
    <w:rsid w:val="0C116467"/>
    <w:rsid w:val="0C3B3C7D"/>
    <w:rsid w:val="0C767178"/>
    <w:rsid w:val="0C8D1555"/>
    <w:rsid w:val="0CA44139"/>
    <w:rsid w:val="0CA57A5D"/>
    <w:rsid w:val="0CAB2EAE"/>
    <w:rsid w:val="0CAF4D5A"/>
    <w:rsid w:val="0CC46135"/>
    <w:rsid w:val="0CFF0F1B"/>
    <w:rsid w:val="0D3F701D"/>
    <w:rsid w:val="0D4252AC"/>
    <w:rsid w:val="0D4D6BF7"/>
    <w:rsid w:val="0D4E59FF"/>
    <w:rsid w:val="0D4F0725"/>
    <w:rsid w:val="0D5E54B9"/>
    <w:rsid w:val="0D621C7D"/>
    <w:rsid w:val="0D726DE4"/>
    <w:rsid w:val="0DD1049A"/>
    <w:rsid w:val="0DE100AF"/>
    <w:rsid w:val="0DE257C7"/>
    <w:rsid w:val="0DE27434"/>
    <w:rsid w:val="0DE32D9D"/>
    <w:rsid w:val="0DE94AD7"/>
    <w:rsid w:val="0DED19C1"/>
    <w:rsid w:val="0E145CAB"/>
    <w:rsid w:val="0E260323"/>
    <w:rsid w:val="0E656279"/>
    <w:rsid w:val="0E73034D"/>
    <w:rsid w:val="0E740BEB"/>
    <w:rsid w:val="0ECD2CAC"/>
    <w:rsid w:val="0EE64908"/>
    <w:rsid w:val="0EEB3085"/>
    <w:rsid w:val="0F115C70"/>
    <w:rsid w:val="0F130CAE"/>
    <w:rsid w:val="0F13775A"/>
    <w:rsid w:val="0F2C1D70"/>
    <w:rsid w:val="0F2D0E59"/>
    <w:rsid w:val="0F353F51"/>
    <w:rsid w:val="0F356CB1"/>
    <w:rsid w:val="0F432CFE"/>
    <w:rsid w:val="0F590BD8"/>
    <w:rsid w:val="0F5F45FE"/>
    <w:rsid w:val="0F6E05DA"/>
    <w:rsid w:val="0F775C33"/>
    <w:rsid w:val="0F817DEF"/>
    <w:rsid w:val="0F8E758F"/>
    <w:rsid w:val="0F900551"/>
    <w:rsid w:val="0F9A112B"/>
    <w:rsid w:val="0FA97864"/>
    <w:rsid w:val="0FBF3F9E"/>
    <w:rsid w:val="100C1689"/>
    <w:rsid w:val="10185198"/>
    <w:rsid w:val="105F77AF"/>
    <w:rsid w:val="106D2F64"/>
    <w:rsid w:val="107E2DB0"/>
    <w:rsid w:val="10B63710"/>
    <w:rsid w:val="10C84C7F"/>
    <w:rsid w:val="10F10820"/>
    <w:rsid w:val="10FE4C80"/>
    <w:rsid w:val="111B4434"/>
    <w:rsid w:val="111C2F7A"/>
    <w:rsid w:val="11665CA1"/>
    <w:rsid w:val="119105B0"/>
    <w:rsid w:val="11AF7F61"/>
    <w:rsid w:val="11D12AC4"/>
    <w:rsid w:val="11ED50B1"/>
    <w:rsid w:val="120A2CCD"/>
    <w:rsid w:val="120C7C36"/>
    <w:rsid w:val="124B54C7"/>
    <w:rsid w:val="124B643A"/>
    <w:rsid w:val="124E5235"/>
    <w:rsid w:val="12515D71"/>
    <w:rsid w:val="125E3226"/>
    <w:rsid w:val="12693A7E"/>
    <w:rsid w:val="126F0C04"/>
    <w:rsid w:val="128D521B"/>
    <w:rsid w:val="128F63E7"/>
    <w:rsid w:val="129553F1"/>
    <w:rsid w:val="12991E30"/>
    <w:rsid w:val="12C56763"/>
    <w:rsid w:val="12DF0A6D"/>
    <w:rsid w:val="12DF406E"/>
    <w:rsid w:val="12E30286"/>
    <w:rsid w:val="12EE01CF"/>
    <w:rsid w:val="13051255"/>
    <w:rsid w:val="1342288C"/>
    <w:rsid w:val="135E45BA"/>
    <w:rsid w:val="1361772B"/>
    <w:rsid w:val="137B1518"/>
    <w:rsid w:val="13951726"/>
    <w:rsid w:val="13B97CAE"/>
    <w:rsid w:val="13DA4490"/>
    <w:rsid w:val="13FC4407"/>
    <w:rsid w:val="140A100E"/>
    <w:rsid w:val="141F46DF"/>
    <w:rsid w:val="142D3BA5"/>
    <w:rsid w:val="14307984"/>
    <w:rsid w:val="14396509"/>
    <w:rsid w:val="144D7F39"/>
    <w:rsid w:val="14737576"/>
    <w:rsid w:val="14935A24"/>
    <w:rsid w:val="14D62EA9"/>
    <w:rsid w:val="14D64496"/>
    <w:rsid w:val="14DA401C"/>
    <w:rsid w:val="14DD2C3C"/>
    <w:rsid w:val="15332CF5"/>
    <w:rsid w:val="154020D1"/>
    <w:rsid w:val="154D2390"/>
    <w:rsid w:val="15681628"/>
    <w:rsid w:val="15774AED"/>
    <w:rsid w:val="15842D98"/>
    <w:rsid w:val="15913757"/>
    <w:rsid w:val="1593695D"/>
    <w:rsid w:val="15A05265"/>
    <w:rsid w:val="15A15172"/>
    <w:rsid w:val="15A73633"/>
    <w:rsid w:val="15BF25AC"/>
    <w:rsid w:val="15C02C1E"/>
    <w:rsid w:val="15F23BF0"/>
    <w:rsid w:val="16087E1D"/>
    <w:rsid w:val="16355FE0"/>
    <w:rsid w:val="1647208B"/>
    <w:rsid w:val="1698549C"/>
    <w:rsid w:val="169E634E"/>
    <w:rsid w:val="16C136E5"/>
    <w:rsid w:val="16DA54DE"/>
    <w:rsid w:val="16E813F8"/>
    <w:rsid w:val="17104B63"/>
    <w:rsid w:val="172D48D7"/>
    <w:rsid w:val="176F6B9A"/>
    <w:rsid w:val="17701672"/>
    <w:rsid w:val="17701D14"/>
    <w:rsid w:val="17735226"/>
    <w:rsid w:val="177F5F55"/>
    <w:rsid w:val="17971FA5"/>
    <w:rsid w:val="179D0863"/>
    <w:rsid w:val="179E57D5"/>
    <w:rsid w:val="179F6564"/>
    <w:rsid w:val="17A26DB6"/>
    <w:rsid w:val="17A76437"/>
    <w:rsid w:val="17B356A0"/>
    <w:rsid w:val="17B97E34"/>
    <w:rsid w:val="17F94A53"/>
    <w:rsid w:val="18075128"/>
    <w:rsid w:val="1845486A"/>
    <w:rsid w:val="18576C7B"/>
    <w:rsid w:val="187004C1"/>
    <w:rsid w:val="1881238F"/>
    <w:rsid w:val="189543D9"/>
    <w:rsid w:val="189F624C"/>
    <w:rsid w:val="18AB5BE9"/>
    <w:rsid w:val="18AF7445"/>
    <w:rsid w:val="191D72FB"/>
    <w:rsid w:val="19302372"/>
    <w:rsid w:val="198A6D15"/>
    <w:rsid w:val="198D3D53"/>
    <w:rsid w:val="199C0024"/>
    <w:rsid w:val="19CF6BB8"/>
    <w:rsid w:val="19E41BC5"/>
    <w:rsid w:val="19F83BC1"/>
    <w:rsid w:val="1A0A0EFF"/>
    <w:rsid w:val="1A1B5ACC"/>
    <w:rsid w:val="1A1C66C0"/>
    <w:rsid w:val="1A42393B"/>
    <w:rsid w:val="1A425F4D"/>
    <w:rsid w:val="1A432DD4"/>
    <w:rsid w:val="1A5F749D"/>
    <w:rsid w:val="1A864A2A"/>
    <w:rsid w:val="1AA475A6"/>
    <w:rsid w:val="1AAD45DE"/>
    <w:rsid w:val="1AB245E7"/>
    <w:rsid w:val="1AF11EF8"/>
    <w:rsid w:val="1AF432EF"/>
    <w:rsid w:val="1B046F80"/>
    <w:rsid w:val="1B0F4FB4"/>
    <w:rsid w:val="1B250ECA"/>
    <w:rsid w:val="1B3267B5"/>
    <w:rsid w:val="1B352AA3"/>
    <w:rsid w:val="1B40161D"/>
    <w:rsid w:val="1B441859"/>
    <w:rsid w:val="1B6606B1"/>
    <w:rsid w:val="1B662AAD"/>
    <w:rsid w:val="1B6D2459"/>
    <w:rsid w:val="1BB813DF"/>
    <w:rsid w:val="1BC11CA7"/>
    <w:rsid w:val="1BE87943"/>
    <w:rsid w:val="1BFE346A"/>
    <w:rsid w:val="1C1442B7"/>
    <w:rsid w:val="1C2877DD"/>
    <w:rsid w:val="1C42406F"/>
    <w:rsid w:val="1C4A1103"/>
    <w:rsid w:val="1C536B8E"/>
    <w:rsid w:val="1C5E7925"/>
    <w:rsid w:val="1C6B11F4"/>
    <w:rsid w:val="1CA44783"/>
    <w:rsid w:val="1CA7512B"/>
    <w:rsid w:val="1CBB76EF"/>
    <w:rsid w:val="1CBD687F"/>
    <w:rsid w:val="1CCC67A6"/>
    <w:rsid w:val="1CDA6800"/>
    <w:rsid w:val="1CE16F00"/>
    <w:rsid w:val="1CFD070F"/>
    <w:rsid w:val="1D077978"/>
    <w:rsid w:val="1D181B85"/>
    <w:rsid w:val="1D1F719B"/>
    <w:rsid w:val="1D2A7705"/>
    <w:rsid w:val="1D504373"/>
    <w:rsid w:val="1D5F6196"/>
    <w:rsid w:val="1D6132A5"/>
    <w:rsid w:val="1D7A22FD"/>
    <w:rsid w:val="1D871B87"/>
    <w:rsid w:val="1D8D3B24"/>
    <w:rsid w:val="1D8E56D5"/>
    <w:rsid w:val="1DA5543D"/>
    <w:rsid w:val="1DBE72A7"/>
    <w:rsid w:val="1DC26EAB"/>
    <w:rsid w:val="1DDE4ADF"/>
    <w:rsid w:val="1E0839A8"/>
    <w:rsid w:val="1E1201FA"/>
    <w:rsid w:val="1E1876BB"/>
    <w:rsid w:val="1E221E7B"/>
    <w:rsid w:val="1E7A43DA"/>
    <w:rsid w:val="1E965325"/>
    <w:rsid w:val="1EAB35C8"/>
    <w:rsid w:val="1EC041C3"/>
    <w:rsid w:val="1EE208C3"/>
    <w:rsid w:val="1EF40D4B"/>
    <w:rsid w:val="1F533349"/>
    <w:rsid w:val="1F61406A"/>
    <w:rsid w:val="1F645877"/>
    <w:rsid w:val="1F686DF4"/>
    <w:rsid w:val="1F7312F5"/>
    <w:rsid w:val="1F86397F"/>
    <w:rsid w:val="1FAF034E"/>
    <w:rsid w:val="1FCF0C21"/>
    <w:rsid w:val="1FE7539E"/>
    <w:rsid w:val="1FEB540F"/>
    <w:rsid w:val="1FF97891"/>
    <w:rsid w:val="20144886"/>
    <w:rsid w:val="203A09C9"/>
    <w:rsid w:val="203B62B7"/>
    <w:rsid w:val="20446600"/>
    <w:rsid w:val="20671BE0"/>
    <w:rsid w:val="20675A0B"/>
    <w:rsid w:val="207C0C13"/>
    <w:rsid w:val="207D067D"/>
    <w:rsid w:val="20847B91"/>
    <w:rsid w:val="2088791F"/>
    <w:rsid w:val="208C7916"/>
    <w:rsid w:val="209239FD"/>
    <w:rsid w:val="20937974"/>
    <w:rsid w:val="20963CB8"/>
    <w:rsid w:val="20A215C4"/>
    <w:rsid w:val="20A81A1B"/>
    <w:rsid w:val="20B07FB6"/>
    <w:rsid w:val="20B646FB"/>
    <w:rsid w:val="20DD6589"/>
    <w:rsid w:val="210811A6"/>
    <w:rsid w:val="210E200E"/>
    <w:rsid w:val="21332BF6"/>
    <w:rsid w:val="213B74B1"/>
    <w:rsid w:val="2153365C"/>
    <w:rsid w:val="215A2310"/>
    <w:rsid w:val="21613511"/>
    <w:rsid w:val="2164183D"/>
    <w:rsid w:val="219A525F"/>
    <w:rsid w:val="219F6C89"/>
    <w:rsid w:val="21A2641D"/>
    <w:rsid w:val="21BF0821"/>
    <w:rsid w:val="21C01FC9"/>
    <w:rsid w:val="21DE318A"/>
    <w:rsid w:val="21ED538F"/>
    <w:rsid w:val="21EF5B80"/>
    <w:rsid w:val="221047BF"/>
    <w:rsid w:val="22252D7A"/>
    <w:rsid w:val="22392E23"/>
    <w:rsid w:val="224712D3"/>
    <w:rsid w:val="22576990"/>
    <w:rsid w:val="226B2757"/>
    <w:rsid w:val="227B0BEC"/>
    <w:rsid w:val="227E692E"/>
    <w:rsid w:val="22872D0C"/>
    <w:rsid w:val="22BF24D6"/>
    <w:rsid w:val="22C470C0"/>
    <w:rsid w:val="22CD2B36"/>
    <w:rsid w:val="22F47480"/>
    <w:rsid w:val="22FA54CB"/>
    <w:rsid w:val="231A50FC"/>
    <w:rsid w:val="235558E1"/>
    <w:rsid w:val="23564E0E"/>
    <w:rsid w:val="236E784F"/>
    <w:rsid w:val="239857CE"/>
    <w:rsid w:val="23AA0ABB"/>
    <w:rsid w:val="23C87E61"/>
    <w:rsid w:val="23DE1C48"/>
    <w:rsid w:val="23E96148"/>
    <w:rsid w:val="23EA29D1"/>
    <w:rsid w:val="23F46EA8"/>
    <w:rsid w:val="23FA2FA7"/>
    <w:rsid w:val="240210CD"/>
    <w:rsid w:val="240E0C39"/>
    <w:rsid w:val="244B2840"/>
    <w:rsid w:val="24650E12"/>
    <w:rsid w:val="24A0493A"/>
    <w:rsid w:val="24BF09F7"/>
    <w:rsid w:val="24DE5F7F"/>
    <w:rsid w:val="24EA3863"/>
    <w:rsid w:val="252433BD"/>
    <w:rsid w:val="252D53FE"/>
    <w:rsid w:val="252F3F10"/>
    <w:rsid w:val="2539265F"/>
    <w:rsid w:val="254F1A64"/>
    <w:rsid w:val="25555395"/>
    <w:rsid w:val="25597C7D"/>
    <w:rsid w:val="256A3074"/>
    <w:rsid w:val="256A3E9F"/>
    <w:rsid w:val="25AD0522"/>
    <w:rsid w:val="25CB1E8B"/>
    <w:rsid w:val="25CB3927"/>
    <w:rsid w:val="25EC2D81"/>
    <w:rsid w:val="260A1640"/>
    <w:rsid w:val="260E49EB"/>
    <w:rsid w:val="26232F6E"/>
    <w:rsid w:val="26342436"/>
    <w:rsid w:val="26451C3D"/>
    <w:rsid w:val="26873E42"/>
    <w:rsid w:val="269C7383"/>
    <w:rsid w:val="26AA1AA0"/>
    <w:rsid w:val="26BA28E2"/>
    <w:rsid w:val="26C61A12"/>
    <w:rsid w:val="26CA5DFF"/>
    <w:rsid w:val="26CE55DE"/>
    <w:rsid w:val="26DE582F"/>
    <w:rsid w:val="26E04A92"/>
    <w:rsid w:val="26F251F5"/>
    <w:rsid w:val="271E5FEA"/>
    <w:rsid w:val="272A6E20"/>
    <w:rsid w:val="27363299"/>
    <w:rsid w:val="27420208"/>
    <w:rsid w:val="277057A2"/>
    <w:rsid w:val="277705DD"/>
    <w:rsid w:val="278E3170"/>
    <w:rsid w:val="27A02608"/>
    <w:rsid w:val="27C60B5C"/>
    <w:rsid w:val="27E53959"/>
    <w:rsid w:val="27F31225"/>
    <w:rsid w:val="282D003A"/>
    <w:rsid w:val="283C1605"/>
    <w:rsid w:val="28416434"/>
    <w:rsid w:val="284303FE"/>
    <w:rsid w:val="286E6A8B"/>
    <w:rsid w:val="287A768B"/>
    <w:rsid w:val="28870697"/>
    <w:rsid w:val="288B1F15"/>
    <w:rsid w:val="2891187E"/>
    <w:rsid w:val="28C72DDD"/>
    <w:rsid w:val="28EB30FF"/>
    <w:rsid w:val="29206EB8"/>
    <w:rsid w:val="29467981"/>
    <w:rsid w:val="294E07F4"/>
    <w:rsid w:val="29595666"/>
    <w:rsid w:val="296F1BD7"/>
    <w:rsid w:val="2987256D"/>
    <w:rsid w:val="29874881"/>
    <w:rsid w:val="29930F11"/>
    <w:rsid w:val="29981AF1"/>
    <w:rsid w:val="29E21551"/>
    <w:rsid w:val="29E269C2"/>
    <w:rsid w:val="29E325E0"/>
    <w:rsid w:val="2A060A31"/>
    <w:rsid w:val="2A2A3AC7"/>
    <w:rsid w:val="2A452503"/>
    <w:rsid w:val="2A6401B8"/>
    <w:rsid w:val="2A662182"/>
    <w:rsid w:val="2AA902C1"/>
    <w:rsid w:val="2AC45C77"/>
    <w:rsid w:val="2AD313F2"/>
    <w:rsid w:val="2AD403F1"/>
    <w:rsid w:val="2AD53F37"/>
    <w:rsid w:val="2B035C23"/>
    <w:rsid w:val="2B0B3F69"/>
    <w:rsid w:val="2B163BA8"/>
    <w:rsid w:val="2B1F1409"/>
    <w:rsid w:val="2B3D0F5F"/>
    <w:rsid w:val="2B4A5600"/>
    <w:rsid w:val="2B5C32EC"/>
    <w:rsid w:val="2B8949D6"/>
    <w:rsid w:val="2BA936A8"/>
    <w:rsid w:val="2BB05DAB"/>
    <w:rsid w:val="2BC95D21"/>
    <w:rsid w:val="2BD73412"/>
    <w:rsid w:val="2C1F4644"/>
    <w:rsid w:val="2C2174C7"/>
    <w:rsid w:val="2C293467"/>
    <w:rsid w:val="2C2D017D"/>
    <w:rsid w:val="2C315A5A"/>
    <w:rsid w:val="2C4B1C25"/>
    <w:rsid w:val="2C8A344F"/>
    <w:rsid w:val="2CC62922"/>
    <w:rsid w:val="2CE61358"/>
    <w:rsid w:val="2CFF6BEE"/>
    <w:rsid w:val="2D145EC5"/>
    <w:rsid w:val="2D1A41C9"/>
    <w:rsid w:val="2D460049"/>
    <w:rsid w:val="2D4F0933"/>
    <w:rsid w:val="2D662499"/>
    <w:rsid w:val="2D696BA1"/>
    <w:rsid w:val="2D8A6187"/>
    <w:rsid w:val="2D8D5C78"/>
    <w:rsid w:val="2D9E56F5"/>
    <w:rsid w:val="2DC378EB"/>
    <w:rsid w:val="2E02522F"/>
    <w:rsid w:val="2E053A60"/>
    <w:rsid w:val="2E0B0BD7"/>
    <w:rsid w:val="2E2C36E3"/>
    <w:rsid w:val="2E2C6BA8"/>
    <w:rsid w:val="2E2C723F"/>
    <w:rsid w:val="2E301A39"/>
    <w:rsid w:val="2E667F96"/>
    <w:rsid w:val="2E8226AB"/>
    <w:rsid w:val="2E9848D4"/>
    <w:rsid w:val="2E9E5F43"/>
    <w:rsid w:val="2EB653FD"/>
    <w:rsid w:val="2EFA733D"/>
    <w:rsid w:val="2F001019"/>
    <w:rsid w:val="2F231F0B"/>
    <w:rsid w:val="2F3740ED"/>
    <w:rsid w:val="2F430CE4"/>
    <w:rsid w:val="2F6D6AB7"/>
    <w:rsid w:val="2F72578C"/>
    <w:rsid w:val="2F77273B"/>
    <w:rsid w:val="2F793A1F"/>
    <w:rsid w:val="2F9F1DA1"/>
    <w:rsid w:val="2FD065E6"/>
    <w:rsid w:val="2FD31653"/>
    <w:rsid w:val="2FD96870"/>
    <w:rsid w:val="2FEA5400"/>
    <w:rsid w:val="2FF146A8"/>
    <w:rsid w:val="2FF3270A"/>
    <w:rsid w:val="2FF55101"/>
    <w:rsid w:val="30024C38"/>
    <w:rsid w:val="301B57BD"/>
    <w:rsid w:val="302C1778"/>
    <w:rsid w:val="30466CDD"/>
    <w:rsid w:val="30550FAD"/>
    <w:rsid w:val="30580944"/>
    <w:rsid w:val="30580BC9"/>
    <w:rsid w:val="30665BEF"/>
    <w:rsid w:val="30677767"/>
    <w:rsid w:val="309B06AC"/>
    <w:rsid w:val="30E84CA0"/>
    <w:rsid w:val="30EB5514"/>
    <w:rsid w:val="311E2ED7"/>
    <w:rsid w:val="311F31F4"/>
    <w:rsid w:val="311F50CB"/>
    <w:rsid w:val="313F7907"/>
    <w:rsid w:val="3150173C"/>
    <w:rsid w:val="315619EE"/>
    <w:rsid w:val="315C449C"/>
    <w:rsid w:val="31736322"/>
    <w:rsid w:val="31853836"/>
    <w:rsid w:val="318F2491"/>
    <w:rsid w:val="31A17F44"/>
    <w:rsid w:val="31B45FC6"/>
    <w:rsid w:val="31B47C77"/>
    <w:rsid w:val="31B82709"/>
    <w:rsid w:val="31C11014"/>
    <w:rsid w:val="31CA1B5A"/>
    <w:rsid w:val="31D05482"/>
    <w:rsid w:val="31D64091"/>
    <w:rsid w:val="320A3D3B"/>
    <w:rsid w:val="320F3B9D"/>
    <w:rsid w:val="32193F7E"/>
    <w:rsid w:val="3219799F"/>
    <w:rsid w:val="32235BD5"/>
    <w:rsid w:val="322A4ECE"/>
    <w:rsid w:val="32400B34"/>
    <w:rsid w:val="325859E5"/>
    <w:rsid w:val="32847649"/>
    <w:rsid w:val="3289182B"/>
    <w:rsid w:val="329530EF"/>
    <w:rsid w:val="329579D1"/>
    <w:rsid w:val="329E6876"/>
    <w:rsid w:val="32A7158A"/>
    <w:rsid w:val="32B81B73"/>
    <w:rsid w:val="32D677C7"/>
    <w:rsid w:val="32D87715"/>
    <w:rsid w:val="32DD520A"/>
    <w:rsid w:val="32F3716F"/>
    <w:rsid w:val="330259E4"/>
    <w:rsid w:val="332130EA"/>
    <w:rsid w:val="332B4A08"/>
    <w:rsid w:val="333015F2"/>
    <w:rsid w:val="33386686"/>
    <w:rsid w:val="334156CB"/>
    <w:rsid w:val="334B6320"/>
    <w:rsid w:val="33CF32E9"/>
    <w:rsid w:val="33D934D4"/>
    <w:rsid w:val="33FE2F6A"/>
    <w:rsid w:val="340D2987"/>
    <w:rsid w:val="340E07E5"/>
    <w:rsid w:val="34147774"/>
    <w:rsid w:val="342174AA"/>
    <w:rsid w:val="34235BF7"/>
    <w:rsid w:val="34620DEE"/>
    <w:rsid w:val="347F0F65"/>
    <w:rsid w:val="34C50A89"/>
    <w:rsid w:val="34EA6A1B"/>
    <w:rsid w:val="351922F3"/>
    <w:rsid w:val="35216CEF"/>
    <w:rsid w:val="352B46F4"/>
    <w:rsid w:val="35397636"/>
    <w:rsid w:val="35586EC5"/>
    <w:rsid w:val="356A06B7"/>
    <w:rsid w:val="358C5FA8"/>
    <w:rsid w:val="35C15DF1"/>
    <w:rsid w:val="35D22DC1"/>
    <w:rsid w:val="35E04F0B"/>
    <w:rsid w:val="36074A7F"/>
    <w:rsid w:val="361B3181"/>
    <w:rsid w:val="3627310D"/>
    <w:rsid w:val="36590DED"/>
    <w:rsid w:val="365A371D"/>
    <w:rsid w:val="366C1CEE"/>
    <w:rsid w:val="367220CD"/>
    <w:rsid w:val="367F656F"/>
    <w:rsid w:val="368837AC"/>
    <w:rsid w:val="36923549"/>
    <w:rsid w:val="36932551"/>
    <w:rsid w:val="36B54BF8"/>
    <w:rsid w:val="36B75FBF"/>
    <w:rsid w:val="36BB164F"/>
    <w:rsid w:val="36BC7089"/>
    <w:rsid w:val="36BD0C45"/>
    <w:rsid w:val="36E33819"/>
    <w:rsid w:val="371A4A20"/>
    <w:rsid w:val="3728528F"/>
    <w:rsid w:val="379272C8"/>
    <w:rsid w:val="37A147F9"/>
    <w:rsid w:val="37C14E9C"/>
    <w:rsid w:val="37E00298"/>
    <w:rsid w:val="37EB3CC7"/>
    <w:rsid w:val="38466C9C"/>
    <w:rsid w:val="3868006C"/>
    <w:rsid w:val="388E1333"/>
    <w:rsid w:val="389023ED"/>
    <w:rsid w:val="38966328"/>
    <w:rsid w:val="38A1238D"/>
    <w:rsid w:val="38A6176F"/>
    <w:rsid w:val="38B302F9"/>
    <w:rsid w:val="38B706D0"/>
    <w:rsid w:val="38E6196A"/>
    <w:rsid w:val="38F12CD3"/>
    <w:rsid w:val="38F94775"/>
    <w:rsid w:val="39153875"/>
    <w:rsid w:val="39253208"/>
    <w:rsid w:val="392971ED"/>
    <w:rsid w:val="39325651"/>
    <w:rsid w:val="393E60ED"/>
    <w:rsid w:val="39AE4A1B"/>
    <w:rsid w:val="39B72F8C"/>
    <w:rsid w:val="39D34D5A"/>
    <w:rsid w:val="39E62997"/>
    <w:rsid w:val="39E92530"/>
    <w:rsid w:val="3A015A23"/>
    <w:rsid w:val="3A2B081A"/>
    <w:rsid w:val="3A4563D8"/>
    <w:rsid w:val="3A4B1C9F"/>
    <w:rsid w:val="3A5B15D7"/>
    <w:rsid w:val="3A872856"/>
    <w:rsid w:val="3A9F32B2"/>
    <w:rsid w:val="3ABD2F60"/>
    <w:rsid w:val="3AC23405"/>
    <w:rsid w:val="3AC727C9"/>
    <w:rsid w:val="3B266D39"/>
    <w:rsid w:val="3B3763D1"/>
    <w:rsid w:val="3B481A4E"/>
    <w:rsid w:val="3B9B19BB"/>
    <w:rsid w:val="3BAC436E"/>
    <w:rsid w:val="3BD374FF"/>
    <w:rsid w:val="3BEA2CE9"/>
    <w:rsid w:val="3C2F6E1E"/>
    <w:rsid w:val="3C434B4A"/>
    <w:rsid w:val="3C4F64BA"/>
    <w:rsid w:val="3C576308"/>
    <w:rsid w:val="3C6A45E7"/>
    <w:rsid w:val="3C7B6637"/>
    <w:rsid w:val="3C8666B4"/>
    <w:rsid w:val="3C9D4B5D"/>
    <w:rsid w:val="3CC72F54"/>
    <w:rsid w:val="3CDA245A"/>
    <w:rsid w:val="3CE31410"/>
    <w:rsid w:val="3CFD3A75"/>
    <w:rsid w:val="3D054D16"/>
    <w:rsid w:val="3D1E06B7"/>
    <w:rsid w:val="3D3943AD"/>
    <w:rsid w:val="3D45031D"/>
    <w:rsid w:val="3D76518D"/>
    <w:rsid w:val="3DAE7C70"/>
    <w:rsid w:val="3DB84D61"/>
    <w:rsid w:val="3DC36269"/>
    <w:rsid w:val="3DD048A4"/>
    <w:rsid w:val="3DE63F54"/>
    <w:rsid w:val="3DF633C5"/>
    <w:rsid w:val="3DF7043B"/>
    <w:rsid w:val="3E0859A6"/>
    <w:rsid w:val="3E3B6A8E"/>
    <w:rsid w:val="3E614131"/>
    <w:rsid w:val="3E6B3550"/>
    <w:rsid w:val="3E742851"/>
    <w:rsid w:val="3EDA0523"/>
    <w:rsid w:val="3F2F7E24"/>
    <w:rsid w:val="3F375A43"/>
    <w:rsid w:val="3F407734"/>
    <w:rsid w:val="3F584337"/>
    <w:rsid w:val="3F744EE9"/>
    <w:rsid w:val="3F8C5D8F"/>
    <w:rsid w:val="3FC93379"/>
    <w:rsid w:val="3FD90953"/>
    <w:rsid w:val="3FE91433"/>
    <w:rsid w:val="3FF322B2"/>
    <w:rsid w:val="3FF4471C"/>
    <w:rsid w:val="3FF51B86"/>
    <w:rsid w:val="40167D4F"/>
    <w:rsid w:val="406502ED"/>
    <w:rsid w:val="406638CE"/>
    <w:rsid w:val="407A6407"/>
    <w:rsid w:val="408619CF"/>
    <w:rsid w:val="40FE492F"/>
    <w:rsid w:val="410018BF"/>
    <w:rsid w:val="410A7999"/>
    <w:rsid w:val="418F5A45"/>
    <w:rsid w:val="419829C1"/>
    <w:rsid w:val="41A84116"/>
    <w:rsid w:val="41AD377A"/>
    <w:rsid w:val="41BE244C"/>
    <w:rsid w:val="41D373A4"/>
    <w:rsid w:val="41D53AB6"/>
    <w:rsid w:val="41EC520B"/>
    <w:rsid w:val="4200449D"/>
    <w:rsid w:val="4225252F"/>
    <w:rsid w:val="422C5607"/>
    <w:rsid w:val="423A3BCC"/>
    <w:rsid w:val="423D69FF"/>
    <w:rsid w:val="424E57D2"/>
    <w:rsid w:val="426923B8"/>
    <w:rsid w:val="42753891"/>
    <w:rsid w:val="42B26C49"/>
    <w:rsid w:val="42B86B0D"/>
    <w:rsid w:val="42BB5123"/>
    <w:rsid w:val="42EC0F24"/>
    <w:rsid w:val="430E5FAF"/>
    <w:rsid w:val="4314168D"/>
    <w:rsid w:val="433A6FE6"/>
    <w:rsid w:val="43480868"/>
    <w:rsid w:val="4350713C"/>
    <w:rsid w:val="436653E0"/>
    <w:rsid w:val="4377580B"/>
    <w:rsid w:val="438A13B0"/>
    <w:rsid w:val="438F40A0"/>
    <w:rsid w:val="4396447A"/>
    <w:rsid w:val="439F6C25"/>
    <w:rsid w:val="43B6162D"/>
    <w:rsid w:val="43C4431A"/>
    <w:rsid w:val="43D77C66"/>
    <w:rsid w:val="440F09E7"/>
    <w:rsid w:val="44251134"/>
    <w:rsid w:val="44352E99"/>
    <w:rsid w:val="44654E01"/>
    <w:rsid w:val="449623F4"/>
    <w:rsid w:val="44AD7B5B"/>
    <w:rsid w:val="44B951CC"/>
    <w:rsid w:val="44CD14E0"/>
    <w:rsid w:val="44F20B0B"/>
    <w:rsid w:val="45057E12"/>
    <w:rsid w:val="452E5F4C"/>
    <w:rsid w:val="45612018"/>
    <w:rsid w:val="458946E9"/>
    <w:rsid w:val="45951BB1"/>
    <w:rsid w:val="45A007E6"/>
    <w:rsid w:val="45A30CBC"/>
    <w:rsid w:val="45A47C0E"/>
    <w:rsid w:val="45D21CF5"/>
    <w:rsid w:val="45D4028F"/>
    <w:rsid w:val="46040D75"/>
    <w:rsid w:val="46091949"/>
    <w:rsid w:val="46294B40"/>
    <w:rsid w:val="462B6BB2"/>
    <w:rsid w:val="46462586"/>
    <w:rsid w:val="46577FD6"/>
    <w:rsid w:val="46A86EE9"/>
    <w:rsid w:val="46D231A3"/>
    <w:rsid w:val="46D955A7"/>
    <w:rsid w:val="46EB3CE3"/>
    <w:rsid w:val="470B1521"/>
    <w:rsid w:val="47133957"/>
    <w:rsid w:val="47396B89"/>
    <w:rsid w:val="475F2999"/>
    <w:rsid w:val="47A07E0C"/>
    <w:rsid w:val="47AE7B30"/>
    <w:rsid w:val="47DD2CD0"/>
    <w:rsid w:val="47E9650D"/>
    <w:rsid w:val="47EA0445"/>
    <w:rsid w:val="48043B78"/>
    <w:rsid w:val="480768FB"/>
    <w:rsid w:val="480A3EF4"/>
    <w:rsid w:val="48343BC0"/>
    <w:rsid w:val="48383005"/>
    <w:rsid w:val="48561630"/>
    <w:rsid w:val="4870272E"/>
    <w:rsid w:val="4882498D"/>
    <w:rsid w:val="488E10F3"/>
    <w:rsid w:val="48C339FA"/>
    <w:rsid w:val="48E16144"/>
    <w:rsid w:val="48FB1178"/>
    <w:rsid w:val="48FD7CFE"/>
    <w:rsid w:val="48FE0AAE"/>
    <w:rsid w:val="492E7A46"/>
    <w:rsid w:val="49506EA2"/>
    <w:rsid w:val="497D6DB8"/>
    <w:rsid w:val="49872002"/>
    <w:rsid w:val="499B3E27"/>
    <w:rsid w:val="49AE2E73"/>
    <w:rsid w:val="49B0678B"/>
    <w:rsid w:val="49B27143"/>
    <w:rsid w:val="49C16F7D"/>
    <w:rsid w:val="49DC7715"/>
    <w:rsid w:val="49FA1AB5"/>
    <w:rsid w:val="4A023139"/>
    <w:rsid w:val="4A0A73D9"/>
    <w:rsid w:val="4A4200BE"/>
    <w:rsid w:val="4A7B576F"/>
    <w:rsid w:val="4A7C59F6"/>
    <w:rsid w:val="4A9621B8"/>
    <w:rsid w:val="4AC02575"/>
    <w:rsid w:val="4AEC002A"/>
    <w:rsid w:val="4AEC39B8"/>
    <w:rsid w:val="4AF561A9"/>
    <w:rsid w:val="4B0028FA"/>
    <w:rsid w:val="4B6C00AA"/>
    <w:rsid w:val="4B9E3B34"/>
    <w:rsid w:val="4BBB79AE"/>
    <w:rsid w:val="4BCA636B"/>
    <w:rsid w:val="4C1D1A13"/>
    <w:rsid w:val="4C3916F3"/>
    <w:rsid w:val="4C461E7D"/>
    <w:rsid w:val="4C4A0649"/>
    <w:rsid w:val="4C7E5ECA"/>
    <w:rsid w:val="4C876AA5"/>
    <w:rsid w:val="4C90449D"/>
    <w:rsid w:val="4C950675"/>
    <w:rsid w:val="4CBA252C"/>
    <w:rsid w:val="4CCE4B31"/>
    <w:rsid w:val="4CE8363B"/>
    <w:rsid w:val="4D027A90"/>
    <w:rsid w:val="4D082A85"/>
    <w:rsid w:val="4D0E00FB"/>
    <w:rsid w:val="4D176606"/>
    <w:rsid w:val="4D2D318F"/>
    <w:rsid w:val="4D325705"/>
    <w:rsid w:val="4D453A21"/>
    <w:rsid w:val="4D4D1254"/>
    <w:rsid w:val="4D517053"/>
    <w:rsid w:val="4D896B40"/>
    <w:rsid w:val="4DA21D24"/>
    <w:rsid w:val="4DC4415E"/>
    <w:rsid w:val="4DCE0901"/>
    <w:rsid w:val="4DEC4FB0"/>
    <w:rsid w:val="4E021A0E"/>
    <w:rsid w:val="4E075D8A"/>
    <w:rsid w:val="4E3114E3"/>
    <w:rsid w:val="4E9D5E43"/>
    <w:rsid w:val="4EC00FAD"/>
    <w:rsid w:val="4ECE0172"/>
    <w:rsid w:val="4F0C0C9A"/>
    <w:rsid w:val="4F225CB3"/>
    <w:rsid w:val="4F3B50DC"/>
    <w:rsid w:val="4F3D4870"/>
    <w:rsid w:val="4F624D5E"/>
    <w:rsid w:val="4F6B3C13"/>
    <w:rsid w:val="4F702CB0"/>
    <w:rsid w:val="4F8B0D4F"/>
    <w:rsid w:val="4F953553"/>
    <w:rsid w:val="4F9843DC"/>
    <w:rsid w:val="4F9C18CC"/>
    <w:rsid w:val="4FAF7F20"/>
    <w:rsid w:val="4FC62A8C"/>
    <w:rsid w:val="4FDC241B"/>
    <w:rsid w:val="4FE20F0D"/>
    <w:rsid w:val="4FE51552"/>
    <w:rsid w:val="503B276F"/>
    <w:rsid w:val="503E02C1"/>
    <w:rsid w:val="503E1024"/>
    <w:rsid w:val="50504C4B"/>
    <w:rsid w:val="50697A27"/>
    <w:rsid w:val="506A23CA"/>
    <w:rsid w:val="506D2079"/>
    <w:rsid w:val="50913DD5"/>
    <w:rsid w:val="509C6E7C"/>
    <w:rsid w:val="50A8777E"/>
    <w:rsid w:val="50AD5A59"/>
    <w:rsid w:val="50B113C7"/>
    <w:rsid w:val="50C000D6"/>
    <w:rsid w:val="50C23D07"/>
    <w:rsid w:val="50C335DB"/>
    <w:rsid w:val="50F419E6"/>
    <w:rsid w:val="50F727E1"/>
    <w:rsid w:val="50F87728"/>
    <w:rsid w:val="51295A50"/>
    <w:rsid w:val="512E165F"/>
    <w:rsid w:val="5162104E"/>
    <w:rsid w:val="5166577A"/>
    <w:rsid w:val="516E2A1C"/>
    <w:rsid w:val="5174670D"/>
    <w:rsid w:val="517D7B5B"/>
    <w:rsid w:val="51804623"/>
    <w:rsid w:val="518B31D2"/>
    <w:rsid w:val="519802C1"/>
    <w:rsid w:val="51986815"/>
    <w:rsid w:val="51B82AB2"/>
    <w:rsid w:val="51CC64BF"/>
    <w:rsid w:val="51D90E10"/>
    <w:rsid w:val="5240491E"/>
    <w:rsid w:val="52522E68"/>
    <w:rsid w:val="52AB07CA"/>
    <w:rsid w:val="52AD7EAB"/>
    <w:rsid w:val="52C47953"/>
    <w:rsid w:val="52CC0E87"/>
    <w:rsid w:val="52E815A0"/>
    <w:rsid w:val="52FD5AF6"/>
    <w:rsid w:val="53033532"/>
    <w:rsid w:val="5320176D"/>
    <w:rsid w:val="53430A03"/>
    <w:rsid w:val="535F3A8F"/>
    <w:rsid w:val="5371731E"/>
    <w:rsid w:val="53A039CC"/>
    <w:rsid w:val="53A1505A"/>
    <w:rsid w:val="53DA3854"/>
    <w:rsid w:val="53F87A3F"/>
    <w:rsid w:val="54063E08"/>
    <w:rsid w:val="541E0B5F"/>
    <w:rsid w:val="542C1497"/>
    <w:rsid w:val="543437E8"/>
    <w:rsid w:val="546A280A"/>
    <w:rsid w:val="546D11DA"/>
    <w:rsid w:val="547A6C9A"/>
    <w:rsid w:val="547B3686"/>
    <w:rsid w:val="54807E9A"/>
    <w:rsid w:val="54A85BDC"/>
    <w:rsid w:val="54AE739C"/>
    <w:rsid w:val="54F71AA5"/>
    <w:rsid w:val="54F73313"/>
    <w:rsid w:val="54F80955"/>
    <w:rsid w:val="54FC70BB"/>
    <w:rsid w:val="552A715D"/>
    <w:rsid w:val="55355CF3"/>
    <w:rsid w:val="555170A7"/>
    <w:rsid w:val="555E38D2"/>
    <w:rsid w:val="55732724"/>
    <w:rsid w:val="5579070C"/>
    <w:rsid w:val="5587536D"/>
    <w:rsid w:val="559B174B"/>
    <w:rsid w:val="55B82360"/>
    <w:rsid w:val="55CE0CF4"/>
    <w:rsid w:val="55D007EB"/>
    <w:rsid w:val="55D02A22"/>
    <w:rsid w:val="55D14930"/>
    <w:rsid w:val="55D902DC"/>
    <w:rsid w:val="56292132"/>
    <w:rsid w:val="563665FD"/>
    <w:rsid w:val="563D5BDD"/>
    <w:rsid w:val="56493058"/>
    <w:rsid w:val="564B167D"/>
    <w:rsid w:val="564B654C"/>
    <w:rsid w:val="565611BC"/>
    <w:rsid w:val="56580D1A"/>
    <w:rsid w:val="56755377"/>
    <w:rsid w:val="56B22A9C"/>
    <w:rsid w:val="57122BC6"/>
    <w:rsid w:val="571A1831"/>
    <w:rsid w:val="571F0A6C"/>
    <w:rsid w:val="572F6B95"/>
    <w:rsid w:val="57337211"/>
    <w:rsid w:val="573C198C"/>
    <w:rsid w:val="574702E8"/>
    <w:rsid w:val="57470D47"/>
    <w:rsid w:val="576E11E3"/>
    <w:rsid w:val="5789732C"/>
    <w:rsid w:val="578C4726"/>
    <w:rsid w:val="57B72A76"/>
    <w:rsid w:val="57C3426C"/>
    <w:rsid w:val="57CE1F93"/>
    <w:rsid w:val="57E40CDA"/>
    <w:rsid w:val="5812712F"/>
    <w:rsid w:val="5814594F"/>
    <w:rsid w:val="58167A80"/>
    <w:rsid w:val="58307579"/>
    <w:rsid w:val="585A65D3"/>
    <w:rsid w:val="586B2BE2"/>
    <w:rsid w:val="58762A56"/>
    <w:rsid w:val="588743D1"/>
    <w:rsid w:val="5887701A"/>
    <w:rsid w:val="58A54C29"/>
    <w:rsid w:val="58B408DF"/>
    <w:rsid w:val="58BE3005"/>
    <w:rsid w:val="58D565A1"/>
    <w:rsid w:val="594F41DB"/>
    <w:rsid w:val="59C0439F"/>
    <w:rsid w:val="59C55248"/>
    <w:rsid w:val="59F1740B"/>
    <w:rsid w:val="5A2A6479"/>
    <w:rsid w:val="5A2C3352"/>
    <w:rsid w:val="5AA955EF"/>
    <w:rsid w:val="5ABE2233"/>
    <w:rsid w:val="5B060C94"/>
    <w:rsid w:val="5B16597E"/>
    <w:rsid w:val="5B1B724B"/>
    <w:rsid w:val="5B1F58B2"/>
    <w:rsid w:val="5B2F5ACB"/>
    <w:rsid w:val="5B8F6EDB"/>
    <w:rsid w:val="5BA67D81"/>
    <w:rsid w:val="5BB115FA"/>
    <w:rsid w:val="5BDF5D95"/>
    <w:rsid w:val="5BF44F90"/>
    <w:rsid w:val="5BFE7528"/>
    <w:rsid w:val="5C277AB9"/>
    <w:rsid w:val="5C2B55F1"/>
    <w:rsid w:val="5C62014C"/>
    <w:rsid w:val="5C8D5650"/>
    <w:rsid w:val="5C8E73CE"/>
    <w:rsid w:val="5CBF3672"/>
    <w:rsid w:val="5CC30BD3"/>
    <w:rsid w:val="5CD026FB"/>
    <w:rsid w:val="5CD81F25"/>
    <w:rsid w:val="5D037789"/>
    <w:rsid w:val="5D192F00"/>
    <w:rsid w:val="5D2E44D2"/>
    <w:rsid w:val="5D4D7582"/>
    <w:rsid w:val="5D4E638A"/>
    <w:rsid w:val="5D585668"/>
    <w:rsid w:val="5D720862"/>
    <w:rsid w:val="5D743B24"/>
    <w:rsid w:val="5DA1674A"/>
    <w:rsid w:val="5DA54794"/>
    <w:rsid w:val="5DE72BD8"/>
    <w:rsid w:val="5E00626E"/>
    <w:rsid w:val="5E015742"/>
    <w:rsid w:val="5E116510"/>
    <w:rsid w:val="5E2467F1"/>
    <w:rsid w:val="5E2840EF"/>
    <w:rsid w:val="5E435563"/>
    <w:rsid w:val="5E681BE0"/>
    <w:rsid w:val="5E905345"/>
    <w:rsid w:val="5EA52572"/>
    <w:rsid w:val="5EA93856"/>
    <w:rsid w:val="5EBC2507"/>
    <w:rsid w:val="5EC272D5"/>
    <w:rsid w:val="5EC7446D"/>
    <w:rsid w:val="5EE431A4"/>
    <w:rsid w:val="5F14370C"/>
    <w:rsid w:val="5F1A2B43"/>
    <w:rsid w:val="5F1D13BC"/>
    <w:rsid w:val="5F2B7A24"/>
    <w:rsid w:val="5F3F6522"/>
    <w:rsid w:val="5F571ABE"/>
    <w:rsid w:val="5F5C6D0D"/>
    <w:rsid w:val="5F6220C4"/>
    <w:rsid w:val="5F6B646F"/>
    <w:rsid w:val="5F743D6D"/>
    <w:rsid w:val="5F8D142E"/>
    <w:rsid w:val="5F926F9A"/>
    <w:rsid w:val="5FB837BB"/>
    <w:rsid w:val="5FC034CC"/>
    <w:rsid w:val="5FE412B4"/>
    <w:rsid w:val="5FE750CA"/>
    <w:rsid w:val="60497B49"/>
    <w:rsid w:val="604E7045"/>
    <w:rsid w:val="60503163"/>
    <w:rsid w:val="6051475F"/>
    <w:rsid w:val="605C7A83"/>
    <w:rsid w:val="605E4CD9"/>
    <w:rsid w:val="606B480C"/>
    <w:rsid w:val="60884A27"/>
    <w:rsid w:val="60CC405A"/>
    <w:rsid w:val="60D30461"/>
    <w:rsid w:val="60E27AAD"/>
    <w:rsid w:val="60FA0179"/>
    <w:rsid w:val="61031439"/>
    <w:rsid w:val="614A4F85"/>
    <w:rsid w:val="614D2984"/>
    <w:rsid w:val="61655DD2"/>
    <w:rsid w:val="616719B2"/>
    <w:rsid w:val="61675E18"/>
    <w:rsid w:val="617028A6"/>
    <w:rsid w:val="61705C93"/>
    <w:rsid w:val="618310E8"/>
    <w:rsid w:val="61A62C1D"/>
    <w:rsid w:val="61E215D8"/>
    <w:rsid w:val="621106F4"/>
    <w:rsid w:val="621B3775"/>
    <w:rsid w:val="62364782"/>
    <w:rsid w:val="623E51B7"/>
    <w:rsid w:val="628E66AF"/>
    <w:rsid w:val="62B0318D"/>
    <w:rsid w:val="62B87331"/>
    <w:rsid w:val="62C03E1E"/>
    <w:rsid w:val="62CF50BD"/>
    <w:rsid w:val="62DC121E"/>
    <w:rsid w:val="62F2456D"/>
    <w:rsid w:val="62F37D50"/>
    <w:rsid w:val="63310878"/>
    <w:rsid w:val="63464323"/>
    <w:rsid w:val="63554566"/>
    <w:rsid w:val="63555678"/>
    <w:rsid w:val="636522D0"/>
    <w:rsid w:val="6394356A"/>
    <w:rsid w:val="63C61B2C"/>
    <w:rsid w:val="63CD40AF"/>
    <w:rsid w:val="63D40BE9"/>
    <w:rsid w:val="63E458EA"/>
    <w:rsid w:val="63FE4BFE"/>
    <w:rsid w:val="64002F70"/>
    <w:rsid w:val="64102431"/>
    <w:rsid w:val="64687BCD"/>
    <w:rsid w:val="646D58E0"/>
    <w:rsid w:val="6476510A"/>
    <w:rsid w:val="64A5243A"/>
    <w:rsid w:val="64B86E4F"/>
    <w:rsid w:val="64DA6BB7"/>
    <w:rsid w:val="64F531DE"/>
    <w:rsid w:val="650D4BEC"/>
    <w:rsid w:val="65197815"/>
    <w:rsid w:val="65373578"/>
    <w:rsid w:val="653D1756"/>
    <w:rsid w:val="656211BC"/>
    <w:rsid w:val="65717652"/>
    <w:rsid w:val="657D3408"/>
    <w:rsid w:val="65A672FB"/>
    <w:rsid w:val="65D25615"/>
    <w:rsid w:val="65FF1B05"/>
    <w:rsid w:val="66400D90"/>
    <w:rsid w:val="6661413C"/>
    <w:rsid w:val="667544BA"/>
    <w:rsid w:val="667759A4"/>
    <w:rsid w:val="668F7D8F"/>
    <w:rsid w:val="66A86CEB"/>
    <w:rsid w:val="66BD24C9"/>
    <w:rsid w:val="66E66A33"/>
    <w:rsid w:val="66FC4F99"/>
    <w:rsid w:val="671F124A"/>
    <w:rsid w:val="673C0641"/>
    <w:rsid w:val="675B5EC3"/>
    <w:rsid w:val="676A190E"/>
    <w:rsid w:val="677A33C6"/>
    <w:rsid w:val="67A65317"/>
    <w:rsid w:val="67CB3049"/>
    <w:rsid w:val="67EC1211"/>
    <w:rsid w:val="680226CB"/>
    <w:rsid w:val="681F6961"/>
    <w:rsid w:val="68262975"/>
    <w:rsid w:val="68283C8B"/>
    <w:rsid w:val="68592276"/>
    <w:rsid w:val="68610A2F"/>
    <w:rsid w:val="68685A44"/>
    <w:rsid w:val="687A05CB"/>
    <w:rsid w:val="687D56CF"/>
    <w:rsid w:val="68805514"/>
    <w:rsid w:val="68950A18"/>
    <w:rsid w:val="68E2555A"/>
    <w:rsid w:val="68F0545C"/>
    <w:rsid w:val="69095BBD"/>
    <w:rsid w:val="6922138F"/>
    <w:rsid w:val="69316E2F"/>
    <w:rsid w:val="69330191"/>
    <w:rsid w:val="693E773E"/>
    <w:rsid w:val="694E2071"/>
    <w:rsid w:val="69524B44"/>
    <w:rsid w:val="69766163"/>
    <w:rsid w:val="697A3B33"/>
    <w:rsid w:val="699F25AB"/>
    <w:rsid w:val="69B06BFB"/>
    <w:rsid w:val="69C2047C"/>
    <w:rsid w:val="69C904B1"/>
    <w:rsid w:val="69CF3CE6"/>
    <w:rsid w:val="69D44760"/>
    <w:rsid w:val="69F735DF"/>
    <w:rsid w:val="6A0B28E8"/>
    <w:rsid w:val="6A0C7AE7"/>
    <w:rsid w:val="6A146C3C"/>
    <w:rsid w:val="6A3824EC"/>
    <w:rsid w:val="6A42336B"/>
    <w:rsid w:val="6A4C7B67"/>
    <w:rsid w:val="6A4D243B"/>
    <w:rsid w:val="6A520EC7"/>
    <w:rsid w:val="6A574AC4"/>
    <w:rsid w:val="6A726F3F"/>
    <w:rsid w:val="6A740072"/>
    <w:rsid w:val="6A740DF7"/>
    <w:rsid w:val="6A790518"/>
    <w:rsid w:val="6A841BD5"/>
    <w:rsid w:val="6A865E42"/>
    <w:rsid w:val="6A891D47"/>
    <w:rsid w:val="6A8C097A"/>
    <w:rsid w:val="6A94006A"/>
    <w:rsid w:val="6A982603"/>
    <w:rsid w:val="6AA814BA"/>
    <w:rsid w:val="6AD56506"/>
    <w:rsid w:val="6AE508C6"/>
    <w:rsid w:val="6AF87E20"/>
    <w:rsid w:val="6B322639"/>
    <w:rsid w:val="6B336FB6"/>
    <w:rsid w:val="6B3E0E7C"/>
    <w:rsid w:val="6B59096C"/>
    <w:rsid w:val="6B5E72F0"/>
    <w:rsid w:val="6B9608F6"/>
    <w:rsid w:val="6BA8088F"/>
    <w:rsid w:val="6BD11F8E"/>
    <w:rsid w:val="6BE94070"/>
    <w:rsid w:val="6C0E3133"/>
    <w:rsid w:val="6C1D7BEB"/>
    <w:rsid w:val="6C337F2A"/>
    <w:rsid w:val="6C3B62C3"/>
    <w:rsid w:val="6C48484C"/>
    <w:rsid w:val="6C5F1F43"/>
    <w:rsid w:val="6C636C38"/>
    <w:rsid w:val="6C832718"/>
    <w:rsid w:val="6C891725"/>
    <w:rsid w:val="6CAC7696"/>
    <w:rsid w:val="6CB77752"/>
    <w:rsid w:val="6CBD4F2A"/>
    <w:rsid w:val="6CBE50C4"/>
    <w:rsid w:val="6CCE4A51"/>
    <w:rsid w:val="6CE60925"/>
    <w:rsid w:val="6CF626FE"/>
    <w:rsid w:val="6D0B568B"/>
    <w:rsid w:val="6D0C613F"/>
    <w:rsid w:val="6D0D7C60"/>
    <w:rsid w:val="6D13182D"/>
    <w:rsid w:val="6D196605"/>
    <w:rsid w:val="6D247BF4"/>
    <w:rsid w:val="6D452F22"/>
    <w:rsid w:val="6D6C2BD8"/>
    <w:rsid w:val="6D981C1F"/>
    <w:rsid w:val="6DB225B5"/>
    <w:rsid w:val="6DB34098"/>
    <w:rsid w:val="6DB526B3"/>
    <w:rsid w:val="6DB545B6"/>
    <w:rsid w:val="6DE02FB4"/>
    <w:rsid w:val="6E0949F7"/>
    <w:rsid w:val="6E105A2A"/>
    <w:rsid w:val="6E2214E9"/>
    <w:rsid w:val="6E514CED"/>
    <w:rsid w:val="6E5876FD"/>
    <w:rsid w:val="6E712289"/>
    <w:rsid w:val="6E7418F8"/>
    <w:rsid w:val="6E8479DB"/>
    <w:rsid w:val="6EB563D5"/>
    <w:rsid w:val="6EBF5EBB"/>
    <w:rsid w:val="6ED26C84"/>
    <w:rsid w:val="6ED8028E"/>
    <w:rsid w:val="6ED92677"/>
    <w:rsid w:val="6F0832C0"/>
    <w:rsid w:val="6F1A78C6"/>
    <w:rsid w:val="6F225983"/>
    <w:rsid w:val="6F263612"/>
    <w:rsid w:val="6F5742F2"/>
    <w:rsid w:val="6F5B4349"/>
    <w:rsid w:val="6F81563C"/>
    <w:rsid w:val="6F8A67FC"/>
    <w:rsid w:val="6FCD51D3"/>
    <w:rsid w:val="6FDD577E"/>
    <w:rsid w:val="6FF2008A"/>
    <w:rsid w:val="6FFC5590"/>
    <w:rsid w:val="70136802"/>
    <w:rsid w:val="706D1DD0"/>
    <w:rsid w:val="70856B87"/>
    <w:rsid w:val="70907D80"/>
    <w:rsid w:val="70A15EF2"/>
    <w:rsid w:val="70C35F1C"/>
    <w:rsid w:val="70C61770"/>
    <w:rsid w:val="70D527EE"/>
    <w:rsid w:val="70E960FC"/>
    <w:rsid w:val="711837F1"/>
    <w:rsid w:val="712F419D"/>
    <w:rsid w:val="713F6856"/>
    <w:rsid w:val="715B4DF0"/>
    <w:rsid w:val="715B5300"/>
    <w:rsid w:val="71684BD5"/>
    <w:rsid w:val="71A56347"/>
    <w:rsid w:val="71C91244"/>
    <w:rsid w:val="71D27F8A"/>
    <w:rsid w:val="722A6C78"/>
    <w:rsid w:val="724B00D2"/>
    <w:rsid w:val="72553024"/>
    <w:rsid w:val="725D01F5"/>
    <w:rsid w:val="726A16B0"/>
    <w:rsid w:val="726E11A1"/>
    <w:rsid w:val="72814508"/>
    <w:rsid w:val="729C7F82"/>
    <w:rsid w:val="72B921A3"/>
    <w:rsid w:val="72C824F6"/>
    <w:rsid w:val="72D55DAC"/>
    <w:rsid w:val="72E21F63"/>
    <w:rsid w:val="72FB055A"/>
    <w:rsid w:val="73122968"/>
    <w:rsid w:val="731F5D5E"/>
    <w:rsid w:val="732A5EEB"/>
    <w:rsid w:val="73306456"/>
    <w:rsid w:val="73340A0A"/>
    <w:rsid w:val="733A421E"/>
    <w:rsid w:val="734113C2"/>
    <w:rsid w:val="73740825"/>
    <w:rsid w:val="737E5BA3"/>
    <w:rsid w:val="73C51AD5"/>
    <w:rsid w:val="73C86E07"/>
    <w:rsid w:val="73CC2623"/>
    <w:rsid w:val="741E793C"/>
    <w:rsid w:val="7425135D"/>
    <w:rsid w:val="7440091B"/>
    <w:rsid w:val="7452064E"/>
    <w:rsid w:val="74534737"/>
    <w:rsid w:val="745E3944"/>
    <w:rsid w:val="74A9055C"/>
    <w:rsid w:val="74E514C2"/>
    <w:rsid w:val="74F210D5"/>
    <w:rsid w:val="74F37CCB"/>
    <w:rsid w:val="75322959"/>
    <w:rsid w:val="755F2CCE"/>
    <w:rsid w:val="756D36D6"/>
    <w:rsid w:val="75A86778"/>
    <w:rsid w:val="75D1171B"/>
    <w:rsid w:val="75D3234F"/>
    <w:rsid w:val="75D75229"/>
    <w:rsid w:val="75FE00A6"/>
    <w:rsid w:val="76031C28"/>
    <w:rsid w:val="76082938"/>
    <w:rsid w:val="761369E3"/>
    <w:rsid w:val="76297253"/>
    <w:rsid w:val="7635099D"/>
    <w:rsid w:val="763E2DA1"/>
    <w:rsid w:val="767C50FB"/>
    <w:rsid w:val="7680711D"/>
    <w:rsid w:val="768A1132"/>
    <w:rsid w:val="76A56F8F"/>
    <w:rsid w:val="770749D7"/>
    <w:rsid w:val="770B3462"/>
    <w:rsid w:val="77324E93"/>
    <w:rsid w:val="773A3A07"/>
    <w:rsid w:val="77737259"/>
    <w:rsid w:val="77762421"/>
    <w:rsid w:val="77963D45"/>
    <w:rsid w:val="77985B18"/>
    <w:rsid w:val="77AB69F3"/>
    <w:rsid w:val="77B56B1F"/>
    <w:rsid w:val="77B72E96"/>
    <w:rsid w:val="77BF7841"/>
    <w:rsid w:val="77E70453"/>
    <w:rsid w:val="78005E0D"/>
    <w:rsid w:val="78016613"/>
    <w:rsid w:val="780C028E"/>
    <w:rsid w:val="780F09F4"/>
    <w:rsid w:val="781C5DE2"/>
    <w:rsid w:val="78204AA0"/>
    <w:rsid w:val="78656BA2"/>
    <w:rsid w:val="78A90480"/>
    <w:rsid w:val="78AE3180"/>
    <w:rsid w:val="78B60567"/>
    <w:rsid w:val="78B74F24"/>
    <w:rsid w:val="78CA10FB"/>
    <w:rsid w:val="78D828C3"/>
    <w:rsid w:val="78FB613C"/>
    <w:rsid w:val="78FE53E8"/>
    <w:rsid w:val="796C6412"/>
    <w:rsid w:val="797307CE"/>
    <w:rsid w:val="79B74783"/>
    <w:rsid w:val="79BC6C95"/>
    <w:rsid w:val="79E3214B"/>
    <w:rsid w:val="79ED06B5"/>
    <w:rsid w:val="7A10704D"/>
    <w:rsid w:val="7A364017"/>
    <w:rsid w:val="7A627573"/>
    <w:rsid w:val="7A6E68C6"/>
    <w:rsid w:val="7A6F70A7"/>
    <w:rsid w:val="7A8265E1"/>
    <w:rsid w:val="7A933265"/>
    <w:rsid w:val="7AA73BE2"/>
    <w:rsid w:val="7AB16558"/>
    <w:rsid w:val="7AB25926"/>
    <w:rsid w:val="7AB91B59"/>
    <w:rsid w:val="7ACC22ED"/>
    <w:rsid w:val="7AF739D4"/>
    <w:rsid w:val="7B2E58E0"/>
    <w:rsid w:val="7B686D42"/>
    <w:rsid w:val="7B701539"/>
    <w:rsid w:val="7B841746"/>
    <w:rsid w:val="7BBE1FD6"/>
    <w:rsid w:val="7BC40083"/>
    <w:rsid w:val="7C042B76"/>
    <w:rsid w:val="7C123006"/>
    <w:rsid w:val="7C1A4147"/>
    <w:rsid w:val="7C50739E"/>
    <w:rsid w:val="7C6C5AC7"/>
    <w:rsid w:val="7C784BD2"/>
    <w:rsid w:val="7C8021FC"/>
    <w:rsid w:val="7C9945B2"/>
    <w:rsid w:val="7CA249B6"/>
    <w:rsid w:val="7CC6544B"/>
    <w:rsid w:val="7CDE5175"/>
    <w:rsid w:val="7CFF3C6E"/>
    <w:rsid w:val="7D0239FF"/>
    <w:rsid w:val="7D513857"/>
    <w:rsid w:val="7D5C37B8"/>
    <w:rsid w:val="7D5E40CD"/>
    <w:rsid w:val="7D6A4138"/>
    <w:rsid w:val="7D8C19C0"/>
    <w:rsid w:val="7DCD56F2"/>
    <w:rsid w:val="7DD344B3"/>
    <w:rsid w:val="7DDD67BB"/>
    <w:rsid w:val="7DF579E1"/>
    <w:rsid w:val="7DF70B2C"/>
    <w:rsid w:val="7E042EBC"/>
    <w:rsid w:val="7E08019A"/>
    <w:rsid w:val="7E443798"/>
    <w:rsid w:val="7E505BFE"/>
    <w:rsid w:val="7E5A32D6"/>
    <w:rsid w:val="7E631FF1"/>
    <w:rsid w:val="7E694F12"/>
    <w:rsid w:val="7E866B5F"/>
    <w:rsid w:val="7E902403"/>
    <w:rsid w:val="7E9173A8"/>
    <w:rsid w:val="7E9F10B2"/>
    <w:rsid w:val="7EC43B4C"/>
    <w:rsid w:val="7EC51FA6"/>
    <w:rsid w:val="7ED63910"/>
    <w:rsid w:val="7EE33248"/>
    <w:rsid w:val="7F001CE7"/>
    <w:rsid w:val="7F116BFC"/>
    <w:rsid w:val="7F1430D0"/>
    <w:rsid w:val="7F283E54"/>
    <w:rsid w:val="7F615C18"/>
    <w:rsid w:val="7F845DE2"/>
    <w:rsid w:val="7FA35E19"/>
    <w:rsid w:val="7FAD32E9"/>
    <w:rsid w:val="7FCA378E"/>
    <w:rsid w:val="7FE47E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nhideWhenUsed="0" w:uiPriority="0" w:semiHidden="0" w:name="heading 3" w:locked="1"/>
    <w:lsdException w:qFormat="1" w:uiPriority="0" w:semiHidden="0" w:name="heading 4" w:locked="1"/>
    <w:lsdException w:qFormat="1" w:unhideWhenUsed="0" w:uiPriority="1" w:semiHidden="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99"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unhideWhenUsed="0" w:uiPriority="0" w:semiHidden="0" w:name="toc 1" w:locked="1"/>
    <w:lsdException w:qFormat="1" w:unhideWhenUsed="0" w:uiPriority="39"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qFormat="1"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nhideWhenUsed="0" w:uiPriority="0" w:semiHidden="0" w:name="caption" w:locked="1"/>
    <w:lsdException w:qFormat="1"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qFormat="1" w:unhideWhenUsed="0" w:uiPriority="0" w:semiHidden="0" w:name="table of authorities" w:locked="1"/>
    <w:lsdException w:unhideWhenUsed="0" w:uiPriority="0" w:semiHidden="0" w:name="macro" w:locked="1"/>
    <w:lsdException w:unhideWhenUsed="0" w:uiPriority="0" w:semiHidden="0" w:name="toa heading" w:locked="1"/>
    <w:lsdException w:qFormat="1" w:uiPriority="99"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qFormat="1" w:unhideWhenUsed="0" w:uiPriority="0" w:semiHidden="0" w:name="Closing" w:locked="1"/>
    <w:lsdException w:unhideWhenUsed="0" w:uiPriority="0" w:semiHidden="0" w:name="Signature" w:locked="1"/>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qFormat="1" w:unhideWhenUsed="0" w:uiPriority="0" w:semiHidden="0" w:name="Body Text Indent 2" w:locked="1"/>
    <w:lsdException w:qFormat="1" w:unhideWhenUsed="0" w:uiPriority="99" w:semiHidden="0" w:name="Body Text Indent 3" w:locked="1"/>
    <w:lsdException w:unhideWhenUsed="0" w:uiPriority="0" w:semiHidden="0" w:name="Block Text" w:locked="1"/>
    <w:lsdException w:qFormat="1" w:unhideWhenUsed="0" w:uiPriority="0" w:semiHidden="0" w:name="Hyperlink" w:locked="1"/>
    <w:lsdException w:qFormat="1" w:unhideWhenUsed="0" w:uiPriority="0" w:semiHidden="0" w:name="FollowedHyperlink" w:locked="1"/>
    <w:lsdException w:qFormat="1" w:unhideWhenUsed="0" w:uiPriority="99"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qFormat="1"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qFormat="1"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0"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link w:val="57"/>
    <w:autoRedefine/>
    <w:qFormat/>
    <w:locked/>
    <w:uiPriority w:val="0"/>
    <w:pPr>
      <w:spacing w:before="100" w:beforeAutospacing="1" w:after="100" w:afterAutospacing="1"/>
      <w:jc w:val="left"/>
      <w:outlineLvl w:val="1"/>
    </w:pPr>
    <w:rPr>
      <w:rFonts w:hint="eastAsia" w:ascii="宋体" w:hAnsi="宋体"/>
      <w:b/>
      <w:kern w:val="0"/>
      <w:sz w:val="36"/>
      <w:szCs w:val="36"/>
    </w:rPr>
  </w:style>
  <w:style w:type="paragraph" w:styleId="4">
    <w:name w:val="heading 3"/>
    <w:basedOn w:val="1"/>
    <w:next w:val="1"/>
    <w:autoRedefine/>
    <w:qFormat/>
    <w:locked/>
    <w:uiPriority w:val="0"/>
    <w:pPr>
      <w:keepNext/>
      <w:keepLines/>
      <w:spacing w:before="260" w:after="260" w:line="413" w:lineRule="auto"/>
      <w:outlineLvl w:val="2"/>
    </w:pPr>
    <w:rPr>
      <w:rFonts w:hint="eastAsia" w:ascii="仿宋_GB2312" w:eastAsia="仿宋_GB2312" w:cs="仿宋_GB2312"/>
      <w:spacing w:val="-22"/>
      <w:sz w:val="30"/>
    </w:rPr>
  </w:style>
  <w:style w:type="paragraph" w:styleId="5">
    <w:name w:val="heading 4"/>
    <w:basedOn w:val="1"/>
    <w:autoRedefine/>
    <w:unhideWhenUsed/>
    <w:qFormat/>
    <w:locked/>
    <w:uiPriority w:val="0"/>
    <w:pPr>
      <w:keepNext/>
      <w:keepLines/>
      <w:spacing w:before="60" w:after="60" w:line="360" w:lineRule="auto"/>
      <w:outlineLvl w:val="3"/>
    </w:pPr>
    <w:rPr>
      <w:b/>
      <w:sz w:val="24"/>
    </w:rPr>
  </w:style>
  <w:style w:type="paragraph" w:styleId="6">
    <w:name w:val="heading 5"/>
    <w:basedOn w:val="1"/>
    <w:next w:val="1"/>
    <w:autoRedefine/>
    <w:qFormat/>
    <w:locked/>
    <w:uiPriority w:val="1"/>
    <w:pPr>
      <w:ind w:left="698"/>
      <w:outlineLvl w:val="4"/>
    </w:pPr>
    <w:rPr>
      <w:rFonts w:ascii="宋体" w:hAnsi="宋体"/>
      <w:b/>
      <w:bCs/>
    </w:rPr>
  </w:style>
  <w:style w:type="character" w:default="1" w:styleId="40">
    <w:name w:val="Default Paragraph Font"/>
    <w:autoRedefine/>
    <w:semiHidden/>
    <w:unhideWhenUsed/>
    <w:qFormat/>
    <w:uiPriority w:val="1"/>
  </w:style>
  <w:style w:type="table" w:default="1" w:styleId="38">
    <w:name w:val="Normal Table"/>
    <w:autoRedefine/>
    <w:semiHidden/>
    <w:unhideWhenUsed/>
    <w:qFormat/>
    <w:uiPriority w:val="99"/>
    <w:tblPr>
      <w:tblCellMar>
        <w:top w:w="0" w:type="dxa"/>
        <w:left w:w="108" w:type="dxa"/>
        <w:bottom w:w="0" w:type="dxa"/>
        <w:right w:w="108" w:type="dxa"/>
      </w:tblCellMar>
    </w:tblPr>
  </w:style>
  <w:style w:type="paragraph" w:styleId="7">
    <w:name w:val="table of authorities"/>
    <w:basedOn w:val="1"/>
    <w:next w:val="1"/>
    <w:qFormat/>
    <w:locked/>
    <w:uiPriority w:val="0"/>
    <w:pPr>
      <w:ind w:left="420" w:leftChars="200"/>
    </w:pPr>
  </w:style>
  <w:style w:type="paragraph" w:styleId="8">
    <w:name w:val="Normal Indent"/>
    <w:basedOn w:val="1"/>
    <w:autoRedefine/>
    <w:qFormat/>
    <w:locked/>
    <w:uiPriority w:val="0"/>
    <w:pPr>
      <w:ind w:firstLine="420"/>
    </w:pPr>
    <w:rPr>
      <w:rFonts w:ascii="Calibri" w:hAnsi="Calibri"/>
      <w:szCs w:val="20"/>
    </w:rPr>
  </w:style>
  <w:style w:type="paragraph" w:styleId="9">
    <w:name w:val="caption"/>
    <w:basedOn w:val="1"/>
    <w:next w:val="1"/>
    <w:autoRedefine/>
    <w:qFormat/>
    <w:locked/>
    <w:uiPriority w:val="0"/>
    <w:pPr>
      <w:snapToGrid w:val="0"/>
      <w:spacing w:before="6" w:after="6" w:line="0" w:lineRule="atLeast"/>
    </w:pPr>
    <w:rPr>
      <w:rFonts w:ascii="Arial" w:hAnsi="Arial"/>
      <w:snapToGrid w:val="0"/>
      <w:kern w:val="24"/>
      <w:sz w:val="24"/>
      <w:szCs w:val="28"/>
    </w:rPr>
  </w:style>
  <w:style w:type="paragraph" w:styleId="10">
    <w:name w:val="annotation text"/>
    <w:basedOn w:val="1"/>
    <w:link w:val="67"/>
    <w:autoRedefine/>
    <w:semiHidden/>
    <w:qFormat/>
    <w:uiPriority w:val="0"/>
    <w:pPr>
      <w:jc w:val="left"/>
    </w:pPr>
    <w:rPr>
      <w:kern w:val="0"/>
      <w:sz w:val="24"/>
      <w:szCs w:val="20"/>
    </w:rPr>
  </w:style>
  <w:style w:type="paragraph" w:styleId="11">
    <w:name w:val="Closing"/>
    <w:basedOn w:val="1"/>
    <w:next w:val="12"/>
    <w:autoRedefine/>
    <w:qFormat/>
    <w:locked/>
    <w:uiPriority w:val="0"/>
    <w:pPr>
      <w:ind w:left="100" w:leftChars="2100"/>
    </w:pPr>
  </w:style>
  <w:style w:type="paragraph" w:customStyle="1" w:styleId="12">
    <w:name w:val="段落"/>
    <w:basedOn w:val="1"/>
    <w:next w:val="13"/>
    <w:autoRedefine/>
    <w:qFormat/>
    <w:uiPriority w:val="0"/>
    <w:pPr>
      <w:tabs>
        <w:tab w:val="left" w:pos="1021"/>
      </w:tabs>
      <w:ind w:firstLine="480" w:firstLineChars="200"/>
    </w:pPr>
    <w:rPr>
      <w:kern w:val="24"/>
    </w:rPr>
  </w:style>
  <w:style w:type="paragraph" w:customStyle="1" w:styleId="13">
    <w:name w:val="默认段落字体 Para Char"/>
    <w:basedOn w:val="1"/>
    <w:next w:val="14"/>
    <w:autoRedefine/>
    <w:qFormat/>
    <w:uiPriority w:val="0"/>
    <w:pPr>
      <w:spacing w:line="360" w:lineRule="auto"/>
      <w:ind w:firstLine="200" w:firstLineChars="200"/>
    </w:pPr>
    <w:rPr>
      <w:rFonts w:ascii="宋体" w:hAnsi="宋体" w:cs="宋体"/>
      <w:sz w:val="24"/>
    </w:rPr>
  </w:style>
  <w:style w:type="paragraph" w:customStyle="1" w:styleId="14">
    <w:name w:val="样式 正文首行缩进 2 + 左侧:  2 字符 首行缩进:  2 字符 +"/>
    <w:basedOn w:val="1"/>
    <w:next w:val="15"/>
    <w:autoRedefine/>
    <w:semiHidden/>
    <w:qFormat/>
    <w:uiPriority w:val="0"/>
    <w:pPr>
      <w:spacing w:before="156" w:beforeLines="50"/>
      <w:ind w:firstLine="561"/>
    </w:pPr>
    <w:rPr>
      <w:rFonts w:cs="宋体"/>
    </w:rPr>
  </w:style>
  <w:style w:type="paragraph" w:customStyle="1" w:styleId="15">
    <w:name w:val="正文 32"/>
    <w:basedOn w:val="1"/>
    <w:next w:val="16"/>
    <w:autoRedefine/>
    <w:qFormat/>
    <w:uiPriority w:val="0"/>
    <w:pPr>
      <w:autoSpaceDE w:val="0"/>
      <w:autoSpaceDN w:val="0"/>
      <w:adjustRightInd w:val="0"/>
      <w:spacing w:line="300" w:lineRule="auto"/>
      <w:ind w:firstLine="567"/>
      <w:textAlignment w:val="baseline"/>
    </w:pPr>
    <w:rPr>
      <w:rFonts w:eastAsia="楷体_GB2312"/>
      <w:kern w:val="0"/>
      <w:sz w:val="24"/>
      <w:szCs w:val="20"/>
    </w:rPr>
  </w:style>
  <w:style w:type="paragraph" w:customStyle="1" w:styleId="16">
    <w:name w:val="xl30"/>
    <w:basedOn w:val="1"/>
    <w:next w:val="17"/>
    <w:autoRedefine/>
    <w:qFormat/>
    <w:uiPriority w:val="0"/>
    <w:pPr>
      <w:widowControl/>
      <w:pBdr>
        <w:bottom w:val="single" w:color="auto" w:sz="4" w:space="0"/>
      </w:pBdr>
      <w:spacing w:before="156" w:beforeLines="50"/>
      <w:jc w:val="center"/>
      <w:textAlignment w:val="center"/>
    </w:pPr>
    <w:rPr>
      <w:rFonts w:eastAsia="Arial Unicode MS"/>
      <w:kern w:val="0"/>
    </w:rPr>
  </w:style>
  <w:style w:type="paragraph" w:styleId="17">
    <w:name w:val="annotation subject"/>
    <w:basedOn w:val="10"/>
    <w:next w:val="18"/>
    <w:link w:val="70"/>
    <w:autoRedefine/>
    <w:semiHidden/>
    <w:qFormat/>
    <w:uiPriority w:val="0"/>
    <w:rPr>
      <w:b/>
    </w:rPr>
  </w:style>
  <w:style w:type="paragraph" w:customStyle="1" w:styleId="18">
    <w:name w:val="样式 标题 1 + 黑色"/>
    <w:basedOn w:val="2"/>
    <w:next w:val="1"/>
    <w:autoRedefine/>
    <w:qFormat/>
    <w:uiPriority w:val="0"/>
    <w:pPr>
      <w:keepNext w:val="0"/>
      <w:pageBreakBefore/>
      <w:widowControl/>
      <w:tabs>
        <w:tab w:val="left" w:pos="567"/>
        <w:tab w:val="left" w:pos="5652"/>
      </w:tabs>
      <w:spacing w:before="240" w:line="240" w:lineRule="auto"/>
      <w:ind w:left="431" w:hanging="431"/>
      <w:jc w:val="left"/>
    </w:pPr>
    <w:rPr>
      <w:kern w:val="32"/>
      <w:sz w:val="32"/>
      <w:szCs w:val="32"/>
    </w:rPr>
  </w:style>
  <w:style w:type="paragraph" w:styleId="19">
    <w:name w:val="Body Text"/>
    <w:basedOn w:val="1"/>
    <w:next w:val="20"/>
    <w:link w:val="72"/>
    <w:autoRedefine/>
    <w:qFormat/>
    <w:uiPriority w:val="0"/>
    <w:pPr>
      <w:widowControl/>
      <w:snapToGrid w:val="0"/>
      <w:spacing w:before="60" w:after="160" w:line="259" w:lineRule="auto"/>
      <w:ind w:right="113"/>
    </w:pPr>
    <w:rPr>
      <w:kern w:val="0"/>
      <w:sz w:val="18"/>
      <w:szCs w:val="20"/>
    </w:rPr>
  </w:style>
  <w:style w:type="paragraph" w:customStyle="1" w:styleId="20">
    <w:name w:val="xl27"/>
    <w:basedOn w:val="7"/>
    <w:autoRedefine/>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21">
    <w:name w:val="Body Text Indent"/>
    <w:basedOn w:val="1"/>
    <w:next w:val="1"/>
    <w:link w:val="61"/>
    <w:autoRedefine/>
    <w:qFormat/>
    <w:uiPriority w:val="0"/>
    <w:pPr>
      <w:spacing w:after="120"/>
      <w:ind w:left="420" w:leftChars="200"/>
    </w:pPr>
    <w:rPr>
      <w:kern w:val="0"/>
      <w:sz w:val="24"/>
      <w:szCs w:val="20"/>
    </w:rPr>
  </w:style>
  <w:style w:type="paragraph" w:styleId="22">
    <w:name w:val="Plain Text"/>
    <w:basedOn w:val="1"/>
    <w:autoRedefine/>
    <w:qFormat/>
    <w:locked/>
    <w:uiPriority w:val="0"/>
    <w:rPr>
      <w:rFonts w:ascii="宋体" w:hAnsi="Courier New" w:cs="Courier New"/>
      <w:szCs w:val="21"/>
    </w:rPr>
  </w:style>
  <w:style w:type="paragraph" w:styleId="23">
    <w:name w:val="Date"/>
    <w:basedOn w:val="1"/>
    <w:next w:val="1"/>
    <w:link w:val="58"/>
    <w:autoRedefine/>
    <w:qFormat/>
    <w:uiPriority w:val="0"/>
    <w:pPr>
      <w:ind w:left="100" w:leftChars="2500"/>
    </w:pPr>
    <w:rPr>
      <w:kern w:val="0"/>
      <w:sz w:val="24"/>
      <w:szCs w:val="20"/>
    </w:rPr>
  </w:style>
  <w:style w:type="paragraph" w:styleId="24">
    <w:name w:val="Body Text Indent 2"/>
    <w:basedOn w:val="1"/>
    <w:autoRedefine/>
    <w:qFormat/>
    <w:locked/>
    <w:uiPriority w:val="0"/>
    <w:pPr>
      <w:spacing w:line="360" w:lineRule="auto"/>
      <w:ind w:firstLine="480" w:firstLineChars="200"/>
    </w:pPr>
    <w:rPr>
      <w:sz w:val="24"/>
    </w:rPr>
  </w:style>
  <w:style w:type="paragraph" w:styleId="25">
    <w:name w:val="Balloon Text"/>
    <w:basedOn w:val="1"/>
    <w:link w:val="74"/>
    <w:autoRedefine/>
    <w:semiHidden/>
    <w:qFormat/>
    <w:uiPriority w:val="0"/>
    <w:rPr>
      <w:kern w:val="0"/>
      <w:sz w:val="18"/>
      <w:szCs w:val="20"/>
    </w:rPr>
  </w:style>
  <w:style w:type="paragraph" w:styleId="26">
    <w:name w:val="footer"/>
    <w:basedOn w:val="1"/>
    <w:link w:val="76"/>
    <w:autoRedefine/>
    <w:qFormat/>
    <w:uiPriority w:val="99"/>
    <w:pPr>
      <w:tabs>
        <w:tab w:val="center" w:pos="4153"/>
        <w:tab w:val="right" w:pos="8306"/>
      </w:tabs>
      <w:snapToGrid w:val="0"/>
      <w:jc w:val="left"/>
    </w:pPr>
    <w:rPr>
      <w:kern w:val="0"/>
      <w:sz w:val="18"/>
      <w:szCs w:val="20"/>
    </w:rPr>
  </w:style>
  <w:style w:type="paragraph" w:styleId="27">
    <w:name w:val="header"/>
    <w:basedOn w:val="1"/>
    <w:link w:val="75"/>
    <w:autoRedefine/>
    <w:qFormat/>
    <w:uiPriority w:val="0"/>
    <w:pPr>
      <w:pBdr>
        <w:bottom w:val="single" w:color="auto" w:sz="6" w:space="1"/>
      </w:pBdr>
      <w:tabs>
        <w:tab w:val="center" w:pos="4153"/>
        <w:tab w:val="right" w:pos="8306"/>
      </w:tabs>
      <w:snapToGrid w:val="0"/>
      <w:jc w:val="center"/>
    </w:pPr>
    <w:rPr>
      <w:kern w:val="0"/>
      <w:sz w:val="18"/>
      <w:szCs w:val="20"/>
    </w:rPr>
  </w:style>
  <w:style w:type="paragraph" w:styleId="28">
    <w:name w:val="List"/>
    <w:basedOn w:val="1"/>
    <w:autoRedefine/>
    <w:unhideWhenUsed/>
    <w:qFormat/>
    <w:locked/>
    <w:uiPriority w:val="99"/>
    <w:pPr>
      <w:ind w:left="200" w:hanging="200" w:hangingChars="200"/>
      <w:contextualSpacing/>
    </w:pPr>
  </w:style>
  <w:style w:type="paragraph" w:styleId="29">
    <w:name w:val="Body Text Indent 3"/>
    <w:basedOn w:val="1"/>
    <w:link w:val="73"/>
    <w:autoRedefine/>
    <w:qFormat/>
    <w:locked/>
    <w:uiPriority w:val="99"/>
    <w:pPr>
      <w:widowControl/>
      <w:ind w:firstLine="552" w:firstLineChars="200"/>
    </w:pPr>
    <w:rPr>
      <w:spacing w:val="-2"/>
      <w:kern w:val="0"/>
      <w:sz w:val="20"/>
      <w:szCs w:val="20"/>
    </w:rPr>
  </w:style>
  <w:style w:type="paragraph" w:styleId="30">
    <w:name w:val="table of figures"/>
    <w:basedOn w:val="1"/>
    <w:next w:val="1"/>
    <w:autoRedefine/>
    <w:qFormat/>
    <w:locked/>
    <w:uiPriority w:val="0"/>
    <w:pPr>
      <w:ind w:left="200" w:leftChars="200" w:hanging="200" w:hangingChars="200"/>
    </w:pPr>
  </w:style>
  <w:style w:type="paragraph" w:styleId="31">
    <w:name w:val="toc 2"/>
    <w:basedOn w:val="1"/>
    <w:next w:val="1"/>
    <w:qFormat/>
    <w:locked/>
    <w:uiPriority w:val="39"/>
    <w:pPr>
      <w:ind w:left="420" w:leftChars="200"/>
    </w:pPr>
  </w:style>
  <w:style w:type="paragraph" w:styleId="32">
    <w:name w:val="toc 9"/>
    <w:basedOn w:val="1"/>
    <w:next w:val="1"/>
    <w:autoRedefine/>
    <w:qFormat/>
    <w:locked/>
    <w:uiPriority w:val="0"/>
    <w:pPr>
      <w:widowControl/>
      <w:wordWrap w:val="0"/>
      <w:ind w:left="2975"/>
    </w:pPr>
    <w:rPr>
      <w:szCs w:val="22"/>
    </w:rPr>
  </w:style>
  <w:style w:type="paragraph" w:styleId="33">
    <w:name w:val="HTML Preformatted"/>
    <w:basedOn w:val="1"/>
    <w:autoRedefine/>
    <w:qFormat/>
    <w:locked/>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paragraph" w:styleId="34">
    <w:name w:val="Normal (Web)"/>
    <w:basedOn w:val="1"/>
    <w:link w:val="71"/>
    <w:autoRedefine/>
    <w:qFormat/>
    <w:uiPriority w:val="0"/>
    <w:pPr>
      <w:widowControl/>
      <w:spacing w:before="100" w:beforeAutospacing="1" w:after="100" w:afterAutospacing="1"/>
      <w:jc w:val="left"/>
    </w:pPr>
    <w:rPr>
      <w:rFonts w:ascii="宋体" w:hAnsi="宋体"/>
      <w:kern w:val="0"/>
      <w:sz w:val="24"/>
      <w:szCs w:val="20"/>
    </w:rPr>
  </w:style>
  <w:style w:type="paragraph" w:styleId="35">
    <w:name w:val="index 1"/>
    <w:basedOn w:val="1"/>
    <w:next w:val="1"/>
    <w:autoRedefine/>
    <w:semiHidden/>
    <w:qFormat/>
    <w:locked/>
    <w:uiPriority w:val="99"/>
    <w:pPr>
      <w:tabs>
        <w:tab w:val="left" w:pos="5580"/>
      </w:tabs>
      <w:spacing w:line="280" w:lineRule="exact"/>
    </w:pPr>
    <w:rPr>
      <w:rFonts w:ascii="宋体" w:hAnsi="宋体" w:cs="宋体"/>
      <w:spacing w:val="10"/>
      <w:szCs w:val="21"/>
    </w:rPr>
  </w:style>
  <w:style w:type="paragraph" w:styleId="36">
    <w:name w:val="Body Text First Indent"/>
    <w:basedOn w:val="19"/>
    <w:next w:val="1"/>
    <w:autoRedefine/>
    <w:qFormat/>
    <w:locked/>
    <w:uiPriority w:val="0"/>
    <w:pPr>
      <w:spacing w:after="120"/>
      <w:ind w:firstLine="420" w:firstLineChars="100"/>
    </w:pPr>
    <w:rPr>
      <w:sz w:val="24"/>
      <w:szCs w:val="24"/>
    </w:rPr>
  </w:style>
  <w:style w:type="paragraph" w:styleId="37">
    <w:name w:val="Body Text First Indent 2"/>
    <w:basedOn w:val="21"/>
    <w:next w:val="36"/>
    <w:autoRedefine/>
    <w:qFormat/>
    <w:locked/>
    <w:uiPriority w:val="0"/>
    <w:pPr>
      <w:adjustRightInd w:val="0"/>
      <w:spacing w:line="360" w:lineRule="atLeast"/>
      <w:ind w:left="0" w:leftChars="0" w:firstLine="210"/>
      <w:jc w:val="left"/>
      <w:textAlignment w:val="baseline"/>
    </w:pPr>
    <w:rPr>
      <w:rFonts w:eastAsia="楷体_GB2312"/>
    </w:rPr>
  </w:style>
  <w:style w:type="table" w:styleId="39">
    <w:name w:val="Table Grid"/>
    <w:basedOn w:val="3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basedOn w:val="40"/>
    <w:autoRedefine/>
    <w:qFormat/>
    <w:locked/>
    <w:uiPriority w:val="99"/>
    <w:rPr>
      <w:rFonts w:ascii="Times New Roman" w:hAnsi="Times New Roman" w:eastAsia="宋体" w:cs="Times New Roman"/>
      <w:bCs/>
      <w:sz w:val="21"/>
    </w:rPr>
  </w:style>
  <w:style w:type="character" w:styleId="42">
    <w:name w:val="page number"/>
    <w:basedOn w:val="40"/>
    <w:autoRedefine/>
    <w:qFormat/>
    <w:locked/>
    <w:uiPriority w:val="0"/>
  </w:style>
  <w:style w:type="character" w:styleId="43">
    <w:name w:val="FollowedHyperlink"/>
    <w:basedOn w:val="40"/>
    <w:autoRedefine/>
    <w:qFormat/>
    <w:locked/>
    <w:uiPriority w:val="0"/>
    <w:rPr>
      <w:color w:val="333333"/>
      <w:u w:val="none"/>
    </w:rPr>
  </w:style>
  <w:style w:type="character" w:styleId="44">
    <w:name w:val="Emphasis"/>
    <w:basedOn w:val="40"/>
    <w:autoRedefine/>
    <w:qFormat/>
    <w:locked/>
    <w:uiPriority w:val="0"/>
  </w:style>
  <w:style w:type="character" w:styleId="45">
    <w:name w:val="Hyperlink"/>
    <w:basedOn w:val="40"/>
    <w:autoRedefine/>
    <w:qFormat/>
    <w:locked/>
    <w:uiPriority w:val="0"/>
    <w:rPr>
      <w:color w:val="0000FF"/>
      <w:u w:val="single"/>
    </w:rPr>
  </w:style>
  <w:style w:type="character" w:styleId="46">
    <w:name w:val="annotation reference"/>
    <w:autoRedefine/>
    <w:semiHidden/>
    <w:qFormat/>
    <w:uiPriority w:val="0"/>
    <w:rPr>
      <w:sz w:val="21"/>
    </w:rPr>
  </w:style>
  <w:style w:type="character" w:styleId="47">
    <w:name w:val="HTML Cite"/>
    <w:basedOn w:val="40"/>
    <w:autoRedefine/>
    <w:qFormat/>
    <w:locked/>
    <w:uiPriority w:val="0"/>
  </w:style>
  <w:style w:type="paragraph" w:customStyle="1" w:styleId="48">
    <w:name w:val="Default"/>
    <w:basedOn w:val="49"/>
    <w:next w:val="1"/>
    <w:autoRedefine/>
    <w:qFormat/>
    <w:uiPriority w:val="0"/>
    <w:pPr>
      <w:autoSpaceDE w:val="0"/>
      <w:autoSpaceDN w:val="0"/>
    </w:pPr>
    <w:rPr>
      <w:rFonts w:hAnsi="Calibri" w:cs="宋体"/>
      <w:color w:val="000000"/>
      <w:sz w:val="24"/>
    </w:rPr>
  </w:style>
  <w:style w:type="paragraph" w:customStyle="1" w:styleId="49">
    <w:name w:val="纯文本1"/>
    <w:basedOn w:val="1"/>
    <w:autoRedefine/>
    <w:qFormat/>
    <w:uiPriority w:val="0"/>
    <w:pPr>
      <w:adjustRightInd w:val="0"/>
    </w:pPr>
    <w:rPr>
      <w:rFonts w:ascii="宋体" w:hAnsi="Courier New"/>
    </w:rPr>
  </w:style>
  <w:style w:type="paragraph" w:customStyle="1" w:styleId="50">
    <w:name w:val="Body Text First Indent 21"/>
    <w:basedOn w:val="51"/>
    <w:autoRedefine/>
    <w:qFormat/>
    <w:uiPriority w:val="99"/>
    <w:pPr>
      <w:numPr>
        <w:ilvl w:val="0"/>
        <w:numId w:val="1"/>
      </w:numPr>
      <w:spacing w:line="360" w:lineRule="auto"/>
      <w:ind w:left="0" w:firstLine="562" w:firstLineChars="200"/>
      <w:jc w:val="left"/>
    </w:pPr>
  </w:style>
  <w:style w:type="paragraph" w:customStyle="1" w:styleId="51">
    <w:name w:val="Body Text Indent1"/>
    <w:basedOn w:val="1"/>
    <w:autoRedefine/>
    <w:qFormat/>
    <w:uiPriority w:val="99"/>
    <w:pPr>
      <w:spacing w:after="120"/>
      <w:ind w:left="420" w:leftChars="200"/>
    </w:pPr>
  </w:style>
  <w:style w:type="paragraph" w:customStyle="1" w:styleId="52">
    <w:name w:val="明显引用1"/>
    <w:next w:val="1"/>
    <w:autoRedefine/>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customStyle="1" w:styleId="53">
    <w:name w:val="Char Char1 Char Char"/>
    <w:basedOn w:val="1"/>
    <w:next w:val="54"/>
    <w:autoRedefine/>
    <w:qFormat/>
    <w:uiPriority w:val="0"/>
    <w:rPr>
      <w:sz w:val="24"/>
    </w:rPr>
  </w:style>
  <w:style w:type="paragraph" w:customStyle="1" w:styleId="54">
    <w:name w:val="xl42"/>
    <w:basedOn w:val="1"/>
    <w:next w:val="1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eastAsia="Arial Unicode MS"/>
      <w:kern w:val="0"/>
    </w:rPr>
  </w:style>
  <w:style w:type="paragraph" w:customStyle="1" w:styleId="55">
    <w:name w:val="_Style 1"/>
    <w:basedOn w:val="1"/>
    <w:next w:val="1"/>
    <w:autoRedefine/>
    <w:qFormat/>
    <w:uiPriority w:val="0"/>
    <w:pPr>
      <w:ind w:firstLine="420" w:firstLineChars="200"/>
    </w:pPr>
    <w:rPr>
      <w:rFonts w:ascii="Calibri" w:hAnsi="Calibri"/>
      <w:szCs w:val="22"/>
    </w:rPr>
  </w:style>
  <w:style w:type="paragraph" w:customStyle="1" w:styleId="56">
    <w:name w:val="正文1"/>
    <w:basedOn w:val="1"/>
    <w:autoRedefine/>
    <w:qFormat/>
    <w:uiPriority w:val="0"/>
    <w:pPr>
      <w:tabs>
        <w:tab w:val="left" w:pos="22680"/>
      </w:tabs>
      <w:spacing w:line="360" w:lineRule="auto"/>
      <w:ind w:firstLine="602" w:firstLineChars="200"/>
      <w:jc w:val="left"/>
    </w:pPr>
    <w:rPr>
      <w:rFonts w:ascii="宋体" w:hAnsi="宋体"/>
      <w:sz w:val="24"/>
      <w:szCs w:val="20"/>
    </w:rPr>
  </w:style>
  <w:style w:type="character" w:customStyle="1" w:styleId="57">
    <w:name w:val="标题 2 字符"/>
    <w:link w:val="3"/>
    <w:autoRedefine/>
    <w:qFormat/>
    <w:uiPriority w:val="0"/>
    <w:rPr>
      <w:rFonts w:hint="eastAsia" w:ascii="宋体" w:hAnsi="宋体" w:eastAsia="宋体" w:cs="宋体"/>
      <w:b/>
      <w:kern w:val="0"/>
      <w:sz w:val="36"/>
      <w:szCs w:val="36"/>
      <w:lang w:val="en-US" w:eastAsia="zh-CN" w:bidi="ar"/>
    </w:rPr>
  </w:style>
  <w:style w:type="character" w:customStyle="1" w:styleId="58">
    <w:name w:val="日期 字符1"/>
    <w:link w:val="23"/>
    <w:autoRedefine/>
    <w:qFormat/>
    <w:locked/>
    <w:uiPriority w:val="0"/>
    <w:rPr>
      <w:rFonts w:ascii="Times New Roman" w:hAnsi="Times New Roman" w:eastAsia="宋体"/>
      <w:sz w:val="24"/>
    </w:rPr>
  </w:style>
  <w:style w:type="character" w:customStyle="1" w:styleId="59">
    <w:name w:val="批注文字 字符1"/>
    <w:autoRedefine/>
    <w:semiHidden/>
    <w:qFormat/>
    <w:uiPriority w:val="0"/>
    <w:rPr>
      <w:rFonts w:ascii="Times New Roman" w:hAnsi="Times New Roman" w:eastAsia="宋体"/>
      <w:sz w:val="24"/>
    </w:rPr>
  </w:style>
  <w:style w:type="character" w:customStyle="1" w:styleId="60">
    <w:name w:val="日期 字符"/>
    <w:autoRedefine/>
    <w:semiHidden/>
    <w:qFormat/>
    <w:uiPriority w:val="0"/>
    <w:rPr>
      <w:rFonts w:ascii="Times New Roman" w:hAnsi="Times New Roman" w:eastAsia="宋体"/>
      <w:sz w:val="24"/>
    </w:rPr>
  </w:style>
  <w:style w:type="character" w:customStyle="1" w:styleId="61">
    <w:name w:val="正文文本缩进 字符"/>
    <w:link w:val="21"/>
    <w:autoRedefine/>
    <w:semiHidden/>
    <w:qFormat/>
    <w:locked/>
    <w:uiPriority w:val="0"/>
    <w:rPr>
      <w:rFonts w:ascii="Times New Roman" w:hAnsi="Times New Roman" w:eastAsia="宋体"/>
      <w:sz w:val="24"/>
    </w:rPr>
  </w:style>
  <w:style w:type="character" w:customStyle="1" w:styleId="62">
    <w:name w:val="font11"/>
    <w:basedOn w:val="40"/>
    <w:autoRedefine/>
    <w:qFormat/>
    <w:uiPriority w:val="0"/>
    <w:rPr>
      <w:rFonts w:hint="eastAsia" w:ascii="MingLiU" w:hAnsi="MingLiU" w:eastAsia="MingLiU" w:cs="MingLiU"/>
      <w:color w:val="000000"/>
      <w:sz w:val="16"/>
      <w:szCs w:val="16"/>
      <w:u w:val="none"/>
    </w:rPr>
  </w:style>
  <w:style w:type="character" w:customStyle="1" w:styleId="63">
    <w:name w:val="正文文本 字符1"/>
    <w:autoRedefine/>
    <w:semiHidden/>
    <w:qFormat/>
    <w:uiPriority w:val="0"/>
    <w:rPr>
      <w:rFonts w:ascii="Times New Roman" w:hAnsi="Times New Roman" w:eastAsia="宋体"/>
      <w:sz w:val="24"/>
    </w:rPr>
  </w:style>
  <w:style w:type="character" w:customStyle="1" w:styleId="64">
    <w:name w:val="textfont1"/>
    <w:autoRedefine/>
    <w:qFormat/>
    <w:uiPriority w:val="0"/>
    <w:rPr>
      <w:rFonts w:hint="default" w:ascii="_x000B__x000C_" w:hAnsi="_x000B__x000C_"/>
      <w:color w:val="000000"/>
      <w:sz w:val="22"/>
      <w:szCs w:val="22"/>
    </w:rPr>
  </w:style>
  <w:style w:type="character" w:customStyle="1" w:styleId="65">
    <w:name w:val="表格 Char"/>
    <w:link w:val="66"/>
    <w:autoRedefine/>
    <w:qFormat/>
    <w:locked/>
    <w:uiPriority w:val="0"/>
    <w:rPr>
      <w:rFonts w:ascii="宋体"/>
      <w:sz w:val="21"/>
    </w:rPr>
  </w:style>
  <w:style w:type="paragraph" w:customStyle="1" w:styleId="66">
    <w:name w:val="表格"/>
    <w:basedOn w:val="28"/>
    <w:next w:val="1"/>
    <w:link w:val="65"/>
    <w:autoRedefine/>
    <w:qFormat/>
    <w:uiPriority w:val="0"/>
    <w:pPr>
      <w:adjustRightInd w:val="0"/>
      <w:snapToGrid w:val="0"/>
      <w:spacing w:beforeLines="10" w:afterLines="10" w:line="259" w:lineRule="auto"/>
      <w:jc w:val="center"/>
    </w:pPr>
    <w:rPr>
      <w:rFonts w:ascii="宋体"/>
      <w:kern w:val="0"/>
      <w:szCs w:val="20"/>
    </w:rPr>
  </w:style>
  <w:style w:type="character" w:customStyle="1" w:styleId="67">
    <w:name w:val="批注文字 字符"/>
    <w:link w:val="10"/>
    <w:autoRedefine/>
    <w:qFormat/>
    <w:locked/>
    <w:uiPriority w:val="0"/>
    <w:rPr>
      <w:rFonts w:ascii="Times New Roman" w:hAnsi="Times New Roman" w:eastAsia="宋体"/>
      <w:sz w:val="24"/>
    </w:rPr>
  </w:style>
  <w:style w:type="character" w:customStyle="1" w:styleId="68">
    <w:name w:val="页脚 字符"/>
    <w:basedOn w:val="40"/>
    <w:autoRedefine/>
    <w:qFormat/>
    <w:uiPriority w:val="99"/>
  </w:style>
  <w:style w:type="character" w:customStyle="1" w:styleId="69">
    <w:name w:val="font01"/>
    <w:basedOn w:val="40"/>
    <w:autoRedefine/>
    <w:qFormat/>
    <w:uiPriority w:val="0"/>
    <w:rPr>
      <w:rFonts w:hint="default" w:ascii="Times New Roman" w:hAnsi="Times New Roman" w:cs="Times New Roman"/>
      <w:color w:val="000000"/>
      <w:sz w:val="16"/>
      <w:szCs w:val="16"/>
      <w:u w:val="none"/>
    </w:rPr>
  </w:style>
  <w:style w:type="character" w:customStyle="1" w:styleId="70">
    <w:name w:val="批注主题 字符"/>
    <w:link w:val="17"/>
    <w:autoRedefine/>
    <w:semiHidden/>
    <w:qFormat/>
    <w:locked/>
    <w:uiPriority w:val="0"/>
    <w:rPr>
      <w:rFonts w:ascii="Times New Roman" w:hAnsi="Times New Roman" w:eastAsia="宋体"/>
      <w:b/>
      <w:kern w:val="2"/>
      <w:sz w:val="24"/>
    </w:rPr>
  </w:style>
  <w:style w:type="character" w:customStyle="1" w:styleId="71">
    <w:name w:val="普通(网站) 字符"/>
    <w:link w:val="34"/>
    <w:autoRedefine/>
    <w:qFormat/>
    <w:locked/>
    <w:uiPriority w:val="0"/>
    <w:rPr>
      <w:rFonts w:ascii="宋体" w:hAnsi="宋体" w:eastAsia="宋体"/>
      <w:sz w:val="24"/>
    </w:rPr>
  </w:style>
  <w:style w:type="character" w:customStyle="1" w:styleId="72">
    <w:name w:val="正文文本 字符"/>
    <w:link w:val="19"/>
    <w:autoRedefine/>
    <w:qFormat/>
    <w:locked/>
    <w:uiPriority w:val="0"/>
    <w:rPr>
      <w:sz w:val="18"/>
    </w:rPr>
  </w:style>
  <w:style w:type="character" w:customStyle="1" w:styleId="73">
    <w:name w:val="正文文本缩进 3 字符"/>
    <w:link w:val="29"/>
    <w:autoRedefine/>
    <w:qFormat/>
    <w:uiPriority w:val="99"/>
    <w:rPr>
      <w:rFonts w:ascii="Times New Roman" w:hAnsi="Times New Roman"/>
      <w:spacing w:val="-2"/>
      <w:kern w:val="0"/>
      <w:sz w:val="20"/>
      <w:szCs w:val="20"/>
    </w:rPr>
  </w:style>
  <w:style w:type="character" w:customStyle="1" w:styleId="74">
    <w:name w:val="批注框文本 字符"/>
    <w:link w:val="25"/>
    <w:autoRedefine/>
    <w:semiHidden/>
    <w:qFormat/>
    <w:locked/>
    <w:uiPriority w:val="0"/>
    <w:rPr>
      <w:rFonts w:ascii="Times New Roman" w:hAnsi="Times New Roman" w:eastAsia="宋体"/>
      <w:sz w:val="18"/>
    </w:rPr>
  </w:style>
  <w:style w:type="character" w:customStyle="1" w:styleId="75">
    <w:name w:val="页眉 字符"/>
    <w:link w:val="27"/>
    <w:autoRedefine/>
    <w:qFormat/>
    <w:locked/>
    <w:uiPriority w:val="0"/>
    <w:rPr>
      <w:sz w:val="18"/>
    </w:rPr>
  </w:style>
  <w:style w:type="character" w:customStyle="1" w:styleId="76">
    <w:name w:val="页脚 字符1"/>
    <w:link w:val="26"/>
    <w:autoRedefine/>
    <w:qFormat/>
    <w:locked/>
    <w:uiPriority w:val="99"/>
    <w:rPr>
      <w:sz w:val="18"/>
    </w:rPr>
  </w:style>
  <w:style w:type="character" w:customStyle="1" w:styleId="77">
    <w:name w:val="标准正文 Char"/>
    <w:link w:val="78"/>
    <w:autoRedefine/>
    <w:qFormat/>
    <w:locked/>
    <w:uiPriority w:val="0"/>
    <w:rPr>
      <w:rFonts w:ascii="Calibri" w:hAnsi="新宋体" w:eastAsia="新宋体"/>
      <w:kern w:val="0"/>
      <w:sz w:val="24"/>
      <w:szCs w:val="20"/>
    </w:rPr>
  </w:style>
  <w:style w:type="paragraph" w:customStyle="1" w:styleId="78">
    <w:name w:val="标准正文"/>
    <w:basedOn w:val="22"/>
    <w:link w:val="77"/>
    <w:autoRedefine/>
    <w:qFormat/>
    <w:uiPriority w:val="0"/>
    <w:pPr>
      <w:spacing w:line="360" w:lineRule="auto"/>
      <w:ind w:firstLine="480" w:firstLineChars="200"/>
    </w:pPr>
    <w:rPr>
      <w:rFonts w:ascii="Calibri" w:hAnsi="新宋体" w:eastAsia="新宋体"/>
      <w:kern w:val="0"/>
      <w:sz w:val="24"/>
      <w:szCs w:val="20"/>
    </w:rPr>
  </w:style>
  <w:style w:type="paragraph" w:customStyle="1" w:styleId="79">
    <w:name w:val="样式1"/>
    <w:basedOn w:val="1"/>
    <w:autoRedefine/>
    <w:qFormat/>
    <w:uiPriority w:val="0"/>
    <w:pPr>
      <w:spacing w:line="360" w:lineRule="auto"/>
      <w:ind w:firstLine="567"/>
    </w:pPr>
    <w:rPr>
      <w:sz w:val="24"/>
      <w:szCs w:val="20"/>
    </w:rPr>
  </w:style>
  <w:style w:type="paragraph" w:customStyle="1" w:styleId="80">
    <w:name w:val="4正文"/>
    <w:basedOn w:val="1"/>
    <w:autoRedefine/>
    <w:qFormat/>
    <w:uiPriority w:val="0"/>
    <w:pPr>
      <w:spacing w:line="360" w:lineRule="auto"/>
      <w:ind w:firstLine="480" w:firstLineChars="200"/>
    </w:pPr>
    <w:rPr>
      <w:rFonts w:cs="宋体"/>
      <w:sz w:val="24"/>
      <w:szCs w:val="20"/>
    </w:rPr>
  </w:style>
  <w:style w:type="paragraph" w:customStyle="1" w:styleId="81">
    <w:name w:val="表头"/>
    <w:basedOn w:val="1"/>
    <w:autoRedefine/>
    <w:qFormat/>
    <w:uiPriority w:val="0"/>
    <w:pPr>
      <w:tabs>
        <w:tab w:val="left" w:pos="1021"/>
      </w:tabs>
      <w:spacing w:before="60"/>
      <w:jc w:val="center"/>
    </w:pPr>
    <w:rPr>
      <w:rFonts w:eastAsia="黑体"/>
      <w:kern w:val="24"/>
    </w:rPr>
  </w:style>
  <w:style w:type="paragraph" w:customStyle="1" w:styleId="82">
    <w:name w:val="表格文字"/>
    <w:basedOn w:val="1"/>
    <w:autoRedefine/>
    <w:qFormat/>
    <w:uiPriority w:val="0"/>
    <w:pPr>
      <w:jc w:val="center"/>
    </w:pPr>
  </w:style>
  <w:style w:type="paragraph" w:customStyle="1" w:styleId="83">
    <w:name w:val="表格1"/>
    <w:basedOn w:val="1"/>
    <w:autoRedefine/>
    <w:qFormat/>
    <w:uiPriority w:val="0"/>
    <w:pPr>
      <w:adjustRightInd w:val="0"/>
      <w:spacing w:line="20" w:lineRule="atLeast"/>
      <w:jc w:val="center"/>
      <w:textAlignment w:val="center"/>
    </w:pPr>
    <w:rPr>
      <w:rFonts w:ascii="宋体"/>
      <w:szCs w:val="20"/>
    </w:rPr>
  </w:style>
  <w:style w:type="paragraph" w:customStyle="1" w:styleId="84">
    <w:name w:val="普通(网站)2"/>
    <w:basedOn w:val="1"/>
    <w:autoRedefine/>
    <w:qFormat/>
    <w:uiPriority w:val="0"/>
    <w:pPr>
      <w:widowControl/>
      <w:spacing w:before="100" w:beforeAutospacing="1" w:after="100" w:afterAutospacing="1"/>
      <w:jc w:val="left"/>
    </w:pPr>
    <w:rPr>
      <w:rFonts w:ascii="宋体" w:hAnsi="宋体"/>
      <w:sz w:val="24"/>
      <w:szCs w:val="20"/>
    </w:rPr>
  </w:style>
  <w:style w:type="paragraph" w:customStyle="1" w:styleId="85">
    <w:name w:val="正本"/>
    <w:basedOn w:val="1"/>
    <w:autoRedefine/>
    <w:qFormat/>
    <w:uiPriority w:val="0"/>
    <w:pPr>
      <w:spacing w:line="360" w:lineRule="auto"/>
      <w:ind w:left="198"/>
      <w:jc w:val="left"/>
    </w:pPr>
    <w:rPr>
      <w:rFonts w:ascii="宋体" w:hAnsi="宋体"/>
      <w:sz w:val="24"/>
      <w:szCs w:val="20"/>
    </w:rPr>
  </w:style>
  <w:style w:type="paragraph" w:customStyle="1" w:styleId="86">
    <w:name w:val="表文字"/>
    <w:autoRedefine/>
    <w:qFormat/>
    <w:uiPriority w:val="0"/>
    <w:pPr>
      <w:widowControl w:val="0"/>
      <w:adjustRightInd w:val="0"/>
      <w:snapToGrid w:val="0"/>
      <w:spacing w:line="270" w:lineRule="exact"/>
      <w:ind w:left="57" w:right="57"/>
      <w:jc w:val="center"/>
    </w:pPr>
    <w:rPr>
      <w:rFonts w:ascii="Times New Roman" w:hAnsi="Times New Roman" w:eastAsia="宋体" w:cs="Times New Roman"/>
      <w:kern w:val="18"/>
      <w:sz w:val="18"/>
      <w:lang w:val="en-GB" w:eastAsia="zh-CN" w:bidi="ar-SA"/>
    </w:rPr>
  </w:style>
  <w:style w:type="paragraph" w:customStyle="1" w:styleId="87">
    <w:name w:val="BG1"/>
    <w:basedOn w:val="1"/>
    <w:autoRedefine/>
    <w:qFormat/>
    <w:uiPriority w:val="0"/>
    <w:pPr>
      <w:spacing w:line="360" w:lineRule="auto"/>
      <w:ind w:firstLine="422" w:firstLineChars="200"/>
      <w:jc w:val="center"/>
    </w:pPr>
    <w:rPr>
      <w:b/>
      <w:bCs/>
      <w:color w:val="000000"/>
      <w:kern w:val="0"/>
    </w:rPr>
  </w:style>
  <w:style w:type="paragraph" w:customStyle="1" w:styleId="88">
    <w:name w:val="ZW"/>
    <w:basedOn w:val="85"/>
    <w:autoRedefine/>
    <w:qFormat/>
    <w:uiPriority w:val="0"/>
    <w:pPr>
      <w:adjustRightInd w:val="0"/>
      <w:snapToGrid w:val="0"/>
      <w:ind w:left="0" w:firstLine="200" w:firstLineChars="200"/>
      <w:jc w:val="both"/>
    </w:pPr>
    <w:rPr>
      <w:rFonts w:ascii="Times New Roman" w:hAnsi="Times New Roman" w:eastAsia="仿宋_GB2312"/>
      <w:kern w:val="0"/>
      <w:sz w:val="28"/>
      <w:szCs w:val="24"/>
    </w:rPr>
  </w:style>
  <w:style w:type="paragraph" w:customStyle="1" w:styleId="89">
    <w:name w:val="!正文"/>
    <w:basedOn w:val="1"/>
    <w:autoRedefine/>
    <w:qFormat/>
    <w:uiPriority w:val="0"/>
    <w:pPr>
      <w:spacing w:line="480" w:lineRule="exact"/>
      <w:ind w:firstLine="480" w:firstLineChars="200"/>
    </w:pPr>
    <w:rPr>
      <w:rFonts w:hAnsi="宋体" w:cs="宋体"/>
    </w:rPr>
  </w:style>
  <w:style w:type="paragraph" w:styleId="90">
    <w:name w:val="Quote"/>
    <w:basedOn w:val="1"/>
    <w:next w:val="1"/>
    <w:autoRedefine/>
    <w:qFormat/>
    <w:uiPriority w:val="0"/>
    <w:pPr>
      <w:jc w:val="center"/>
    </w:pPr>
    <w:rPr>
      <w:b/>
      <w:iCs/>
      <w:color w:val="000000"/>
      <w:lang w:eastAsia="en-US" w:bidi="en-US"/>
    </w:rPr>
  </w:style>
  <w:style w:type="paragraph" w:customStyle="1" w:styleId="91">
    <w:name w:val="卓龙正文"/>
    <w:basedOn w:val="1"/>
    <w:autoRedefine/>
    <w:qFormat/>
    <w:uiPriority w:val="99"/>
    <w:pPr>
      <w:spacing w:line="360" w:lineRule="auto"/>
      <w:ind w:firstLine="200" w:firstLineChars="200"/>
    </w:pPr>
    <w:rPr>
      <w:sz w:val="24"/>
    </w:rPr>
  </w:style>
  <w:style w:type="paragraph" w:customStyle="1" w:styleId="92">
    <w:name w:val="正文_1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3">
    <w:name w:val="WPSOffice手动目录 1"/>
    <w:autoRedefine/>
    <w:qFormat/>
    <w:uiPriority w:val="0"/>
    <w:rPr>
      <w:rFonts w:ascii="Times New Roman" w:hAnsi="Times New Roman" w:eastAsia="宋体" w:cs="Times New Roman"/>
      <w:lang w:val="en-US" w:eastAsia="zh-CN" w:bidi="ar-SA"/>
    </w:rPr>
  </w:style>
  <w:style w:type="paragraph" w:styleId="94">
    <w:name w:val="Intense Quote"/>
    <w:basedOn w:val="1"/>
    <w:next w:val="1"/>
    <w:autoRedefine/>
    <w:qFormat/>
    <w:uiPriority w:val="0"/>
    <w:pPr>
      <w:jc w:val="center"/>
    </w:pPr>
    <w:rPr>
      <w:bCs/>
      <w:iCs/>
      <w:lang w:eastAsia="en-US" w:bidi="en-US"/>
    </w:rPr>
  </w:style>
  <w:style w:type="paragraph" w:customStyle="1" w:styleId="95">
    <w:name w:val="hj正文"/>
    <w:basedOn w:val="1"/>
    <w:autoRedefine/>
    <w:qFormat/>
    <w:uiPriority w:val="0"/>
    <w:pPr>
      <w:ind w:firstLine="480" w:firstLineChars="200"/>
    </w:pPr>
  </w:style>
  <w:style w:type="paragraph" w:customStyle="1" w:styleId="96">
    <w:name w:val="Table Paragraph"/>
    <w:basedOn w:val="1"/>
    <w:autoRedefine/>
    <w:qFormat/>
    <w:uiPriority w:val="1"/>
    <w:rPr>
      <w:rFonts w:eastAsia="Times New Roman"/>
    </w:rPr>
  </w:style>
  <w:style w:type="paragraph" w:customStyle="1" w:styleId="97">
    <w:name w:val="环评正文"/>
    <w:basedOn w:val="1"/>
    <w:autoRedefine/>
    <w:qFormat/>
    <w:uiPriority w:val="0"/>
    <w:pPr>
      <w:spacing w:beforeLines="30"/>
      <w:ind w:firstLine="200" w:firstLineChars="200"/>
    </w:pPr>
    <w:rPr>
      <w:kern w:val="0"/>
      <w:sz w:val="24"/>
      <w:szCs w:val="20"/>
    </w:rPr>
  </w:style>
  <w:style w:type="paragraph" w:customStyle="1" w:styleId="98">
    <w:name w:val="简单回函地址"/>
    <w:basedOn w:val="1"/>
    <w:autoRedefine/>
    <w:qFormat/>
    <w:uiPriority w:val="0"/>
    <w:rPr>
      <w:szCs w:val="20"/>
    </w:rPr>
  </w:style>
  <w:style w:type="paragraph" w:customStyle="1" w:styleId="99">
    <w:name w:val="样式 正文缩进首行缩进两字标题4正文不缩进s4正文（首行缩进两字） Char Char Char Char Char ..."/>
    <w:basedOn w:val="8"/>
    <w:autoRedefine/>
    <w:qFormat/>
    <w:uiPriority w:val="99"/>
    <w:pPr>
      <w:adjustRightInd w:val="0"/>
      <w:snapToGrid w:val="0"/>
      <w:ind w:firstLine="495"/>
    </w:pPr>
    <w:rPr>
      <w:rFonts w:ascii="Times New Roman" w:hAnsi="Times New Roman"/>
      <w:sz w:val="24"/>
    </w:rPr>
  </w:style>
  <w:style w:type="paragraph" w:customStyle="1" w:styleId="100">
    <w:name w:val="报告表小标题"/>
    <w:basedOn w:val="1"/>
    <w:autoRedefine/>
    <w:qFormat/>
    <w:uiPriority w:val="0"/>
    <w:pPr>
      <w:spacing w:before="100" w:beforeAutospacing="1" w:line="360" w:lineRule="auto"/>
    </w:pPr>
    <w:rPr>
      <w:b/>
      <w:sz w:val="24"/>
    </w:rPr>
  </w:style>
  <w:style w:type="paragraph" w:customStyle="1" w:styleId="101">
    <w:name w:val="（正文）"/>
    <w:basedOn w:val="1"/>
    <w:autoRedefine/>
    <w:qFormat/>
    <w:uiPriority w:val="0"/>
    <w:pPr>
      <w:ind w:firstLine="200" w:firstLineChars="200"/>
    </w:pPr>
    <w:rPr>
      <w:szCs w:val="20"/>
    </w:rPr>
  </w:style>
  <w:style w:type="paragraph" w:customStyle="1" w:styleId="102">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03">
    <w:name w:val="t_tag"/>
    <w:basedOn w:val="40"/>
    <w:autoRedefine/>
    <w:qFormat/>
    <w:uiPriority w:val="0"/>
  </w:style>
  <w:style w:type="paragraph" w:customStyle="1" w:styleId="104">
    <w:name w:val="BG"/>
    <w:basedOn w:val="88"/>
    <w:autoRedefine/>
    <w:qFormat/>
    <w:uiPriority w:val="0"/>
    <w:pPr>
      <w:ind w:firstLine="0" w:firstLineChars="0"/>
      <w:jc w:val="center"/>
    </w:pPr>
    <w:rPr>
      <w:b/>
      <w:sz w:val="21"/>
    </w:rPr>
  </w:style>
  <w:style w:type="paragraph" w:customStyle="1" w:styleId="105">
    <w:name w:val="表格内容"/>
    <w:basedOn w:val="1"/>
    <w:autoRedefine/>
    <w:qFormat/>
    <w:uiPriority w:val="0"/>
    <w:pPr>
      <w:framePr w:hSpace="180" w:wrap="around" w:vAnchor="text" w:hAnchor="text" w:xAlign="center" w:y="1"/>
      <w:widowControl/>
      <w:adjustRightInd w:val="0"/>
      <w:snapToGrid w:val="0"/>
      <w:spacing w:line="300" w:lineRule="atLeast"/>
      <w:jc w:val="center"/>
    </w:pPr>
    <w:rPr>
      <w:rFonts w:ascii="宋体" w:hAnsi="宋体" w:cs="宋体"/>
      <w:bCs/>
      <w:kern w:val="0"/>
      <w:szCs w:val="21"/>
    </w:rPr>
  </w:style>
  <w:style w:type="paragraph" w:customStyle="1" w:styleId="106">
    <w:name w:val="表格文字2"/>
    <w:basedOn w:val="1"/>
    <w:autoRedefine/>
    <w:qFormat/>
    <w:uiPriority w:val="0"/>
    <w:pPr>
      <w:tabs>
        <w:tab w:val="left" w:pos="277"/>
        <w:tab w:val="left" w:pos="600"/>
        <w:tab w:val="left" w:pos="780"/>
        <w:tab w:val="left" w:pos="2517"/>
      </w:tabs>
      <w:adjustRightInd w:val="0"/>
      <w:jc w:val="center"/>
      <w:textAlignment w:val="baseline"/>
    </w:pPr>
    <w:rPr>
      <w:rFonts w:ascii="宋体" w:hAnsi="宋体"/>
      <w:kern w:val="0"/>
      <w:szCs w:val="20"/>
    </w:rPr>
  </w:style>
  <w:style w:type="paragraph" w:customStyle="1" w:styleId="107">
    <w:name w:val="00000"/>
    <w:autoRedefine/>
    <w:qFormat/>
    <w:uiPriority w:val="0"/>
    <w:rPr>
      <w:rFonts w:ascii="Times New Roman" w:hAnsi="Times New Roman" w:eastAsia="仿宋" w:cs="Times New Roman"/>
      <w:kern w:val="2"/>
      <w:sz w:val="21"/>
      <w:lang w:val="en-US" w:eastAsia="zh-CN" w:bidi="ar-SA"/>
    </w:rPr>
  </w:style>
  <w:style w:type="table" w:customStyle="1" w:styleId="108">
    <w:name w:val="Table Normal"/>
    <w:autoRedefine/>
    <w:unhideWhenUsed/>
    <w:qFormat/>
    <w:uiPriority w:val="0"/>
    <w:tblPr>
      <w:tblCellMar>
        <w:top w:w="0" w:type="dxa"/>
        <w:left w:w="0" w:type="dxa"/>
        <w:bottom w:w="0" w:type="dxa"/>
        <w:right w:w="0" w:type="dxa"/>
      </w:tblCellMar>
    </w:tblPr>
  </w:style>
  <w:style w:type="paragraph" w:customStyle="1" w:styleId="109">
    <w:name w:val="列出段落2"/>
    <w:basedOn w:val="1"/>
    <w:autoRedefine/>
    <w:qFormat/>
    <w:uiPriority w:val="0"/>
    <w:pPr>
      <w:ind w:firstLine="200" w:firstLineChars="200"/>
    </w:pPr>
  </w:style>
  <w:style w:type="paragraph" w:customStyle="1" w:styleId="110">
    <w:name w:val="正文何黎"/>
    <w:basedOn w:val="1"/>
    <w:autoRedefine/>
    <w:qFormat/>
    <w:uiPriority w:val="0"/>
    <w:pPr>
      <w:spacing w:line="360" w:lineRule="auto"/>
      <w:ind w:firstLine="480" w:firstLineChars="200"/>
    </w:pPr>
    <w:rPr>
      <w:rFonts w:hAnsi="宋体"/>
      <w:kern w:val="0"/>
      <w:sz w:val="24"/>
    </w:rPr>
  </w:style>
  <w:style w:type="paragraph" w:customStyle="1" w:styleId="111">
    <w:name w:val="正文11"/>
    <w:basedOn w:val="1"/>
    <w:autoRedefine/>
    <w:qFormat/>
    <w:uiPriority w:val="0"/>
    <w:pPr>
      <w:tabs>
        <w:tab w:val="left" w:pos="22680"/>
      </w:tabs>
      <w:spacing w:line="360" w:lineRule="auto"/>
      <w:ind w:firstLine="602" w:firstLineChars="200"/>
      <w:jc w:val="left"/>
    </w:pPr>
    <w:rPr>
      <w:rFonts w:ascii="宋体" w:hAnsi="宋体"/>
      <w:sz w:val="30"/>
      <w:szCs w:val="20"/>
    </w:rPr>
  </w:style>
  <w:style w:type="paragraph" w:customStyle="1" w:styleId="112">
    <w:name w:val="表格标题"/>
    <w:basedOn w:val="36"/>
    <w:autoRedefine/>
    <w:qFormat/>
    <w:uiPriority w:val="0"/>
    <w:pPr>
      <w:spacing w:line="360" w:lineRule="auto"/>
      <w:jc w:val="center"/>
    </w:pPr>
    <w:rPr>
      <w:b/>
      <w:bCs/>
      <w:szCs w:val="20"/>
    </w:rPr>
  </w:style>
  <w:style w:type="character" w:customStyle="1" w:styleId="113">
    <w:name w:val="font41"/>
    <w:basedOn w:val="40"/>
    <w:autoRedefine/>
    <w:qFormat/>
    <w:uiPriority w:val="0"/>
    <w:rPr>
      <w:rFonts w:hint="default" w:ascii="Times New Roman" w:hAnsi="Times New Roman" w:cs="Times New Roman"/>
      <w:color w:val="000000"/>
      <w:sz w:val="24"/>
      <w:szCs w:val="24"/>
      <w:u w:val="none"/>
    </w:rPr>
  </w:style>
  <w:style w:type="character" w:customStyle="1" w:styleId="114">
    <w:name w:val="font51"/>
    <w:basedOn w:val="40"/>
    <w:autoRedefine/>
    <w:qFormat/>
    <w:uiPriority w:val="0"/>
    <w:rPr>
      <w:rFonts w:hint="eastAsia" w:ascii="宋体" w:hAnsi="宋体" w:eastAsia="宋体" w:cs="宋体"/>
      <w:color w:val="000000"/>
      <w:sz w:val="24"/>
      <w:szCs w:val="24"/>
      <w:u w:val="none"/>
    </w:rPr>
  </w:style>
  <w:style w:type="paragraph" w:customStyle="1" w:styleId="115">
    <w:name w:val="正文首行缩进2个字"/>
    <w:basedOn w:val="1"/>
    <w:autoRedefine/>
    <w:qFormat/>
    <w:uiPriority w:val="0"/>
    <w:pPr>
      <w:spacing w:line="360" w:lineRule="auto"/>
      <w:ind w:firstLine="200" w:firstLineChars="200"/>
    </w:pPr>
    <w:rPr>
      <w:sz w:val="24"/>
      <w:szCs w:val="20"/>
    </w:rPr>
  </w:style>
  <w:style w:type="character" w:customStyle="1" w:styleId="116">
    <w:name w:val="font21"/>
    <w:basedOn w:val="40"/>
    <w:autoRedefine/>
    <w:qFormat/>
    <w:uiPriority w:val="0"/>
    <w:rPr>
      <w:rFonts w:hint="eastAsia" w:ascii="宋体" w:hAnsi="宋体" w:eastAsia="宋体" w:cs="宋体"/>
      <w:color w:val="000000"/>
      <w:sz w:val="24"/>
      <w:szCs w:val="24"/>
      <w:u w:val="none"/>
    </w:rPr>
  </w:style>
  <w:style w:type="paragraph" w:customStyle="1" w:styleId="117">
    <w:name w:val="BodyTextIndent"/>
    <w:basedOn w:val="1"/>
    <w:autoRedefine/>
    <w:qFormat/>
    <w:uiPriority w:val="0"/>
    <w:pPr>
      <w:jc w:val="center"/>
    </w:pPr>
  </w:style>
  <w:style w:type="paragraph" w:customStyle="1" w:styleId="118">
    <w:name w:val="HJ-表格"/>
    <w:basedOn w:val="1"/>
    <w:autoRedefine/>
    <w:qFormat/>
    <w:uiPriority w:val="0"/>
    <w:pPr>
      <w:jc w:val="center"/>
    </w:pPr>
    <w:rPr>
      <w:rFonts w:asciiTheme="minorHAnsi" w:hAnsiTheme="minorHAnsi"/>
      <w:b/>
      <w:sz w:val="18"/>
    </w:rPr>
  </w:style>
  <w:style w:type="paragraph" w:customStyle="1" w:styleId="119">
    <w:name w:val="正文（用）"/>
    <w:basedOn w:val="1"/>
    <w:autoRedefine/>
    <w:qFormat/>
    <w:uiPriority w:val="0"/>
    <w:pPr>
      <w:spacing w:line="360" w:lineRule="auto"/>
      <w:ind w:firstLine="480" w:firstLineChars="200"/>
    </w:pPr>
    <w:rPr>
      <w:rFonts w:ascii="宋体" w:hAnsi="宋体" w:cs="宋体"/>
      <w:sz w:val="24"/>
      <w:szCs w:val="20"/>
    </w:rPr>
  </w:style>
  <w:style w:type="paragraph" w:customStyle="1" w:styleId="120">
    <w:name w:val="列表段落1"/>
    <w:basedOn w:val="1"/>
    <w:autoRedefine/>
    <w:qFormat/>
    <w:uiPriority w:val="0"/>
    <w:pPr>
      <w:ind w:firstLine="420" w:firstLineChars="200"/>
    </w:pPr>
    <w:rPr>
      <w:sz w:val="32"/>
      <w:szCs w:val="32"/>
    </w:rPr>
  </w:style>
  <w:style w:type="paragraph" w:customStyle="1" w:styleId="121">
    <w:name w:val="正文 首行缩进:  2 字符"/>
    <w:basedOn w:val="1"/>
    <w:autoRedefine/>
    <w:qFormat/>
    <w:uiPriority w:val="0"/>
    <w:pPr>
      <w:ind w:firstLine="579" w:firstLineChars="200"/>
    </w:pPr>
  </w:style>
  <w:style w:type="paragraph" w:customStyle="1" w:styleId="122">
    <w:name w:val="sheet"/>
    <w:basedOn w:val="1"/>
    <w:autoRedefine/>
    <w:qFormat/>
    <w:uiPriority w:val="0"/>
    <w:pPr>
      <w:suppressAutoHyphens/>
      <w:topLinePunct/>
      <w:jc w:val="center"/>
    </w:pPr>
    <w:rPr>
      <w:kern w:val="0"/>
    </w:rPr>
  </w:style>
  <w:style w:type="character" w:customStyle="1" w:styleId="123">
    <w:name w:val="fontstyle01"/>
    <w:autoRedefine/>
    <w:qFormat/>
    <w:uiPriority w:val="0"/>
    <w:rPr>
      <w:rFonts w:ascii="宋体" w:hAnsi="宋体" w:eastAsia="宋体" w:cs="宋体"/>
      <w:color w:val="000000"/>
      <w:sz w:val="22"/>
      <w:szCs w:val="22"/>
    </w:rPr>
  </w:style>
  <w:style w:type="paragraph" w:customStyle="1" w:styleId="124">
    <w:name w:val="正文格式"/>
    <w:basedOn w:val="1"/>
    <w:autoRedefine/>
    <w:qFormat/>
    <w:uiPriority w:val="0"/>
    <w:pPr>
      <w:spacing w:line="360" w:lineRule="auto"/>
      <w:ind w:firstLine="560" w:firstLineChars="200"/>
    </w:pPr>
    <w:rPr>
      <w:rFonts w:ascii="宋体" w:hAnsi="宋体"/>
      <w:sz w:val="28"/>
      <w:szCs w:val="28"/>
    </w:rPr>
  </w:style>
  <w:style w:type="paragraph" w:customStyle="1" w:styleId="125">
    <w:name w:val="表格正文"/>
    <w:basedOn w:val="1"/>
    <w:next w:val="1"/>
    <w:autoRedefine/>
    <w:qFormat/>
    <w:uiPriority w:val="0"/>
    <w:pPr>
      <w:autoSpaceDE w:val="0"/>
      <w:autoSpaceDN w:val="0"/>
      <w:adjustRightInd w:val="0"/>
      <w:snapToGrid w:val="0"/>
      <w:spacing w:line="340" w:lineRule="exact"/>
      <w:jc w:val="center"/>
    </w:pPr>
    <w:rPr>
      <w:szCs w:val="21"/>
    </w:rPr>
  </w:style>
  <w:style w:type="paragraph" w:customStyle="1" w:styleId="126">
    <w:name w:val="报告正文-连续目录"/>
    <w:basedOn w:val="1"/>
    <w:autoRedefine/>
    <w:qFormat/>
    <w:uiPriority w:val="0"/>
    <w:pPr>
      <w:spacing w:line="440" w:lineRule="exact"/>
      <w:ind w:firstLine="200" w:firstLineChars="200"/>
    </w:pPr>
    <w:rPr>
      <w:rFonts w:ascii="Arial" w:hAnsi="Arial"/>
      <w:snapToGrid w:val="0"/>
      <w:kern w:val="0"/>
      <w:sz w:val="24"/>
    </w:rPr>
  </w:style>
  <w:style w:type="paragraph" w:customStyle="1" w:styleId="127">
    <w:name w:val="BG正文"/>
    <w:basedOn w:val="34"/>
    <w:autoRedefine/>
    <w:qFormat/>
    <w:uiPriority w:val="0"/>
    <w:pPr>
      <w:adjustRightInd w:val="0"/>
      <w:spacing w:before="0" w:beforeAutospacing="0" w:after="0" w:afterAutospacing="0" w:line="360" w:lineRule="auto"/>
      <w:ind w:firstLine="480" w:firstLineChars="200"/>
    </w:pPr>
    <w:rPr>
      <w:kern w:val="2"/>
      <w:szCs w:val="24"/>
    </w:rPr>
  </w:style>
  <w:style w:type="paragraph" w:styleId="128">
    <w:name w:val="List Paragraph"/>
    <w:basedOn w:val="1"/>
    <w:autoRedefine/>
    <w:qFormat/>
    <w:uiPriority w:val="1"/>
    <w:pPr>
      <w:autoSpaceDE w:val="0"/>
      <w:autoSpaceDN w:val="0"/>
      <w:ind w:left="1312" w:hanging="601"/>
      <w:jc w:val="left"/>
    </w:pPr>
    <w:rPr>
      <w:rFonts w:ascii="宋体" w:hAnsi="宋体" w:cs="宋体"/>
      <w:kern w:val="0"/>
      <w:sz w:val="22"/>
      <w:szCs w:val="22"/>
      <w:lang w:val="zh-CN" w:bidi="zh-CN"/>
    </w:rPr>
  </w:style>
  <w:style w:type="paragraph" w:customStyle="1" w:styleId="129">
    <w:name w:val="无间隔1"/>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30">
    <w:name w:val="cur"/>
    <w:basedOn w:val="40"/>
    <w:autoRedefine/>
    <w:qFormat/>
    <w:uiPriority w:val="0"/>
    <w:rPr>
      <w:color w:val="FFFFFF"/>
      <w:shd w:val="clear" w:color="auto" w:fill="2F6B98"/>
    </w:rPr>
  </w:style>
  <w:style w:type="character" w:customStyle="1" w:styleId="131">
    <w:name w:val="lishishuju"/>
    <w:basedOn w:val="40"/>
    <w:autoRedefine/>
    <w:qFormat/>
    <w:uiPriority w:val="0"/>
    <w:rPr>
      <w:b/>
      <w:bCs/>
      <w:color w:val="000052"/>
      <w:sz w:val="24"/>
      <w:szCs w:val="24"/>
      <w:bdr w:val="single" w:color="E3E3E3" w:sz="6" w:space="0"/>
    </w:rPr>
  </w:style>
  <w:style w:type="character" w:customStyle="1" w:styleId="132">
    <w:name w:val="lable"/>
    <w:basedOn w:val="40"/>
    <w:autoRedefine/>
    <w:qFormat/>
    <w:uiPriority w:val="0"/>
    <w:rPr>
      <w:sz w:val="24"/>
      <w:szCs w:val="24"/>
    </w:rPr>
  </w:style>
  <w:style w:type="character" w:customStyle="1" w:styleId="133">
    <w:name w:val="znspantitle"/>
    <w:basedOn w:val="40"/>
    <w:autoRedefine/>
    <w:qFormat/>
    <w:uiPriority w:val="0"/>
    <w:rPr>
      <w:b/>
      <w:bCs/>
      <w:color w:val="333333"/>
    </w:rPr>
  </w:style>
  <w:style w:type="character" w:customStyle="1" w:styleId="134">
    <w:name w:val="radio-btn"/>
    <w:basedOn w:val="40"/>
    <w:autoRedefine/>
    <w:qFormat/>
    <w:uiPriority w:val="0"/>
    <w:rPr>
      <w:sz w:val="21"/>
      <w:szCs w:val="21"/>
    </w:rPr>
  </w:style>
  <w:style w:type="character" w:customStyle="1" w:styleId="135">
    <w:name w:val="radio-btn1"/>
    <w:basedOn w:val="40"/>
    <w:autoRedefine/>
    <w:qFormat/>
    <w:uiPriority w:val="0"/>
    <w:rPr>
      <w:sz w:val="24"/>
      <w:szCs w:val="24"/>
    </w:rPr>
  </w:style>
  <w:style w:type="character" w:customStyle="1" w:styleId="136">
    <w:name w:val="radio-btn2"/>
    <w:basedOn w:val="40"/>
    <w:autoRedefine/>
    <w:qFormat/>
    <w:uiPriority w:val="0"/>
    <w:rPr>
      <w:sz w:val="24"/>
      <w:szCs w:val="24"/>
    </w:rPr>
  </w:style>
  <w:style w:type="paragraph" w:customStyle="1" w:styleId="137">
    <w:name w:val="Normal Indent"/>
    <w:basedOn w:val="1"/>
    <w:autoRedefine/>
    <w:qFormat/>
    <w:uiPriority w:val="0"/>
  </w:style>
  <w:style w:type="paragraph" w:customStyle="1" w:styleId="138">
    <w:name w:val="C表格正文"/>
    <w:basedOn w:val="125"/>
    <w:qFormat/>
    <w:uiPriority w:val="0"/>
    <w:pPr>
      <w:wordWrap w:val="0"/>
    </w:pPr>
    <w:rPr>
      <w:color w:val="auto"/>
    </w:rPr>
  </w:style>
  <w:style w:type="paragraph" w:customStyle="1" w:styleId="139">
    <w:name w:val="0000000段落"/>
    <w:basedOn w:val="1"/>
    <w:qFormat/>
    <w:uiPriority w:val="0"/>
    <w:pPr>
      <w:jc w:val="both"/>
    </w:pPr>
    <w:rPr>
      <w:rFonts w:cs="Times New Roman"/>
      <w:color w:val="000000"/>
      <w:szCs w:val="21"/>
    </w:rPr>
  </w:style>
  <w:style w:type="paragraph" w:customStyle="1" w:styleId="140">
    <w:name w:val="333表头"/>
    <w:basedOn w:val="1"/>
    <w:next w:val="1"/>
    <w:qFormat/>
    <w:uiPriority w:val="0"/>
    <w:pPr>
      <w:spacing w:before="50" w:beforeLines="50" w:line="240" w:lineRule="auto"/>
      <w:ind w:firstLine="0" w:firstLineChars="0"/>
      <w:jc w:val="center"/>
    </w:pPr>
    <w:rPr>
      <w:rFonts w:cs="Times New Roman"/>
      <w:b/>
      <w:sz w:val="21"/>
      <w:szCs w:val="22"/>
    </w:rPr>
  </w:style>
  <w:style w:type="paragraph" w:customStyle="1" w:styleId="141">
    <w:name w:val="333表格"/>
    <w:basedOn w:val="1"/>
    <w:next w:val="1"/>
    <w:qFormat/>
    <w:uiPriority w:val="0"/>
    <w:pPr>
      <w:spacing w:line="240" w:lineRule="auto"/>
      <w:ind w:firstLine="0" w:firstLineChars="0"/>
      <w:jc w:val="center"/>
    </w:pPr>
    <w:rPr>
      <w:sz w:val="21"/>
      <w:szCs w:val="22"/>
    </w:rPr>
  </w:style>
  <w:style w:type="paragraph" w:customStyle="1" w:styleId="142">
    <w:name w:val="1表格内容"/>
    <w:basedOn w:val="1"/>
    <w:qFormat/>
    <w:uiPriority w:val="0"/>
    <w:pPr>
      <w:widowControl/>
      <w:snapToGrid w:val="0"/>
      <w:contextualSpacing/>
      <w:jc w:val="center"/>
    </w:pPr>
    <w:rPr>
      <w:rFonts w:ascii="Calibri" w:hAnsi="Calibri"/>
      <w:kern w:val="0"/>
      <w:sz w:val="20"/>
      <w:szCs w:val="28"/>
    </w:rPr>
  </w:style>
  <w:style w:type="paragraph" w:customStyle="1" w:styleId="143">
    <w:name w:val="Heading #4|1"/>
    <w:basedOn w:val="1"/>
    <w:qFormat/>
    <w:uiPriority w:val="0"/>
    <w:pPr>
      <w:widowControl w:val="0"/>
      <w:shd w:val="clear" w:color="auto" w:fill="auto"/>
      <w:jc w:val="center"/>
      <w:outlineLvl w:val="3"/>
    </w:pPr>
    <w:rPr>
      <w:rFonts w:ascii="宋体" w:hAnsi="宋体" w:eastAsia="宋体" w:cs="宋体"/>
      <w:sz w:val="34"/>
      <w:szCs w:val="34"/>
      <w:u w:val="none"/>
      <w:shd w:val="clear" w:color="auto" w:fill="auto"/>
      <w:lang w:val="zh-TW" w:eastAsia="zh-TW" w:bidi="zh-TW"/>
    </w:rPr>
  </w:style>
  <w:style w:type="paragraph" w:customStyle="1" w:styleId="144">
    <w:name w:val="正文文"/>
    <w:basedOn w:val="1"/>
    <w:qFormat/>
    <w:uiPriority w:val="0"/>
    <w:pPr>
      <w:ind w:firstLine="1441"/>
      <w:jc w:val="left"/>
    </w:pPr>
  </w:style>
  <w:style w:type="paragraph" w:customStyle="1" w:styleId="145">
    <w:name w:val="表 图 内容"/>
    <w:qFormat/>
    <w:uiPriority w:val="0"/>
    <w:pPr>
      <w:jc w:val="center"/>
    </w:pPr>
    <w:rPr>
      <w:rFonts w:ascii="Times New Roman" w:hAnsi="Times New Roman" w:eastAsia="宋体" w:cs="Times New Roman"/>
      <w:color w:val="000000"/>
      <w:kern w:val="2"/>
      <w:sz w:val="21"/>
      <w:szCs w:val="24"/>
      <w:lang w:val="en-US" w:eastAsia="zh-CN" w:bidi="ar-SA"/>
    </w:rPr>
  </w:style>
  <w:style w:type="paragraph" w:customStyle="1" w:styleId="146">
    <w:name w:val="S表名图名"/>
    <w:basedOn w:val="147"/>
    <w:qFormat/>
    <w:uiPriority w:val="1"/>
    <w:pPr>
      <w:ind w:firstLine="0"/>
      <w:jc w:val="center"/>
    </w:pPr>
    <w:rPr>
      <w:b/>
      <w:szCs w:val="23"/>
    </w:rPr>
  </w:style>
  <w:style w:type="paragraph" w:customStyle="1" w:styleId="147">
    <w:name w:val="S报告正文"/>
    <w:basedOn w:val="1"/>
    <w:qFormat/>
    <w:uiPriority w:val="0"/>
    <w:pPr>
      <w:adjustRightInd w:val="0"/>
      <w:snapToGrid w:val="0"/>
      <w:spacing w:line="480" w:lineRule="exact"/>
      <w:ind w:firstLine="510"/>
      <w:jc w:val="left"/>
    </w:pPr>
    <w:rPr>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3" Type="http://schemas.openxmlformats.org/officeDocument/2006/relationships/fontTable" Target="fontTable.xml"/><Relationship Id="rId52" Type="http://schemas.openxmlformats.org/officeDocument/2006/relationships/numbering" Target="numbering.xml"/><Relationship Id="rId51" Type="http://schemas.openxmlformats.org/officeDocument/2006/relationships/customXml" Target="../customXml/item1.xml"/><Relationship Id="rId50" Type="http://schemas.openxmlformats.org/officeDocument/2006/relationships/image" Target="media/image42.png"/><Relationship Id="rId5" Type="http://schemas.openxmlformats.org/officeDocument/2006/relationships/footer" Target="footer2.xml"/><Relationship Id="rId49" Type="http://schemas.openxmlformats.org/officeDocument/2006/relationships/image" Target="media/image41.png"/><Relationship Id="rId48" Type="http://schemas.openxmlformats.org/officeDocument/2006/relationships/image" Target="media/image40.png"/><Relationship Id="rId47" Type="http://schemas.openxmlformats.org/officeDocument/2006/relationships/image" Target="media/image39.png"/><Relationship Id="rId46" Type="http://schemas.openxmlformats.org/officeDocument/2006/relationships/image" Target="media/image38.png"/><Relationship Id="rId45" Type="http://schemas.openxmlformats.org/officeDocument/2006/relationships/image" Target="media/image37.png"/><Relationship Id="rId44" Type="http://schemas.openxmlformats.org/officeDocument/2006/relationships/image" Target="media/image36.png"/><Relationship Id="rId43" Type="http://schemas.openxmlformats.org/officeDocument/2006/relationships/image" Target="media/image35.png"/><Relationship Id="rId42" Type="http://schemas.openxmlformats.org/officeDocument/2006/relationships/image" Target="media/image34.png"/><Relationship Id="rId41" Type="http://schemas.openxmlformats.org/officeDocument/2006/relationships/image" Target="media/image33.png"/><Relationship Id="rId40" Type="http://schemas.openxmlformats.org/officeDocument/2006/relationships/image" Target="media/image32.png"/><Relationship Id="rId4" Type="http://schemas.openxmlformats.org/officeDocument/2006/relationships/footer" Target="footer1.xml"/><Relationship Id="rId39" Type="http://schemas.openxmlformats.org/officeDocument/2006/relationships/image" Target="media/image31.png"/><Relationship Id="rId38" Type="http://schemas.openxmlformats.org/officeDocument/2006/relationships/image" Target="media/image30.png"/><Relationship Id="rId37" Type="http://schemas.openxmlformats.org/officeDocument/2006/relationships/image" Target="media/image29.png"/><Relationship Id="rId36" Type="http://schemas.openxmlformats.org/officeDocument/2006/relationships/image" Target="media/image28.png"/><Relationship Id="rId35" Type="http://schemas.openxmlformats.org/officeDocument/2006/relationships/image" Target="media/image27.png"/><Relationship Id="rId34" Type="http://schemas.openxmlformats.org/officeDocument/2006/relationships/image" Target="media/image26.png"/><Relationship Id="rId33" Type="http://schemas.openxmlformats.org/officeDocument/2006/relationships/image" Target="media/image25.png"/><Relationship Id="rId32" Type="http://schemas.openxmlformats.org/officeDocument/2006/relationships/image" Target="media/image24.png"/><Relationship Id="rId31" Type="http://schemas.openxmlformats.org/officeDocument/2006/relationships/image" Target="media/image23.png"/><Relationship Id="rId30" Type="http://schemas.openxmlformats.org/officeDocument/2006/relationships/image" Target="media/image22.jpeg"/><Relationship Id="rId3" Type="http://schemas.openxmlformats.org/officeDocument/2006/relationships/header" Target="header1.xml"/><Relationship Id="rId29" Type="http://schemas.openxmlformats.org/officeDocument/2006/relationships/image" Target="media/image21.jpeg"/><Relationship Id="rId28" Type="http://schemas.openxmlformats.org/officeDocument/2006/relationships/image" Target="media/image20.jpeg"/><Relationship Id="rId27" Type="http://schemas.openxmlformats.org/officeDocument/2006/relationships/image" Target="media/image19.jpeg"/><Relationship Id="rId26" Type="http://schemas.openxmlformats.org/officeDocument/2006/relationships/image" Target="media/image18.jpeg"/><Relationship Id="rId25" Type="http://schemas.openxmlformats.org/officeDocument/2006/relationships/image" Target="media/image17.jpeg"/><Relationship Id="rId24" Type="http://schemas.openxmlformats.org/officeDocument/2006/relationships/image" Target="media/image16.jpeg"/><Relationship Id="rId23" Type="http://schemas.openxmlformats.org/officeDocument/2006/relationships/image" Target="media/image15.pn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wdzx97.dot</Template>
  <Company>微软中国</Company>
  <Pages>84</Pages>
  <Words>1202</Words>
  <Characters>1277</Characters>
  <Lines>358</Lines>
  <Paragraphs>100</Paragraphs>
  <TotalTime>11</TotalTime>
  <ScaleCrop>false</ScaleCrop>
  <LinksUpToDate>false</LinksUpToDate>
  <CharactersWithSpaces>1308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2021-04-07T14:00:00Z</dcterms:created>
  <dc:creator>怎么</dc:creator>
  <cp:lastModifiedBy>陈建国</cp:lastModifiedBy>
  <cp:lastPrinted>2023-02-04T00:49:00Z</cp:lastPrinted>
  <dcterms:modified xsi:type="dcterms:W3CDTF">2026-09-01T10:18:24Z</dcterms:modified>
  <dc:title>附件2</dc:title>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9F38F41ABFB1432FAA5E5FF782968E35</vt:lpwstr>
  </property>
  <property fmtid="{D5CDD505-2E9C-101B-9397-08002B2CF9AE}" pid="4" name="KSOTemplateDocerSaveRecord">
    <vt:lpwstr>eyJoZGlkIjoiMjgzMmJjMmZhMmZkNjFiMDY3NWZhMzE1NzFkZjg2YTAiLCJ1c2VySWQiOiIzOTQ1NDE3MjcifQ==</vt:lpwstr>
  </property>
</Properties>
</file>