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020D6">
      <w:pPr>
        <w:pStyle w:val="2"/>
        <w:spacing w:before="63" w:line="225" w:lineRule="auto"/>
        <w:jc w:val="center"/>
        <w:rPr>
          <w:rFonts w:hint="eastAsia" w:ascii="宋体" w:hAnsi="宋体" w:eastAsia="宋体" w:cs="宋体"/>
          <w:b/>
          <w:bCs/>
          <w:spacing w:val="-12"/>
          <w:sz w:val="28"/>
          <w:szCs w:val="28"/>
        </w:rPr>
      </w:pPr>
      <w:r>
        <w:rPr>
          <w:rFonts w:hint="eastAsia" w:cs="宋体"/>
          <w:b/>
          <w:bCs/>
          <w:spacing w:val="-12"/>
          <w:sz w:val="28"/>
          <w:szCs w:val="28"/>
          <w:lang w:val="en-US" w:eastAsia="zh-CN"/>
        </w:rPr>
        <w:t xml:space="preserve">附表1  </w:t>
      </w:r>
      <w:r>
        <w:rPr>
          <w:rFonts w:hint="eastAsia" w:ascii="宋体" w:hAnsi="宋体" w:eastAsia="宋体" w:cs="宋体"/>
          <w:b/>
          <w:bCs/>
          <w:spacing w:val="-12"/>
          <w:sz w:val="28"/>
          <w:szCs w:val="28"/>
          <w:lang w:eastAsia="zh-CN"/>
        </w:rPr>
        <w:t>东安</w:t>
      </w:r>
      <w:r>
        <w:rPr>
          <w:rFonts w:hint="eastAsia" w:ascii="宋体" w:hAnsi="宋体" w:eastAsia="宋体" w:cs="宋体"/>
          <w:b/>
          <w:bCs/>
          <w:spacing w:val="-12"/>
          <w:sz w:val="28"/>
          <w:szCs w:val="28"/>
        </w:rPr>
        <w:t>县征收农用地区片综合地价调整社会稳定风险评估调查访谈表</w:t>
      </w:r>
    </w:p>
    <w:tbl>
      <w:tblPr>
        <w:tblStyle w:val="3"/>
        <w:tblW w:w="49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4"/>
        <w:gridCol w:w="2514"/>
        <w:gridCol w:w="902"/>
        <w:gridCol w:w="968"/>
        <w:gridCol w:w="870"/>
        <w:gridCol w:w="1805"/>
      </w:tblGrid>
      <w:tr w14:paraId="67561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97" w:type="pct"/>
            <w:vMerge w:val="restart"/>
            <w:tcBorders>
              <w:top w:val="single" w:color="000000" w:sz="8" w:space="0"/>
              <w:left w:val="single" w:color="000000" w:sz="8" w:space="0"/>
              <w:bottom w:val="single" w:color="000000" w:sz="8" w:space="0"/>
              <w:right w:val="single" w:color="000000" w:sz="8" w:space="0"/>
            </w:tcBorders>
            <w:noWrap w:val="0"/>
            <w:vAlign w:val="center"/>
          </w:tcPr>
          <w:p w14:paraId="5635B5A9">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单位名称（盖章）</w:t>
            </w:r>
          </w:p>
        </w:tc>
        <w:tc>
          <w:tcPr>
            <w:tcW w:w="1390" w:type="pct"/>
            <w:vMerge w:val="restart"/>
            <w:tcBorders>
              <w:top w:val="single" w:color="000000" w:sz="8" w:space="0"/>
              <w:left w:val="single" w:color="000000" w:sz="8" w:space="0"/>
              <w:bottom w:val="single" w:color="000000" w:sz="8" w:space="0"/>
              <w:right w:val="single" w:color="000000" w:sz="8" w:space="0"/>
            </w:tcBorders>
            <w:noWrap w:val="0"/>
            <w:vAlign w:val="center"/>
          </w:tcPr>
          <w:p w14:paraId="31F7569C">
            <w:pPr>
              <w:jc w:val="center"/>
              <w:rPr>
                <w:rFonts w:hint="eastAsia" w:ascii="Arial" w:hAnsi="Arial" w:eastAsia="宋体" w:cs="Arial"/>
                <w:i w:val="0"/>
                <w:iCs w:val="0"/>
                <w:color w:val="000000"/>
                <w:sz w:val="21"/>
                <w:szCs w:val="21"/>
                <w:u w:val="none"/>
              </w:rPr>
            </w:pPr>
          </w:p>
        </w:tc>
        <w:tc>
          <w:tcPr>
            <w:tcW w:w="499" w:type="pct"/>
            <w:vMerge w:val="restart"/>
            <w:tcBorders>
              <w:top w:val="single" w:color="000000" w:sz="8" w:space="0"/>
              <w:left w:val="single" w:color="000000" w:sz="8" w:space="0"/>
              <w:bottom w:val="single" w:color="000000" w:sz="8" w:space="0"/>
              <w:right w:val="single" w:color="000000" w:sz="8" w:space="0"/>
            </w:tcBorders>
            <w:noWrap w:val="0"/>
            <w:vAlign w:val="center"/>
          </w:tcPr>
          <w:p w14:paraId="62983F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填表人</w:t>
            </w:r>
          </w:p>
        </w:tc>
        <w:tc>
          <w:tcPr>
            <w:tcW w:w="535" w:type="pct"/>
            <w:vMerge w:val="restart"/>
            <w:tcBorders>
              <w:top w:val="single" w:color="000000" w:sz="8" w:space="0"/>
              <w:left w:val="single" w:color="000000" w:sz="8" w:space="0"/>
              <w:bottom w:val="single" w:color="000000" w:sz="8" w:space="0"/>
              <w:right w:val="single" w:color="000000" w:sz="8" w:space="0"/>
            </w:tcBorders>
            <w:noWrap w:val="0"/>
            <w:vAlign w:val="center"/>
          </w:tcPr>
          <w:p w14:paraId="3F30BEF4">
            <w:pPr>
              <w:jc w:val="center"/>
              <w:rPr>
                <w:rFonts w:hint="default" w:ascii="Arial" w:hAnsi="Arial" w:eastAsia="宋体" w:cs="Arial"/>
                <w:i w:val="0"/>
                <w:iCs w:val="0"/>
                <w:color w:val="000000"/>
                <w:sz w:val="21"/>
                <w:szCs w:val="21"/>
                <w:u w:val="none"/>
              </w:rPr>
            </w:pPr>
          </w:p>
        </w:tc>
        <w:tc>
          <w:tcPr>
            <w:tcW w:w="481" w:type="pct"/>
            <w:vMerge w:val="restart"/>
            <w:tcBorders>
              <w:top w:val="single" w:color="000000" w:sz="8" w:space="0"/>
              <w:left w:val="single" w:color="000000" w:sz="8" w:space="0"/>
              <w:bottom w:val="single" w:color="000000" w:sz="8" w:space="0"/>
              <w:right w:val="single" w:color="000000" w:sz="8" w:space="0"/>
            </w:tcBorders>
            <w:noWrap w:val="0"/>
            <w:vAlign w:val="center"/>
          </w:tcPr>
          <w:p w14:paraId="43688A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电话</w:t>
            </w:r>
          </w:p>
        </w:tc>
        <w:tc>
          <w:tcPr>
            <w:tcW w:w="996" w:type="pct"/>
            <w:vMerge w:val="restart"/>
            <w:tcBorders>
              <w:top w:val="single" w:color="000000" w:sz="8" w:space="0"/>
              <w:left w:val="single" w:color="000000" w:sz="8" w:space="0"/>
              <w:bottom w:val="single" w:color="000000" w:sz="8" w:space="0"/>
              <w:right w:val="single" w:color="000000" w:sz="8" w:space="0"/>
            </w:tcBorders>
            <w:noWrap w:val="0"/>
            <w:vAlign w:val="center"/>
          </w:tcPr>
          <w:p w14:paraId="1226704F">
            <w:pPr>
              <w:jc w:val="center"/>
              <w:rPr>
                <w:rFonts w:hint="default" w:ascii="Arial" w:hAnsi="Arial" w:eastAsia="宋体" w:cs="Arial"/>
                <w:i w:val="0"/>
                <w:iCs w:val="0"/>
                <w:color w:val="000000"/>
                <w:sz w:val="21"/>
                <w:szCs w:val="21"/>
                <w:u w:val="none"/>
              </w:rPr>
            </w:pPr>
          </w:p>
        </w:tc>
      </w:tr>
      <w:tr w14:paraId="23904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97" w:type="pct"/>
            <w:vMerge w:val="continue"/>
            <w:tcBorders>
              <w:top w:val="single" w:color="000000" w:sz="8" w:space="0"/>
              <w:left w:val="single" w:color="000000" w:sz="8" w:space="0"/>
              <w:bottom w:val="single" w:color="000000" w:sz="8" w:space="0"/>
              <w:right w:val="single" w:color="000000" w:sz="8" w:space="0"/>
            </w:tcBorders>
            <w:noWrap w:val="0"/>
            <w:vAlign w:val="center"/>
          </w:tcPr>
          <w:p w14:paraId="40F6CC6E">
            <w:pPr>
              <w:jc w:val="left"/>
              <w:rPr>
                <w:rFonts w:hint="eastAsia" w:ascii="仿宋" w:hAnsi="仿宋" w:eastAsia="仿宋" w:cs="仿宋"/>
                <w:i w:val="0"/>
                <w:iCs w:val="0"/>
                <w:color w:val="000000"/>
                <w:sz w:val="20"/>
                <w:szCs w:val="20"/>
                <w:u w:val="none"/>
              </w:rPr>
            </w:pPr>
          </w:p>
        </w:tc>
        <w:tc>
          <w:tcPr>
            <w:tcW w:w="1390" w:type="pct"/>
            <w:vMerge w:val="continue"/>
            <w:tcBorders>
              <w:top w:val="single" w:color="000000" w:sz="8" w:space="0"/>
              <w:left w:val="single" w:color="000000" w:sz="8" w:space="0"/>
              <w:bottom w:val="single" w:color="000000" w:sz="8" w:space="0"/>
              <w:right w:val="single" w:color="000000" w:sz="8" w:space="0"/>
            </w:tcBorders>
            <w:noWrap w:val="0"/>
            <w:vAlign w:val="center"/>
          </w:tcPr>
          <w:p w14:paraId="348DB1B8">
            <w:pPr>
              <w:jc w:val="left"/>
              <w:rPr>
                <w:rFonts w:hint="default" w:ascii="Arial" w:hAnsi="Arial" w:eastAsia="宋体" w:cs="Arial"/>
                <w:i w:val="0"/>
                <w:iCs w:val="0"/>
                <w:color w:val="000000"/>
                <w:sz w:val="21"/>
                <w:szCs w:val="21"/>
                <w:u w:val="none"/>
              </w:rPr>
            </w:pPr>
          </w:p>
        </w:tc>
        <w:tc>
          <w:tcPr>
            <w:tcW w:w="499" w:type="pct"/>
            <w:vMerge w:val="continue"/>
            <w:tcBorders>
              <w:top w:val="single" w:color="000000" w:sz="8" w:space="0"/>
              <w:left w:val="single" w:color="000000" w:sz="8" w:space="0"/>
              <w:bottom w:val="single" w:color="000000" w:sz="8" w:space="0"/>
              <w:right w:val="single" w:color="000000" w:sz="8" w:space="0"/>
            </w:tcBorders>
            <w:noWrap w:val="0"/>
            <w:vAlign w:val="center"/>
          </w:tcPr>
          <w:p w14:paraId="06DC5783">
            <w:pPr>
              <w:jc w:val="left"/>
              <w:rPr>
                <w:rFonts w:hint="eastAsia" w:ascii="仿宋" w:hAnsi="仿宋" w:eastAsia="仿宋" w:cs="仿宋"/>
                <w:i w:val="0"/>
                <w:iCs w:val="0"/>
                <w:color w:val="000000"/>
                <w:sz w:val="20"/>
                <w:szCs w:val="20"/>
                <w:u w:val="none"/>
              </w:rPr>
            </w:pPr>
          </w:p>
        </w:tc>
        <w:tc>
          <w:tcPr>
            <w:tcW w:w="535" w:type="pct"/>
            <w:vMerge w:val="continue"/>
            <w:tcBorders>
              <w:top w:val="single" w:color="000000" w:sz="8" w:space="0"/>
              <w:left w:val="single" w:color="000000" w:sz="8" w:space="0"/>
              <w:bottom w:val="single" w:color="000000" w:sz="8" w:space="0"/>
              <w:right w:val="single" w:color="000000" w:sz="8" w:space="0"/>
            </w:tcBorders>
            <w:noWrap w:val="0"/>
            <w:vAlign w:val="center"/>
          </w:tcPr>
          <w:p w14:paraId="3CC1561F">
            <w:pPr>
              <w:jc w:val="left"/>
              <w:rPr>
                <w:rFonts w:hint="default" w:ascii="Arial" w:hAnsi="Arial" w:eastAsia="宋体" w:cs="Arial"/>
                <w:i w:val="0"/>
                <w:iCs w:val="0"/>
                <w:color w:val="000000"/>
                <w:sz w:val="21"/>
                <w:szCs w:val="21"/>
                <w:u w:val="none"/>
              </w:rPr>
            </w:pPr>
          </w:p>
        </w:tc>
        <w:tc>
          <w:tcPr>
            <w:tcW w:w="481" w:type="pct"/>
            <w:vMerge w:val="continue"/>
            <w:tcBorders>
              <w:top w:val="single" w:color="000000" w:sz="8" w:space="0"/>
              <w:left w:val="single" w:color="000000" w:sz="8" w:space="0"/>
              <w:bottom w:val="single" w:color="000000" w:sz="8" w:space="0"/>
              <w:right w:val="single" w:color="000000" w:sz="8" w:space="0"/>
            </w:tcBorders>
            <w:noWrap w:val="0"/>
            <w:vAlign w:val="center"/>
          </w:tcPr>
          <w:p w14:paraId="66FA0BFE">
            <w:pPr>
              <w:jc w:val="left"/>
              <w:rPr>
                <w:rFonts w:hint="eastAsia" w:ascii="仿宋" w:hAnsi="仿宋" w:eastAsia="仿宋" w:cs="仿宋"/>
                <w:i w:val="0"/>
                <w:iCs w:val="0"/>
                <w:color w:val="000000"/>
                <w:sz w:val="20"/>
                <w:szCs w:val="20"/>
                <w:u w:val="none"/>
              </w:rPr>
            </w:pPr>
          </w:p>
        </w:tc>
        <w:tc>
          <w:tcPr>
            <w:tcW w:w="996" w:type="pct"/>
            <w:vMerge w:val="continue"/>
            <w:tcBorders>
              <w:top w:val="single" w:color="000000" w:sz="8" w:space="0"/>
              <w:left w:val="single" w:color="000000" w:sz="8" w:space="0"/>
              <w:bottom w:val="single" w:color="000000" w:sz="8" w:space="0"/>
              <w:right w:val="single" w:color="000000" w:sz="8" w:space="0"/>
            </w:tcBorders>
            <w:noWrap w:val="0"/>
            <w:vAlign w:val="center"/>
          </w:tcPr>
          <w:p w14:paraId="0D1115F5">
            <w:pPr>
              <w:jc w:val="left"/>
              <w:rPr>
                <w:rFonts w:hint="default" w:ascii="Arial" w:hAnsi="Arial" w:eastAsia="宋体" w:cs="Arial"/>
                <w:i w:val="0"/>
                <w:iCs w:val="0"/>
                <w:color w:val="000000"/>
                <w:sz w:val="21"/>
                <w:szCs w:val="21"/>
                <w:u w:val="none"/>
              </w:rPr>
            </w:pPr>
          </w:p>
        </w:tc>
      </w:tr>
      <w:tr w14:paraId="74B4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097" w:type="pct"/>
            <w:vMerge w:val="restart"/>
            <w:tcBorders>
              <w:top w:val="nil"/>
              <w:left w:val="single" w:color="000000" w:sz="8" w:space="0"/>
              <w:bottom w:val="single" w:color="000000" w:sz="8" w:space="0"/>
              <w:right w:val="single" w:color="000000" w:sz="8" w:space="0"/>
            </w:tcBorders>
            <w:noWrap w:val="0"/>
            <w:vAlign w:val="center"/>
          </w:tcPr>
          <w:p w14:paraId="1857C64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单位类型</w:t>
            </w:r>
          </w:p>
        </w:tc>
        <w:tc>
          <w:tcPr>
            <w:tcW w:w="3902" w:type="pct"/>
            <w:gridSpan w:val="5"/>
            <w:tcBorders>
              <w:top w:val="nil"/>
              <w:left w:val="single" w:color="000000" w:sz="8" w:space="0"/>
              <w:bottom w:val="nil"/>
              <w:right w:val="single" w:color="000000" w:sz="8" w:space="0"/>
            </w:tcBorders>
            <w:noWrap w:val="0"/>
            <w:vAlign w:val="center"/>
          </w:tcPr>
          <w:p w14:paraId="42996D3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□村集体经济组织（村委会/村民小组）</w:t>
            </w:r>
            <w:r>
              <w:rPr>
                <w:rStyle w:val="5"/>
                <w:snapToGrid w:val="0"/>
                <w:color w:val="000000"/>
                <w:lang w:val="en-US" w:eastAsia="zh-CN" w:bidi="ar"/>
              </w:rPr>
              <w:t xml:space="preserve">           □企事业单位</w:t>
            </w:r>
          </w:p>
        </w:tc>
      </w:tr>
      <w:tr w14:paraId="51AF5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97" w:type="pct"/>
            <w:vMerge w:val="continue"/>
            <w:tcBorders>
              <w:top w:val="nil"/>
              <w:left w:val="single" w:color="000000" w:sz="8" w:space="0"/>
              <w:bottom w:val="single" w:color="000000" w:sz="8" w:space="0"/>
              <w:right w:val="single" w:color="000000" w:sz="8" w:space="0"/>
            </w:tcBorders>
            <w:noWrap w:val="0"/>
            <w:vAlign w:val="center"/>
          </w:tcPr>
          <w:p w14:paraId="65D16019">
            <w:pPr>
              <w:jc w:val="left"/>
              <w:rPr>
                <w:rFonts w:hint="eastAsia" w:ascii="仿宋" w:hAnsi="仿宋" w:eastAsia="仿宋" w:cs="仿宋"/>
                <w:i w:val="0"/>
                <w:iCs w:val="0"/>
                <w:color w:val="000000"/>
                <w:sz w:val="20"/>
                <w:szCs w:val="20"/>
                <w:u w:val="none"/>
              </w:rPr>
            </w:pPr>
          </w:p>
        </w:tc>
        <w:tc>
          <w:tcPr>
            <w:tcW w:w="3902" w:type="pct"/>
            <w:gridSpan w:val="5"/>
            <w:tcBorders>
              <w:top w:val="nil"/>
              <w:left w:val="single" w:color="000000" w:sz="8" w:space="0"/>
              <w:bottom w:val="single" w:color="000000" w:sz="8" w:space="0"/>
              <w:right w:val="single" w:color="000000" w:sz="8" w:space="0"/>
            </w:tcBorders>
            <w:noWrap w:val="0"/>
            <w:vAlign w:val="center"/>
          </w:tcPr>
          <w:p w14:paraId="20BA262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□社会团体</w:t>
            </w:r>
            <w:r>
              <w:rPr>
                <w:rStyle w:val="5"/>
                <w:snapToGrid w:val="0"/>
                <w:color w:val="000000"/>
                <w:lang w:val="en-US" w:eastAsia="zh-CN" w:bidi="ar"/>
              </w:rPr>
              <w:t xml:space="preserve">                           □其他</w:t>
            </w:r>
            <w:r>
              <w:rPr>
                <w:rStyle w:val="6"/>
                <w:snapToGrid w:val="0"/>
                <w:color w:val="000000"/>
                <w:lang w:val="en-US" w:eastAsia="zh-CN" w:bidi="ar"/>
              </w:rPr>
              <w:t xml:space="preserve">               </w:t>
            </w:r>
          </w:p>
        </w:tc>
      </w:tr>
      <w:tr w14:paraId="12F5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6"/>
            <w:tcBorders>
              <w:top w:val="nil"/>
              <w:left w:val="single" w:color="000000" w:sz="8" w:space="0"/>
              <w:bottom w:val="nil"/>
              <w:right w:val="single" w:color="000000" w:sz="8" w:space="0"/>
            </w:tcBorders>
            <w:noWrap w:val="0"/>
            <w:vAlign w:val="center"/>
          </w:tcPr>
          <w:p w14:paraId="20A9C12C">
            <w:pPr>
              <w:keepNext w:val="0"/>
              <w:keepLines w:val="0"/>
              <w:widowControl/>
              <w:suppressLineNumbers w:val="0"/>
              <w:jc w:val="left"/>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项目概况：</w:t>
            </w:r>
          </w:p>
        </w:tc>
      </w:tr>
      <w:tr w14:paraId="2D467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4"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67DA5074">
            <w:pPr>
              <w:pStyle w:val="7"/>
              <w:spacing w:before="47" w:line="277" w:lineRule="auto"/>
              <w:ind w:left="14" w:firstLine="414"/>
              <w:jc w:val="both"/>
              <w:rPr>
                <w:rFonts w:hint="eastAsia"/>
                <w:spacing w:val="7"/>
                <w:lang w:val="en-US" w:eastAsia="zh-CN"/>
              </w:rPr>
            </w:pPr>
            <w:r>
              <w:rPr>
                <w:rFonts w:hint="eastAsia"/>
                <w:spacing w:val="7"/>
                <w:lang w:val="en-US" w:eastAsia="zh-CN"/>
              </w:rPr>
              <w:t>根据《中华人民共和国土地管理法》第四十八条规定，区片综合地价至少每三年</w:t>
            </w:r>
            <w:r>
              <w:rPr>
                <w:spacing w:val="7"/>
                <w:lang w:val="en-US" w:eastAsia="zh-CN"/>
              </w:rPr>
              <w:t>调整或者重新公布一次。我省现行标准《湖南省人民政府关于调整湖南省征地补偿标准的通知》（湘政发〔2024〕1 号）需按照相关规定进行调整或重新公布。根据《湖南省自然资源厅湖南省财政厅关于做好湖南省征收农用地区片综合地价调整工作的通知》等有关文件的要求，我县拟启动全县征地区片综合地价调整工作。</w:t>
            </w:r>
          </w:p>
          <w:p w14:paraId="42F9D49C">
            <w:pPr>
              <w:pStyle w:val="7"/>
              <w:spacing w:before="47" w:line="277" w:lineRule="auto"/>
              <w:ind w:left="14" w:firstLine="414"/>
              <w:jc w:val="both"/>
              <w:rPr>
                <w:rFonts w:hint="eastAsia"/>
                <w:spacing w:val="7"/>
              </w:rPr>
            </w:pPr>
            <w:r>
              <w:rPr>
                <w:rFonts w:hint="eastAsia"/>
                <w:spacing w:val="7"/>
                <w:lang w:val="en-US" w:eastAsia="zh-CN"/>
              </w:rPr>
              <w:t>该项工作涉及被征地群众切身利益，关系社会和谐稳定。为了在工作</w:t>
            </w:r>
            <w:r>
              <w:rPr>
                <w:spacing w:val="7"/>
                <w:lang w:val="en-US" w:eastAsia="zh-CN"/>
              </w:rPr>
              <w:t>过程中充分考虑到公众意愿，尊重公众的看法和选择，特发放此调查问卷。答案没有对错之分，如实回答就是最好的回答。我们保证贵单位的答案仅用于本次的社会稳定风险分析，并且给予保密，不会影响到贵单位的利害关系。在此表示衷心感谢！</w:t>
            </w:r>
          </w:p>
        </w:tc>
      </w:tr>
      <w:tr w14:paraId="6C0F2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5000" w:type="pct"/>
            <w:gridSpan w:val="6"/>
            <w:tcBorders>
              <w:top w:val="nil"/>
              <w:left w:val="single" w:color="000000" w:sz="8" w:space="0"/>
              <w:bottom w:val="nil"/>
              <w:right w:val="single" w:color="000000" w:sz="8" w:space="0"/>
            </w:tcBorders>
            <w:noWrap w:val="0"/>
            <w:vAlign w:val="center"/>
          </w:tcPr>
          <w:p w14:paraId="000C12FB">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1、贵单位是否了解东安县征收农用地区片综合地价调</w:t>
            </w:r>
            <w:r>
              <w:rPr>
                <w:rStyle w:val="5"/>
                <w:snapToGrid w:val="0"/>
                <w:color w:val="000000"/>
                <w:lang w:val="en-US" w:eastAsia="zh-CN" w:bidi="ar"/>
              </w:rPr>
              <w:t>整工作？（单选）</w:t>
            </w:r>
          </w:p>
        </w:tc>
      </w:tr>
      <w:tr w14:paraId="3F6C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321543E3">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□A 充分了解</w:t>
            </w:r>
            <w:r>
              <w:rPr>
                <w:rStyle w:val="5"/>
                <w:snapToGrid w:val="0"/>
                <w:color w:val="000000"/>
                <w:lang w:val="en-US" w:eastAsia="zh-CN" w:bidi="ar"/>
              </w:rPr>
              <w:t xml:space="preserve">        □B 一般了解         □C 不了解</w:t>
            </w:r>
          </w:p>
        </w:tc>
      </w:tr>
      <w:tr w14:paraId="15B1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6"/>
            <w:tcBorders>
              <w:top w:val="nil"/>
              <w:left w:val="single" w:color="000000" w:sz="8" w:space="0"/>
              <w:bottom w:val="nil"/>
              <w:right w:val="single" w:color="000000" w:sz="8" w:space="0"/>
            </w:tcBorders>
            <w:noWrap w:val="0"/>
            <w:vAlign w:val="center"/>
          </w:tcPr>
          <w:p w14:paraId="4F9A43D1">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2、贵单位通过何种途径获知本次区片综合地价调整</w:t>
            </w:r>
            <w:r>
              <w:rPr>
                <w:rStyle w:val="5"/>
                <w:snapToGrid w:val="0"/>
                <w:color w:val="000000"/>
                <w:lang w:val="en-US" w:eastAsia="zh-CN" w:bidi="ar"/>
              </w:rPr>
              <w:t>？（可多选）</w:t>
            </w:r>
          </w:p>
        </w:tc>
      </w:tr>
      <w:tr w14:paraId="1D13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39C4AFB7">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□A 政府正式文件</w:t>
            </w:r>
            <w:r>
              <w:rPr>
                <w:rStyle w:val="5"/>
                <w:snapToGrid w:val="0"/>
                <w:color w:val="000000"/>
                <w:lang w:val="en-US" w:eastAsia="zh-CN" w:bidi="ar"/>
              </w:rPr>
              <w:t xml:space="preserve">   □B 工作会议   □C 官方公示    □D   本次调查     □E 其他</w:t>
            </w:r>
            <w:r>
              <w:rPr>
                <w:rStyle w:val="6"/>
                <w:snapToGrid w:val="0"/>
                <w:color w:val="000000"/>
                <w:lang w:val="en-US" w:eastAsia="zh-CN" w:bidi="ar"/>
              </w:rPr>
              <w:t xml:space="preserve">         </w:t>
            </w:r>
          </w:p>
        </w:tc>
      </w:tr>
      <w:tr w14:paraId="7E691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6"/>
            <w:tcBorders>
              <w:top w:val="nil"/>
              <w:left w:val="single" w:color="000000" w:sz="8" w:space="0"/>
              <w:bottom w:val="nil"/>
              <w:right w:val="single" w:color="000000" w:sz="8" w:space="0"/>
            </w:tcBorders>
            <w:noWrap w:val="0"/>
            <w:vAlign w:val="center"/>
          </w:tcPr>
          <w:p w14:paraId="29AC7199">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3、贵单位最关注本次调整哪些内容</w:t>
            </w:r>
            <w:r>
              <w:rPr>
                <w:rStyle w:val="5"/>
                <w:snapToGrid w:val="0"/>
                <w:color w:val="000000"/>
                <w:lang w:val="en-US" w:eastAsia="zh-CN" w:bidi="ar"/>
              </w:rPr>
              <w:t>？（可多选）</w:t>
            </w:r>
          </w:p>
        </w:tc>
      </w:tr>
      <w:tr w14:paraId="3BF06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5000" w:type="pct"/>
            <w:gridSpan w:val="6"/>
            <w:tcBorders>
              <w:top w:val="nil"/>
              <w:left w:val="single" w:color="000000" w:sz="8" w:space="0"/>
              <w:bottom w:val="nil"/>
              <w:right w:val="single" w:color="000000" w:sz="8" w:space="0"/>
            </w:tcBorders>
            <w:noWrap w:val="0"/>
            <w:vAlign w:val="center"/>
          </w:tcPr>
          <w:p w14:paraId="6677A161">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□A</w:t>
            </w:r>
            <w:r>
              <w:rPr>
                <w:rStyle w:val="5"/>
                <w:snapToGrid w:val="0"/>
                <w:color w:val="000000"/>
                <w:lang w:val="en-US" w:eastAsia="zh-CN" w:bidi="ar"/>
              </w:rPr>
              <w:t xml:space="preserve"> 区片划分范围与等级         □B 区片综合地价补偿标准         □C 地类修正系数</w:t>
            </w:r>
          </w:p>
        </w:tc>
      </w:tr>
      <w:tr w14:paraId="4D93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5000" w:type="pct"/>
            <w:gridSpan w:val="6"/>
            <w:tcBorders>
              <w:top w:val="nil"/>
              <w:left w:val="single" w:color="000000" w:sz="8" w:space="0"/>
              <w:bottom w:val="nil"/>
              <w:right w:val="single" w:color="000000" w:sz="8" w:space="0"/>
            </w:tcBorders>
            <w:noWrap w:val="0"/>
            <w:vAlign w:val="center"/>
          </w:tcPr>
          <w:p w14:paraId="70BF5CA2">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 xml:space="preserve">□D 与周边县市区补偿水平平衡 </w:t>
            </w:r>
            <w:r>
              <w:rPr>
                <w:rStyle w:val="5"/>
                <w:snapToGrid w:val="0"/>
                <w:color w:val="000000"/>
                <w:lang w:val="en-US" w:eastAsia="zh-CN" w:bidi="ar"/>
              </w:rPr>
              <w:t xml:space="preserve">    □E 新旧标准衔接实施   □F 村民（集体经济组织）补偿分配</w:t>
            </w:r>
          </w:p>
        </w:tc>
      </w:tr>
      <w:tr w14:paraId="4AF54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380E1EC7">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□G 听证、稳评等法定程序</w:t>
            </w:r>
            <w:r>
              <w:rPr>
                <w:rStyle w:val="5"/>
                <w:snapToGrid w:val="0"/>
                <w:color w:val="000000"/>
                <w:lang w:val="en-US" w:eastAsia="zh-CN" w:bidi="ar"/>
              </w:rPr>
              <w:t xml:space="preserve">         □H 其他</w:t>
            </w:r>
            <w:r>
              <w:rPr>
                <w:rStyle w:val="6"/>
                <w:snapToGrid w:val="0"/>
                <w:color w:val="000000"/>
                <w:lang w:val="en-US" w:eastAsia="zh-CN" w:bidi="ar"/>
              </w:rPr>
              <w:t xml:space="preserve">                 </w:t>
            </w:r>
          </w:p>
        </w:tc>
      </w:tr>
      <w:tr w14:paraId="01DA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6"/>
            <w:tcBorders>
              <w:top w:val="nil"/>
              <w:left w:val="single" w:color="000000" w:sz="8" w:space="0"/>
              <w:bottom w:val="nil"/>
              <w:right w:val="single" w:color="000000" w:sz="8" w:space="0"/>
            </w:tcBorders>
            <w:noWrap w:val="0"/>
            <w:vAlign w:val="center"/>
          </w:tcPr>
          <w:p w14:paraId="4F733EF9">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4、贵单位认为本次区片综合地价调整对东安县经济社会发展影响</w:t>
            </w:r>
            <w:r>
              <w:rPr>
                <w:rStyle w:val="5"/>
                <w:snapToGrid w:val="0"/>
                <w:color w:val="000000"/>
                <w:lang w:val="en-US" w:eastAsia="zh-CN" w:bidi="ar"/>
              </w:rPr>
              <w:t>？（单选）</w:t>
            </w:r>
          </w:p>
        </w:tc>
      </w:tr>
      <w:tr w14:paraId="25C0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7EED2C1F">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□A 有利</w:t>
            </w:r>
            <w:r>
              <w:rPr>
                <w:rStyle w:val="5"/>
                <w:snapToGrid w:val="0"/>
                <w:color w:val="000000"/>
                <w:lang w:val="en-US" w:eastAsia="zh-CN" w:bidi="ar"/>
              </w:rPr>
              <w:t xml:space="preserve">      □B 不利      □C 无明显影响    □D 无法判断</w:t>
            </w:r>
          </w:p>
        </w:tc>
      </w:tr>
      <w:tr w14:paraId="4C52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6"/>
            <w:tcBorders>
              <w:top w:val="nil"/>
              <w:left w:val="single" w:color="000000" w:sz="8" w:space="0"/>
              <w:bottom w:val="nil"/>
              <w:right w:val="single" w:color="000000" w:sz="8" w:space="0"/>
            </w:tcBorders>
            <w:noWrap w:val="0"/>
            <w:vAlign w:val="center"/>
          </w:tcPr>
          <w:p w14:paraId="0CB015E7">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5、贵单位认为本次调整可能存在哪些社会稳定风险隐患</w:t>
            </w:r>
            <w:r>
              <w:rPr>
                <w:rStyle w:val="5"/>
                <w:snapToGrid w:val="0"/>
                <w:color w:val="000000"/>
                <w:lang w:val="en-US" w:eastAsia="zh-CN" w:bidi="ar"/>
              </w:rPr>
              <w:t>？（可多选）</w:t>
            </w:r>
          </w:p>
        </w:tc>
      </w:tr>
      <w:tr w14:paraId="220C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67BEDF9A">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 xml:space="preserve">□A 村与村之间区片、补偿标准差距引发矛盾 </w:t>
            </w:r>
            <w:r>
              <w:rPr>
                <w:rStyle w:val="5"/>
                <w:snapToGrid w:val="0"/>
                <w:color w:val="000000"/>
                <w:lang w:val="en-US" w:eastAsia="zh-CN" w:bidi="ar"/>
              </w:rPr>
              <w:t xml:space="preserve">     □B 群众对补偿调整幅度不认可      □C 地类修正系数争议      □D 政策宣传不到位      □E 补偿款分配纠纷      □F 其他</w:t>
            </w:r>
            <w:r>
              <w:rPr>
                <w:rStyle w:val="6"/>
                <w:snapToGrid w:val="0"/>
                <w:color w:val="000000"/>
                <w:lang w:val="en-US" w:eastAsia="zh-CN" w:bidi="ar"/>
              </w:rPr>
              <w:t xml:space="preserve">      </w:t>
            </w:r>
          </w:p>
        </w:tc>
      </w:tr>
      <w:tr w14:paraId="3292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6"/>
            <w:tcBorders>
              <w:top w:val="nil"/>
              <w:left w:val="single" w:color="000000" w:sz="8" w:space="0"/>
              <w:bottom w:val="nil"/>
              <w:right w:val="single" w:color="000000" w:sz="8" w:space="0"/>
            </w:tcBorders>
            <w:noWrap w:val="0"/>
            <w:vAlign w:val="center"/>
          </w:tcPr>
          <w:p w14:paraId="0FD47740">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6、贵单位对本次区片综合地价调整工作总体态度</w:t>
            </w:r>
            <w:r>
              <w:rPr>
                <w:rStyle w:val="5"/>
                <w:snapToGrid w:val="0"/>
                <w:color w:val="000000"/>
                <w:lang w:val="en-US" w:eastAsia="zh-CN" w:bidi="ar"/>
              </w:rPr>
              <w:t>？（单选）</w:t>
            </w:r>
          </w:p>
        </w:tc>
      </w:tr>
      <w:tr w14:paraId="376CD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000" w:type="pct"/>
            <w:gridSpan w:val="6"/>
            <w:tcBorders>
              <w:top w:val="nil"/>
              <w:left w:val="single" w:color="000000" w:sz="8" w:space="0"/>
              <w:bottom w:val="single" w:color="000000" w:sz="8" w:space="0"/>
              <w:right w:val="single" w:color="000000" w:sz="8" w:space="0"/>
            </w:tcBorders>
            <w:noWrap w:val="0"/>
            <w:vAlign w:val="center"/>
          </w:tcPr>
          <w:p w14:paraId="5C44CF7F">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□A 支持</w:t>
            </w:r>
            <w:r>
              <w:rPr>
                <w:rStyle w:val="5"/>
                <w:snapToGrid w:val="0"/>
                <w:color w:val="000000"/>
                <w:lang w:val="en-US" w:eastAsia="zh-CN" w:bidi="ar"/>
              </w:rPr>
              <w:t xml:space="preserve">      □B 基本支持    □C 持观望态度    □D 不支持，理由：</w:t>
            </w:r>
            <w:r>
              <w:rPr>
                <w:rStyle w:val="6"/>
                <w:snapToGrid w:val="0"/>
                <w:color w:val="000000"/>
                <w:lang w:val="en-US" w:eastAsia="zh-CN" w:bidi="ar"/>
              </w:rPr>
              <w:t xml:space="preserve">                     </w:t>
            </w:r>
          </w:p>
        </w:tc>
      </w:tr>
      <w:tr w14:paraId="19378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5000" w:type="pct"/>
            <w:gridSpan w:val="6"/>
            <w:tcBorders>
              <w:top w:val="nil"/>
              <w:left w:val="single" w:color="000000" w:sz="8" w:space="0"/>
              <w:bottom w:val="single" w:color="000000" w:sz="8" w:space="0"/>
              <w:right w:val="single" w:color="000000" w:sz="8" w:space="0"/>
            </w:tcBorders>
            <w:noWrap w:val="0"/>
            <w:vAlign w:val="top"/>
          </w:tcPr>
          <w:p w14:paraId="6A750C9D">
            <w:pPr>
              <w:keepNext w:val="0"/>
              <w:keepLines w:val="0"/>
              <w:pageBreakBefore w:val="0"/>
              <w:widowControl/>
              <w:suppressLineNumbers w:val="0"/>
              <w:kinsoku w:val="0"/>
              <w:wordWrap/>
              <w:overflowPunct/>
              <w:topLinePunct w:val="0"/>
              <w:autoSpaceDE w:val="0"/>
              <w:autoSpaceDN w:val="0"/>
              <w:bidi w:val="0"/>
              <w:adjustRightInd w:val="0"/>
              <w:snapToGrid w:val="0"/>
              <w:ind w:firstLine="100" w:firstLineChars="5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7、贵单位对本次区片综合地价调整工作的意见建</w:t>
            </w:r>
            <w:r>
              <w:rPr>
                <w:rStyle w:val="5"/>
                <w:snapToGrid w:val="0"/>
                <w:color w:val="000000"/>
                <w:lang w:val="en-US" w:eastAsia="zh-CN" w:bidi="ar"/>
              </w:rPr>
              <w:t>议：</w:t>
            </w:r>
          </w:p>
        </w:tc>
      </w:tr>
    </w:tbl>
    <w:p w14:paraId="5ED4894D">
      <w:r>
        <w:rPr>
          <w:rFonts w:ascii="仿宋" w:hAnsi="仿宋" w:eastAsia="仿宋" w:cs="仿宋"/>
          <w:spacing w:val="1"/>
          <w:sz w:val="20"/>
          <w:szCs w:val="20"/>
        </w:rPr>
        <w:t>调查人员：                                             填表时间：</w:t>
      </w:r>
      <w:r>
        <w:rPr>
          <w:rFonts w:ascii="仿宋" w:hAnsi="仿宋" w:eastAsia="仿宋" w:cs="仿宋"/>
          <w:spacing w:val="9"/>
          <w:sz w:val="20"/>
          <w:szCs w:val="20"/>
        </w:rPr>
        <w:t xml:space="preserve">    </w:t>
      </w:r>
      <w:r>
        <w:rPr>
          <w:rFonts w:ascii="仿宋" w:hAnsi="仿宋" w:eastAsia="仿宋" w:cs="仿宋"/>
          <w:spacing w:val="1"/>
          <w:sz w:val="20"/>
          <w:szCs w:val="20"/>
        </w:rPr>
        <w:t>年</w:t>
      </w:r>
      <w:r>
        <w:rPr>
          <w:rFonts w:ascii="仿宋" w:hAnsi="仿宋" w:eastAsia="仿宋" w:cs="仿宋"/>
          <w:spacing w:val="18"/>
          <w:sz w:val="20"/>
          <w:szCs w:val="20"/>
        </w:rPr>
        <w:t xml:space="preserve">   </w:t>
      </w:r>
      <w:r>
        <w:rPr>
          <w:rFonts w:ascii="仿宋" w:hAnsi="仿宋" w:eastAsia="仿宋" w:cs="仿宋"/>
          <w:spacing w:val="1"/>
          <w:sz w:val="20"/>
          <w:szCs w:val="20"/>
        </w:rPr>
        <w:t>月    日</w:t>
      </w:r>
    </w:p>
    <w:p w14:paraId="38E4029F">
      <w:pPr>
        <w:tabs>
          <w:tab w:val="left" w:pos="979"/>
        </w:tabs>
        <w:jc w:val="center"/>
        <w:rPr>
          <w:rFonts w:hint="eastAsia" w:ascii="Times New Roman" w:hAnsi="Times New Roman" w:eastAsia="宋体" w:cs="宋体"/>
          <w:b/>
          <w:color w:val="auto"/>
          <w:sz w:val="24"/>
          <w:highlight w:val="none"/>
          <w:lang w:val="en-US" w:eastAsia="zh-CN"/>
        </w:rPr>
        <w:sectPr>
          <w:pgSz w:w="11906" w:h="16838"/>
          <w:pgMar w:top="2098" w:right="1474" w:bottom="1984" w:left="1587" w:header="851" w:footer="992" w:gutter="0"/>
          <w:cols w:space="720" w:num="1"/>
          <w:docGrid w:type="lines" w:linePitch="312" w:charSpace="0"/>
        </w:sectPr>
      </w:pPr>
    </w:p>
    <w:p w14:paraId="580EAE84">
      <w:pPr>
        <w:pStyle w:val="2"/>
        <w:spacing w:before="63" w:line="225" w:lineRule="auto"/>
        <w:jc w:val="center"/>
        <w:rPr>
          <w:rFonts w:hint="eastAsia" w:cs="宋体"/>
          <w:b/>
          <w:bCs/>
          <w:spacing w:val="-12"/>
          <w:sz w:val="28"/>
          <w:szCs w:val="28"/>
          <w:lang w:val="en-US" w:eastAsia="zh-CN"/>
        </w:rPr>
      </w:pPr>
      <w:r>
        <w:rPr>
          <w:rFonts w:hint="eastAsia" w:cs="宋体"/>
          <w:b/>
          <w:bCs/>
          <w:spacing w:val="-12"/>
          <w:sz w:val="28"/>
          <w:szCs w:val="28"/>
          <w:lang w:val="en-US" w:eastAsia="zh-CN"/>
        </w:rPr>
        <w:t xml:space="preserve">附表2   </w:t>
      </w:r>
      <w:bookmarkStart w:id="0" w:name="_GoBack"/>
      <w:r>
        <w:rPr>
          <w:rFonts w:hint="eastAsia" w:cs="宋体"/>
          <w:b/>
          <w:bCs/>
          <w:spacing w:val="-12"/>
          <w:sz w:val="28"/>
          <w:szCs w:val="28"/>
          <w:lang w:val="en-US" w:eastAsia="zh-CN"/>
        </w:rPr>
        <w:t>东安县征收农用地综合地价与现行征地标准对比表</w:t>
      </w:r>
      <w:bookmarkEnd w:id="0"/>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96"/>
        <w:gridCol w:w="720"/>
        <w:gridCol w:w="9008"/>
        <w:gridCol w:w="1374"/>
        <w:gridCol w:w="1374"/>
      </w:tblGrid>
      <w:tr w14:paraId="574A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auto"/>
            <w:vAlign w:val="center"/>
          </w:tcPr>
          <w:p w14:paraId="22892698">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级别</w:t>
            </w:r>
          </w:p>
        </w:tc>
        <w:tc>
          <w:tcPr>
            <w:tcW w:w="0" w:type="auto"/>
            <w:gridSpan w:val="2"/>
            <w:shd w:val="clear" w:color="auto" w:fill="auto"/>
            <w:vAlign w:val="center"/>
          </w:tcPr>
          <w:p w14:paraId="136F2B30">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区域范围</w:t>
            </w:r>
          </w:p>
        </w:tc>
        <w:tc>
          <w:tcPr>
            <w:tcW w:w="0" w:type="auto"/>
            <w:shd w:val="clear" w:color="auto" w:fill="auto"/>
            <w:vAlign w:val="center"/>
          </w:tcPr>
          <w:p w14:paraId="41463111">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现行价格</w:t>
            </w:r>
          </w:p>
        </w:tc>
        <w:tc>
          <w:tcPr>
            <w:tcW w:w="0" w:type="auto"/>
            <w:shd w:val="clear" w:color="auto" w:fill="auto"/>
            <w:vAlign w:val="center"/>
          </w:tcPr>
          <w:p w14:paraId="0A0F2C5D">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调整后价格</w:t>
            </w:r>
          </w:p>
        </w:tc>
      </w:tr>
      <w:tr w14:paraId="685A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restart"/>
            <w:shd w:val="clear" w:color="auto" w:fill="auto"/>
            <w:noWrap/>
            <w:vAlign w:val="center"/>
          </w:tcPr>
          <w:p w14:paraId="224E0804">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Ⅰ</w:t>
            </w:r>
          </w:p>
        </w:tc>
        <w:tc>
          <w:tcPr>
            <w:tcW w:w="720" w:type="dxa"/>
            <w:shd w:val="clear" w:color="auto" w:fill="auto"/>
            <w:vAlign w:val="center"/>
          </w:tcPr>
          <w:p w14:paraId="5C0209CB">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白牙市镇</w:t>
            </w:r>
          </w:p>
        </w:tc>
        <w:tc>
          <w:tcPr>
            <w:tcW w:w="9008" w:type="dxa"/>
            <w:shd w:val="clear" w:color="auto" w:fill="auto"/>
            <w:vAlign w:val="center"/>
          </w:tcPr>
          <w:p w14:paraId="585094B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白牙市村、小新田村、桐子山村、鸡井塘村、幸福村、莲塘村、独秀峰村、文竹山村、工业新村、东城村、永富村、红星村、湖塘村、茶源村、柳溪村、宥江桥村、神仙桥村、秦塘村、铁炉村、都塘村、林角村、龙溪源村；</w:t>
            </w:r>
          </w:p>
        </w:tc>
        <w:tc>
          <w:tcPr>
            <w:tcW w:w="0" w:type="auto"/>
            <w:vMerge w:val="restart"/>
            <w:shd w:val="clear" w:color="auto" w:fill="auto"/>
            <w:noWrap/>
            <w:vAlign w:val="center"/>
          </w:tcPr>
          <w:p w14:paraId="62D24262">
            <w:pPr>
              <w:widowControl/>
              <w:autoSpaceDE/>
              <w:autoSpaceDN/>
              <w:jc w:val="center"/>
              <w:rPr>
                <w:rFonts w:hint="eastAsia" w:ascii="等线" w:hAnsi="等线" w:eastAsia="等线" w:cs="宋体"/>
                <w:color w:val="auto"/>
                <w:kern w:val="0"/>
                <w:sz w:val="22"/>
                <w:szCs w:val="22"/>
                <w:highlight w:val="none"/>
              </w:rPr>
            </w:pPr>
            <w:r>
              <w:rPr>
                <w:rFonts w:hint="default" w:ascii="等线" w:hAnsi="等线" w:eastAsia="等线" w:cs="宋体"/>
                <w:color w:val="auto"/>
                <w:kern w:val="0"/>
                <w:sz w:val="22"/>
                <w:szCs w:val="22"/>
                <w:highlight w:val="none"/>
                <w:lang w:val="en-US" w:eastAsia="zh-CN"/>
              </w:rPr>
              <w:t>67800</w:t>
            </w:r>
            <w:r>
              <w:rPr>
                <w:rFonts w:hint="eastAsia" w:ascii="等线" w:hAnsi="等线" w:eastAsia="等线" w:cs="宋体"/>
                <w:color w:val="auto"/>
                <w:kern w:val="0"/>
                <w:sz w:val="22"/>
                <w:szCs w:val="22"/>
                <w:highlight w:val="none"/>
                <w:lang w:val="en-US" w:eastAsia="zh-CN"/>
              </w:rPr>
              <w:t>元</w:t>
            </w:r>
            <w:r>
              <w:rPr>
                <w:rFonts w:hint="default" w:ascii="等线" w:hAnsi="等线" w:eastAsia="等线" w:cs="宋体"/>
                <w:color w:val="auto"/>
                <w:kern w:val="0"/>
                <w:sz w:val="22"/>
                <w:szCs w:val="22"/>
                <w:highlight w:val="none"/>
                <w:lang w:val="en-US" w:eastAsia="zh-CN"/>
              </w:rPr>
              <w:t>/</w:t>
            </w:r>
            <w:r>
              <w:rPr>
                <w:rFonts w:hint="eastAsia" w:ascii="等线" w:hAnsi="等线" w:eastAsia="等线" w:cs="宋体"/>
                <w:color w:val="auto"/>
                <w:kern w:val="0"/>
                <w:sz w:val="22"/>
                <w:szCs w:val="22"/>
                <w:highlight w:val="none"/>
                <w:lang w:val="en-US" w:eastAsia="zh-CN"/>
              </w:rPr>
              <w:t>亩</w:t>
            </w:r>
          </w:p>
        </w:tc>
        <w:tc>
          <w:tcPr>
            <w:tcW w:w="0" w:type="auto"/>
            <w:vMerge w:val="restart"/>
            <w:shd w:val="clear" w:color="auto" w:fill="auto"/>
            <w:noWrap/>
            <w:vAlign w:val="center"/>
          </w:tcPr>
          <w:p w14:paraId="24D72838">
            <w:pPr>
              <w:widowControl/>
              <w:autoSpaceDE/>
              <w:autoSpaceDN/>
              <w:jc w:val="center"/>
              <w:rPr>
                <w:rFonts w:hint="default" w:ascii="等线" w:hAnsi="等线" w:eastAsia="等线" w:cs="宋体"/>
                <w:color w:val="auto"/>
                <w:kern w:val="0"/>
                <w:sz w:val="22"/>
                <w:szCs w:val="22"/>
                <w:highlight w:val="none"/>
              </w:rPr>
            </w:pPr>
            <w:r>
              <w:rPr>
                <w:rFonts w:hint="default" w:ascii="等线" w:hAnsi="等线" w:eastAsia="等线" w:cs="宋体"/>
                <w:color w:val="auto"/>
                <w:kern w:val="0"/>
                <w:sz w:val="22"/>
                <w:szCs w:val="22"/>
                <w:highlight w:val="none"/>
                <w:lang w:val="en-US" w:eastAsia="zh-CN"/>
              </w:rPr>
              <w:t>67800</w:t>
            </w:r>
            <w:r>
              <w:rPr>
                <w:rFonts w:hint="eastAsia" w:ascii="等线" w:hAnsi="等线" w:eastAsia="等线" w:cs="宋体"/>
                <w:color w:val="auto"/>
                <w:kern w:val="0"/>
                <w:sz w:val="22"/>
                <w:szCs w:val="22"/>
                <w:highlight w:val="none"/>
                <w:lang w:val="en-US" w:eastAsia="zh-CN"/>
              </w:rPr>
              <w:t>元</w:t>
            </w:r>
            <w:r>
              <w:rPr>
                <w:rFonts w:hint="default" w:ascii="等线" w:hAnsi="等线" w:eastAsia="等线" w:cs="宋体"/>
                <w:color w:val="auto"/>
                <w:kern w:val="0"/>
                <w:sz w:val="22"/>
                <w:szCs w:val="22"/>
                <w:highlight w:val="none"/>
                <w:lang w:val="en-US" w:eastAsia="zh-CN"/>
              </w:rPr>
              <w:t>/</w:t>
            </w:r>
            <w:r>
              <w:rPr>
                <w:rFonts w:hint="eastAsia" w:ascii="等线" w:hAnsi="等线" w:eastAsia="等线" w:cs="宋体"/>
                <w:color w:val="auto"/>
                <w:kern w:val="0"/>
                <w:sz w:val="22"/>
                <w:szCs w:val="22"/>
                <w:highlight w:val="none"/>
                <w:lang w:val="en-US" w:eastAsia="zh-CN"/>
              </w:rPr>
              <w:t>亩</w:t>
            </w:r>
          </w:p>
        </w:tc>
      </w:tr>
      <w:tr w14:paraId="0512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0" w:type="auto"/>
            <w:vMerge w:val="continue"/>
            <w:shd w:val="clear" w:color="auto" w:fill="auto"/>
            <w:noWrap/>
            <w:vAlign w:val="center"/>
          </w:tcPr>
          <w:p w14:paraId="675E1500">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6CF1391B">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井头圩镇</w:t>
            </w:r>
          </w:p>
        </w:tc>
        <w:tc>
          <w:tcPr>
            <w:tcW w:w="9008" w:type="dxa"/>
            <w:shd w:val="clear" w:color="auto" w:fill="auto"/>
            <w:vAlign w:val="center"/>
          </w:tcPr>
          <w:p w14:paraId="6A299487">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紫江村</w:t>
            </w:r>
          </w:p>
        </w:tc>
        <w:tc>
          <w:tcPr>
            <w:tcW w:w="0" w:type="auto"/>
            <w:vMerge w:val="continue"/>
            <w:shd w:val="clear" w:color="auto" w:fill="auto"/>
            <w:noWrap/>
            <w:vAlign w:val="center"/>
          </w:tcPr>
          <w:p w14:paraId="78107643">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72A0320F">
            <w:pPr>
              <w:widowControl/>
              <w:autoSpaceDE/>
              <w:autoSpaceDN/>
              <w:jc w:val="center"/>
              <w:rPr>
                <w:rFonts w:hint="default" w:ascii="等线" w:hAnsi="等线" w:eastAsia="等线" w:cs="宋体"/>
                <w:color w:val="auto"/>
                <w:kern w:val="0"/>
                <w:sz w:val="22"/>
                <w:szCs w:val="22"/>
                <w:highlight w:val="none"/>
              </w:rPr>
            </w:pPr>
          </w:p>
        </w:tc>
      </w:tr>
      <w:tr w14:paraId="546A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5" w:hRule="atLeast"/>
        </w:trPr>
        <w:tc>
          <w:tcPr>
            <w:tcW w:w="0" w:type="auto"/>
            <w:vMerge w:val="restart"/>
            <w:shd w:val="clear" w:color="auto" w:fill="auto"/>
            <w:noWrap/>
            <w:vAlign w:val="center"/>
          </w:tcPr>
          <w:p w14:paraId="056791AF">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Ⅱ</w:t>
            </w:r>
          </w:p>
        </w:tc>
        <w:tc>
          <w:tcPr>
            <w:tcW w:w="720" w:type="dxa"/>
            <w:shd w:val="clear" w:color="auto" w:fill="auto"/>
            <w:vAlign w:val="center"/>
          </w:tcPr>
          <w:p w14:paraId="2F6D0A26">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白牙市镇</w:t>
            </w:r>
          </w:p>
        </w:tc>
        <w:tc>
          <w:tcPr>
            <w:tcW w:w="9008" w:type="dxa"/>
            <w:shd w:val="clear" w:color="auto" w:fill="auto"/>
            <w:vAlign w:val="center"/>
          </w:tcPr>
          <w:p w14:paraId="628D4CD9">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大龙岩村、祥合村、蔡家村、荷池村、银山村、石门砥村、六仕町村、社塘村、宜新村、大江口村、大江源村、石登村、李家铺村、铜鼓岭村、石溪河村、大塘旺村；</w:t>
            </w:r>
          </w:p>
        </w:tc>
        <w:tc>
          <w:tcPr>
            <w:tcW w:w="0" w:type="auto"/>
            <w:vMerge w:val="restart"/>
            <w:shd w:val="clear" w:color="auto" w:fill="auto"/>
            <w:noWrap/>
            <w:vAlign w:val="center"/>
          </w:tcPr>
          <w:p w14:paraId="41D05001">
            <w:pPr>
              <w:widowControl/>
              <w:autoSpaceDE/>
              <w:autoSpaceDN/>
              <w:jc w:val="center"/>
              <w:rPr>
                <w:rFonts w:hint="default" w:ascii="等线" w:hAnsi="等线" w:eastAsia="等线" w:cs="宋体"/>
                <w:color w:val="auto"/>
                <w:kern w:val="0"/>
                <w:sz w:val="22"/>
                <w:szCs w:val="22"/>
                <w:highlight w:val="none"/>
              </w:rPr>
            </w:pPr>
            <w:r>
              <w:rPr>
                <w:rFonts w:hint="default" w:ascii="等线" w:hAnsi="等线" w:eastAsia="等线" w:cs="宋体"/>
                <w:color w:val="auto"/>
                <w:kern w:val="0"/>
                <w:sz w:val="22"/>
                <w:szCs w:val="22"/>
                <w:highlight w:val="none"/>
                <w:lang w:val="en-US" w:eastAsia="zh-CN"/>
              </w:rPr>
              <w:t>61800</w:t>
            </w:r>
            <w:r>
              <w:rPr>
                <w:rFonts w:hint="eastAsia" w:ascii="等线" w:hAnsi="等线" w:eastAsia="等线" w:cs="宋体"/>
                <w:color w:val="auto"/>
                <w:kern w:val="0"/>
                <w:sz w:val="22"/>
                <w:szCs w:val="22"/>
                <w:highlight w:val="none"/>
                <w:lang w:val="en-US" w:eastAsia="zh-CN"/>
              </w:rPr>
              <w:t>元</w:t>
            </w:r>
            <w:r>
              <w:rPr>
                <w:rFonts w:hint="default" w:ascii="等线" w:hAnsi="等线" w:eastAsia="等线" w:cs="宋体"/>
                <w:color w:val="auto"/>
                <w:kern w:val="0"/>
                <w:sz w:val="22"/>
                <w:szCs w:val="22"/>
                <w:highlight w:val="none"/>
                <w:lang w:val="en-US" w:eastAsia="zh-CN"/>
              </w:rPr>
              <w:t>/</w:t>
            </w:r>
            <w:r>
              <w:rPr>
                <w:rFonts w:hint="eastAsia" w:ascii="等线" w:hAnsi="等线" w:eastAsia="等线" w:cs="宋体"/>
                <w:color w:val="auto"/>
                <w:kern w:val="0"/>
                <w:sz w:val="22"/>
                <w:szCs w:val="22"/>
                <w:highlight w:val="none"/>
                <w:lang w:val="en-US" w:eastAsia="zh-CN"/>
              </w:rPr>
              <w:t>亩</w:t>
            </w:r>
          </w:p>
        </w:tc>
        <w:tc>
          <w:tcPr>
            <w:tcW w:w="0" w:type="auto"/>
            <w:vMerge w:val="restart"/>
            <w:shd w:val="clear" w:color="auto" w:fill="auto"/>
            <w:noWrap/>
            <w:vAlign w:val="center"/>
          </w:tcPr>
          <w:p w14:paraId="7FC55DF9">
            <w:pPr>
              <w:widowControl/>
              <w:autoSpaceDE/>
              <w:autoSpaceDN/>
              <w:jc w:val="center"/>
              <w:rPr>
                <w:rFonts w:hint="default" w:ascii="等线" w:hAnsi="等线" w:eastAsia="等线" w:cs="宋体"/>
                <w:color w:val="auto"/>
                <w:kern w:val="0"/>
                <w:sz w:val="22"/>
                <w:szCs w:val="22"/>
                <w:highlight w:val="none"/>
              </w:rPr>
            </w:pPr>
            <w:r>
              <w:rPr>
                <w:rFonts w:hint="default" w:ascii="等线" w:hAnsi="等线" w:eastAsia="等线" w:cs="宋体"/>
                <w:color w:val="auto"/>
                <w:kern w:val="0"/>
                <w:sz w:val="22"/>
                <w:szCs w:val="22"/>
                <w:highlight w:val="none"/>
                <w:lang w:val="en-US" w:eastAsia="zh-CN"/>
              </w:rPr>
              <w:t>61800</w:t>
            </w:r>
            <w:r>
              <w:rPr>
                <w:rFonts w:hint="eastAsia" w:ascii="等线" w:hAnsi="等线" w:eastAsia="等线" w:cs="宋体"/>
                <w:color w:val="auto"/>
                <w:kern w:val="0"/>
                <w:sz w:val="22"/>
                <w:szCs w:val="22"/>
                <w:highlight w:val="none"/>
                <w:lang w:val="en-US" w:eastAsia="zh-CN"/>
              </w:rPr>
              <w:t>元</w:t>
            </w:r>
            <w:r>
              <w:rPr>
                <w:rFonts w:hint="default" w:ascii="等线" w:hAnsi="等线" w:eastAsia="等线" w:cs="宋体"/>
                <w:color w:val="auto"/>
                <w:kern w:val="0"/>
                <w:sz w:val="22"/>
                <w:szCs w:val="22"/>
                <w:highlight w:val="none"/>
                <w:lang w:val="en-US" w:eastAsia="zh-CN"/>
              </w:rPr>
              <w:t>/</w:t>
            </w:r>
            <w:r>
              <w:rPr>
                <w:rFonts w:hint="eastAsia" w:ascii="等线" w:hAnsi="等线" w:eastAsia="等线" w:cs="宋体"/>
                <w:color w:val="auto"/>
                <w:kern w:val="0"/>
                <w:sz w:val="22"/>
                <w:szCs w:val="22"/>
                <w:highlight w:val="none"/>
                <w:lang w:val="en-US" w:eastAsia="zh-CN"/>
              </w:rPr>
              <w:t>亩</w:t>
            </w:r>
          </w:p>
        </w:tc>
      </w:tr>
      <w:tr w14:paraId="06C6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0" w:type="auto"/>
            <w:vMerge w:val="continue"/>
            <w:shd w:val="clear" w:color="auto" w:fill="auto"/>
            <w:noWrap/>
            <w:vAlign w:val="center"/>
          </w:tcPr>
          <w:p w14:paraId="09BA46D3">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5EBBA47F">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井头圩镇</w:t>
            </w:r>
          </w:p>
        </w:tc>
        <w:tc>
          <w:tcPr>
            <w:tcW w:w="9008" w:type="dxa"/>
            <w:shd w:val="clear" w:color="auto" w:fill="auto"/>
            <w:vAlign w:val="center"/>
          </w:tcPr>
          <w:p w14:paraId="59F261FF">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火车站居委会、老街居委会、草鞋街居委会、井头圩村、廖家村、枫木村、凤凰村、永兴村、大藕村、云凤村、新塘村、蒋家源村、宝鱼村、满竹村、岭观村、鼓楼兰村、上大村、芭蕉村、山口铺村、石板铺村、齐心村、八字门村、霞栖村、大义村、凡龙圩村；</w:t>
            </w:r>
          </w:p>
        </w:tc>
        <w:tc>
          <w:tcPr>
            <w:tcW w:w="0" w:type="auto"/>
            <w:vMerge w:val="continue"/>
            <w:shd w:val="clear" w:color="auto" w:fill="auto"/>
            <w:noWrap/>
            <w:vAlign w:val="center"/>
          </w:tcPr>
          <w:p w14:paraId="39CCF77C">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6793EAAA">
            <w:pPr>
              <w:widowControl/>
              <w:autoSpaceDE/>
              <w:autoSpaceDN/>
              <w:jc w:val="center"/>
              <w:rPr>
                <w:rFonts w:hint="default" w:ascii="等线" w:hAnsi="等线" w:eastAsia="等线" w:cs="宋体"/>
                <w:color w:val="auto"/>
                <w:kern w:val="0"/>
                <w:sz w:val="22"/>
                <w:szCs w:val="22"/>
                <w:highlight w:val="none"/>
              </w:rPr>
            </w:pPr>
          </w:p>
        </w:tc>
      </w:tr>
      <w:tr w14:paraId="33FB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0" w:type="auto"/>
            <w:vMerge w:val="continue"/>
            <w:shd w:val="clear" w:color="auto" w:fill="auto"/>
            <w:noWrap/>
            <w:vAlign w:val="center"/>
          </w:tcPr>
          <w:p w14:paraId="3C1274FA">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2E5D755E">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芦洪市镇</w:t>
            </w:r>
          </w:p>
        </w:tc>
        <w:tc>
          <w:tcPr>
            <w:tcW w:w="9008" w:type="dxa"/>
            <w:shd w:val="clear" w:color="auto" w:fill="auto"/>
            <w:vAlign w:val="center"/>
          </w:tcPr>
          <w:p w14:paraId="2B143487">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圩镇居委会、祖师殿居委会、九连桥居委会、大街居委会、应阳居委会、雄塘村、九龙岩村、芦江村、柘刺坪村、大枧塘村、赵家井村、中心村、留驾岌村、祥和村、溪源村、华兴村、同心村、伍家桥村、新田村、小福村、白木村、石施村、和平村、金润村、小正村、新民村、芦洪村、天子岭村、杨柳村、慈巴铺村、唐家桥村、社塘村、大竹村、王家亭村、溪州村、西江桥村、南江村、枫塘村</w:t>
            </w:r>
          </w:p>
        </w:tc>
        <w:tc>
          <w:tcPr>
            <w:tcW w:w="0" w:type="auto"/>
            <w:vMerge w:val="continue"/>
            <w:shd w:val="clear" w:color="auto" w:fill="auto"/>
            <w:noWrap/>
            <w:vAlign w:val="center"/>
          </w:tcPr>
          <w:p w14:paraId="32206DA9">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1A8F3409">
            <w:pPr>
              <w:widowControl/>
              <w:autoSpaceDE/>
              <w:autoSpaceDN/>
              <w:jc w:val="center"/>
              <w:rPr>
                <w:rFonts w:hint="default" w:ascii="等线" w:hAnsi="等线" w:eastAsia="等线" w:cs="宋体"/>
                <w:color w:val="auto"/>
                <w:kern w:val="0"/>
                <w:sz w:val="22"/>
                <w:szCs w:val="22"/>
                <w:highlight w:val="none"/>
              </w:rPr>
            </w:pPr>
          </w:p>
        </w:tc>
      </w:tr>
      <w:tr w14:paraId="1733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25" w:hRule="atLeast"/>
        </w:trPr>
        <w:tc>
          <w:tcPr>
            <w:tcW w:w="0" w:type="auto"/>
            <w:vMerge w:val="continue"/>
            <w:shd w:val="clear" w:color="auto" w:fill="auto"/>
            <w:noWrap/>
            <w:vAlign w:val="center"/>
          </w:tcPr>
          <w:p w14:paraId="55C1ACB9">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143304F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大庙口镇</w:t>
            </w:r>
          </w:p>
        </w:tc>
        <w:tc>
          <w:tcPr>
            <w:tcW w:w="9008" w:type="dxa"/>
            <w:shd w:val="clear" w:color="auto" w:fill="auto"/>
            <w:vAlign w:val="center"/>
          </w:tcPr>
          <w:p w14:paraId="4B93928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舜福居委会、江南居委会、江北居委会、将军桥村、柳木井村、杨田村、御江源村、峰源村、新溪村、周杨村、双溪村、高枧村、三星村、白沙村、石瑞村、乐福村、官田村、鸭塘村、屯里村、大庙口村、湾里村、塘旁边村、紫云乡村、袁家村、白马村、韭菜村、大坳村、杉木坳村、舜皇村、紫云村、塘家村</w:t>
            </w:r>
          </w:p>
        </w:tc>
        <w:tc>
          <w:tcPr>
            <w:tcW w:w="0" w:type="auto"/>
            <w:vMerge w:val="continue"/>
            <w:shd w:val="clear" w:color="auto" w:fill="auto"/>
            <w:noWrap/>
            <w:vAlign w:val="center"/>
          </w:tcPr>
          <w:p w14:paraId="56FC063A">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34A55603">
            <w:pPr>
              <w:widowControl/>
              <w:autoSpaceDE/>
              <w:autoSpaceDN/>
              <w:jc w:val="center"/>
              <w:rPr>
                <w:rFonts w:hint="default" w:ascii="等线" w:hAnsi="等线" w:eastAsia="等线" w:cs="宋体"/>
                <w:color w:val="auto"/>
                <w:kern w:val="0"/>
                <w:sz w:val="22"/>
                <w:szCs w:val="22"/>
                <w:highlight w:val="none"/>
              </w:rPr>
            </w:pPr>
          </w:p>
        </w:tc>
      </w:tr>
      <w:tr w14:paraId="6E76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0" w:type="auto"/>
            <w:vMerge w:val="continue"/>
            <w:shd w:val="clear" w:color="auto" w:fill="auto"/>
            <w:noWrap/>
            <w:vAlign w:val="center"/>
          </w:tcPr>
          <w:p w14:paraId="26AC829E">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74F36C84">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石期市镇</w:t>
            </w:r>
          </w:p>
        </w:tc>
        <w:tc>
          <w:tcPr>
            <w:tcW w:w="9008" w:type="dxa"/>
            <w:shd w:val="clear" w:color="auto" w:fill="auto"/>
            <w:vAlign w:val="center"/>
          </w:tcPr>
          <w:p w14:paraId="2A8165B1">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解放路居委会、胜利路居委会、民主路居委会、双杨村、五一村、新华村、天龙村、红井村、竹洲村、石市村、蒋家村、石马村、毛家村、大启村、大荣底村、元古村、新合村、建河村、台凡村、谭霞塘村、马头村、晓埠塘村</w:t>
            </w:r>
          </w:p>
        </w:tc>
        <w:tc>
          <w:tcPr>
            <w:tcW w:w="0" w:type="auto"/>
            <w:vMerge w:val="continue"/>
            <w:shd w:val="clear" w:color="auto" w:fill="auto"/>
            <w:noWrap/>
            <w:vAlign w:val="center"/>
          </w:tcPr>
          <w:p w14:paraId="4C71AC9C">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593AAE0A">
            <w:pPr>
              <w:widowControl/>
              <w:autoSpaceDE/>
              <w:autoSpaceDN/>
              <w:jc w:val="center"/>
              <w:rPr>
                <w:rFonts w:hint="default" w:ascii="等线" w:hAnsi="等线" w:eastAsia="等线" w:cs="宋体"/>
                <w:color w:val="auto"/>
                <w:kern w:val="0"/>
                <w:sz w:val="22"/>
                <w:szCs w:val="22"/>
                <w:highlight w:val="none"/>
              </w:rPr>
            </w:pPr>
          </w:p>
        </w:tc>
      </w:tr>
      <w:tr w14:paraId="4C08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80" w:hRule="atLeast"/>
        </w:trPr>
        <w:tc>
          <w:tcPr>
            <w:tcW w:w="0" w:type="auto"/>
            <w:vMerge w:val="continue"/>
            <w:shd w:val="clear" w:color="auto" w:fill="auto"/>
            <w:noWrap/>
            <w:vAlign w:val="center"/>
          </w:tcPr>
          <w:p w14:paraId="5E047D52">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3D23B017">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紫溪市镇</w:t>
            </w:r>
          </w:p>
        </w:tc>
        <w:tc>
          <w:tcPr>
            <w:tcW w:w="9008" w:type="dxa"/>
            <w:shd w:val="clear" w:color="auto" w:fill="auto"/>
            <w:vAlign w:val="center"/>
          </w:tcPr>
          <w:p w14:paraId="7554A01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东正街居委会、下河街居委会、唐公街居委会、向阳街居委会、群丰村、群力村、紫溪村、乐园村、南庄村、建设村、五一村、五星村、湘龙村、伍家湾村、八复村、高岩村、百花村、五里牌村、六里桥村、渌埠头村、调元村、大源村、中心村、荷叶塘村、花桥村、塘复村、花街村</w:t>
            </w:r>
          </w:p>
        </w:tc>
        <w:tc>
          <w:tcPr>
            <w:tcW w:w="0" w:type="auto"/>
            <w:vMerge w:val="continue"/>
            <w:shd w:val="clear" w:color="auto" w:fill="auto"/>
            <w:noWrap/>
            <w:vAlign w:val="center"/>
          </w:tcPr>
          <w:p w14:paraId="797543E2">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6AA86242">
            <w:pPr>
              <w:widowControl/>
              <w:autoSpaceDE/>
              <w:autoSpaceDN/>
              <w:jc w:val="center"/>
              <w:rPr>
                <w:rFonts w:hint="default" w:ascii="等线" w:hAnsi="等线" w:eastAsia="等线" w:cs="宋体"/>
                <w:color w:val="auto"/>
                <w:kern w:val="0"/>
                <w:sz w:val="22"/>
                <w:szCs w:val="22"/>
                <w:highlight w:val="none"/>
              </w:rPr>
            </w:pPr>
          </w:p>
        </w:tc>
      </w:tr>
      <w:tr w14:paraId="30F0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0" w:type="auto"/>
            <w:vMerge w:val="continue"/>
            <w:shd w:val="clear" w:color="auto" w:fill="auto"/>
            <w:noWrap/>
            <w:vAlign w:val="center"/>
          </w:tcPr>
          <w:p w14:paraId="65C47076">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5ED12E67">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横塘镇</w:t>
            </w:r>
          </w:p>
        </w:tc>
        <w:tc>
          <w:tcPr>
            <w:tcW w:w="9008" w:type="dxa"/>
            <w:shd w:val="clear" w:color="auto" w:fill="auto"/>
            <w:vAlign w:val="center"/>
          </w:tcPr>
          <w:p w14:paraId="022C548A">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文堂居委会、兴隆居委会、狮子铺村、甘庄村、带家村、湘前村、三吉村、大坪村、大栗山村、枫林村、石塘村、望明村、宝塔岩村、大月塘村、滑石头村、寿竹村、平埠头村、金云村、龙门口村、白滩河村、大塘屋村</w:t>
            </w:r>
          </w:p>
        </w:tc>
        <w:tc>
          <w:tcPr>
            <w:tcW w:w="0" w:type="auto"/>
            <w:vMerge w:val="continue"/>
            <w:shd w:val="clear" w:color="auto" w:fill="auto"/>
            <w:noWrap/>
            <w:vAlign w:val="center"/>
          </w:tcPr>
          <w:p w14:paraId="42335F73">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7F7B391F">
            <w:pPr>
              <w:widowControl/>
              <w:autoSpaceDE/>
              <w:autoSpaceDN/>
              <w:jc w:val="center"/>
              <w:rPr>
                <w:rFonts w:hint="default" w:ascii="等线" w:hAnsi="等线" w:eastAsia="等线" w:cs="宋体"/>
                <w:color w:val="auto"/>
                <w:kern w:val="0"/>
                <w:sz w:val="22"/>
                <w:szCs w:val="22"/>
                <w:highlight w:val="none"/>
              </w:rPr>
            </w:pPr>
          </w:p>
        </w:tc>
      </w:tr>
      <w:tr w14:paraId="28C4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5" w:hRule="atLeast"/>
        </w:trPr>
        <w:tc>
          <w:tcPr>
            <w:tcW w:w="0" w:type="auto"/>
            <w:vMerge w:val="continue"/>
            <w:shd w:val="clear" w:color="auto" w:fill="auto"/>
            <w:noWrap/>
            <w:vAlign w:val="center"/>
          </w:tcPr>
          <w:p w14:paraId="04D70B4D">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2D644F03">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水岭乡</w:t>
            </w:r>
          </w:p>
        </w:tc>
        <w:tc>
          <w:tcPr>
            <w:tcW w:w="9008" w:type="dxa"/>
            <w:shd w:val="clear" w:color="auto" w:fill="auto"/>
            <w:vAlign w:val="center"/>
          </w:tcPr>
          <w:p w14:paraId="0BE9E019">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水岭村、吊牛坪村、枧田村、金岭村、冷山村、下丰村、燕桂村、三合村、新铺村</w:t>
            </w:r>
          </w:p>
        </w:tc>
        <w:tc>
          <w:tcPr>
            <w:tcW w:w="0" w:type="auto"/>
            <w:vMerge w:val="continue"/>
            <w:shd w:val="clear" w:color="auto" w:fill="auto"/>
            <w:noWrap/>
            <w:vAlign w:val="center"/>
          </w:tcPr>
          <w:p w14:paraId="0EB9515B">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11BB4898">
            <w:pPr>
              <w:widowControl/>
              <w:autoSpaceDE/>
              <w:autoSpaceDN/>
              <w:jc w:val="center"/>
              <w:rPr>
                <w:rFonts w:hint="default" w:ascii="等线" w:hAnsi="等线" w:eastAsia="等线" w:cs="宋体"/>
                <w:color w:val="auto"/>
                <w:kern w:val="0"/>
                <w:sz w:val="22"/>
                <w:szCs w:val="22"/>
                <w:highlight w:val="none"/>
              </w:rPr>
            </w:pPr>
          </w:p>
        </w:tc>
      </w:tr>
      <w:tr w14:paraId="0A72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0" w:hRule="atLeast"/>
        </w:trPr>
        <w:tc>
          <w:tcPr>
            <w:tcW w:w="0" w:type="auto"/>
            <w:vMerge w:val="continue"/>
            <w:shd w:val="clear" w:color="auto" w:fill="auto"/>
            <w:noWrap/>
            <w:vAlign w:val="center"/>
          </w:tcPr>
          <w:p w14:paraId="6B120726">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5785C8BB">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川岩乡</w:t>
            </w:r>
          </w:p>
        </w:tc>
        <w:tc>
          <w:tcPr>
            <w:tcW w:w="9008" w:type="dxa"/>
            <w:shd w:val="clear" w:color="auto" w:fill="auto"/>
            <w:vAlign w:val="center"/>
          </w:tcPr>
          <w:p w14:paraId="24F2A00B">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川岩村、禾市村、上界头村、下界头村、松江村、岭芝村、湾塘村、长冲村、榴星白牙水村</w:t>
            </w:r>
          </w:p>
        </w:tc>
        <w:tc>
          <w:tcPr>
            <w:tcW w:w="0" w:type="auto"/>
            <w:vMerge w:val="continue"/>
            <w:shd w:val="clear" w:color="auto" w:fill="auto"/>
            <w:noWrap/>
            <w:vAlign w:val="center"/>
          </w:tcPr>
          <w:p w14:paraId="600BB2B9">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76147703">
            <w:pPr>
              <w:widowControl/>
              <w:autoSpaceDE/>
              <w:autoSpaceDN/>
              <w:jc w:val="center"/>
              <w:rPr>
                <w:rFonts w:hint="default" w:ascii="等线" w:hAnsi="等线" w:eastAsia="等线" w:cs="宋体"/>
                <w:color w:val="auto"/>
                <w:kern w:val="0"/>
                <w:sz w:val="22"/>
                <w:szCs w:val="22"/>
                <w:highlight w:val="none"/>
              </w:rPr>
            </w:pPr>
          </w:p>
        </w:tc>
      </w:tr>
      <w:tr w14:paraId="70DF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trPr>
        <w:tc>
          <w:tcPr>
            <w:tcW w:w="0" w:type="auto"/>
            <w:vMerge w:val="continue"/>
            <w:shd w:val="clear" w:color="auto" w:fill="auto"/>
            <w:noWrap/>
            <w:vAlign w:val="center"/>
          </w:tcPr>
          <w:p w14:paraId="22896684">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5024D0B1">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端桥铺镇</w:t>
            </w:r>
          </w:p>
        </w:tc>
        <w:tc>
          <w:tcPr>
            <w:tcW w:w="9008" w:type="dxa"/>
            <w:shd w:val="clear" w:color="auto" w:fill="auto"/>
            <w:vAlign w:val="center"/>
          </w:tcPr>
          <w:p w14:paraId="643BA799">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端桥铺居委会、汉寿村、俞家村、湖塘铺村、马力山村、黄木村、杨梓洞村、坪山塘村、竹木町村、石坝村、罗家村、厅上村、拱桥村、黄塘村、油塘村、凉水井村、金溪村、麻溪村、下里山村、黄土脑村、月潭村、新屋村、大井村</w:t>
            </w:r>
          </w:p>
        </w:tc>
        <w:tc>
          <w:tcPr>
            <w:tcW w:w="0" w:type="auto"/>
            <w:vMerge w:val="continue"/>
            <w:shd w:val="clear" w:color="auto" w:fill="auto"/>
            <w:noWrap/>
            <w:vAlign w:val="center"/>
          </w:tcPr>
          <w:p w14:paraId="69E3577D">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2A3D3400">
            <w:pPr>
              <w:widowControl/>
              <w:autoSpaceDE/>
              <w:autoSpaceDN/>
              <w:jc w:val="center"/>
              <w:rPr>
                <w:rFonts w:hint="default" w:ascii="等线" w:hAnsi="等线" w:eastAsia="等线" w:cs="宋体"/>
                <w:color w:val="auto"/>
                <w:kern w:val="0"/>
                <w:sz w:val="22"/>
                <w:szCs w:val="22"/>
                <w:highlight w:val="none"/>
              </w:rPr>
            </w:pPr>
          </w:p>
        </w:tc>
      </w:tr>
      <w:tr w14:paraId="775B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0" w:type="auto"/>
            <w:vMerge w:val="continue"/>
            <w:shd w:val="clear" w:color="auto" w:fill="auto"/>
            <w:noWrap/>
            <w:vAlign w:val="center"/>
          </w:tcPr>
          <w:p w14:paraId="30FB4376">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05AEC4EA">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鹿马桥镇</w:t>
            </w:r>
          </w:p>
        </w:tc>
        <w:tc>
          <w:tcPr>
            <w:tcW w:w="9008" w:type="dxa"/>
            <w:shd w:val="clear" w:color="auto" w:fill="auto"/>
            <w:vAlign w:val="center"/>
          </w:tcPr>
          <w:p w14:paraId="3AA70245">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黎山居委会、新村居委会、新街居委会、沙溪村、泉水村、唐家村、河东村、马坪村、石坝冲村、兴隆村、金江村、大宽村、苏家岭村、黄里坪村、黄泥洞村、简家岭村、水溪村、天堂村、伍通庙村、肖家岭村</w:t>
            </w:r>
          </w:p>
        </w:tc>
        <w:tc>
          <w:tcPr>
            <w:tcW w:w="0" w:type="auto"/>
            <w:vMerge w:val="continue"/>
            <w:shd w:val="clear" w:color="auto" w:fill="auto"/>
            <w:noWrap/>
            <w:vAlign w:val="center"/>
          </w:tcPr>
          <w:p w14:paraId="722F7DCE">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1CC437AD">
            <w:pPr>
              <w:widowControl/>
              <w:autoSpaceDE/>
              <w:autoSpaceDN/>
              <w:jc w:val="center"/>
              <w:rPr>
                <w:rFonts w:hint="default" w:ascii="等线" w:hAnsi="等线" w:eastAsia="等线" w:cs="宋体"/>
                <w:color w:val="auto"/>
                <w:kern w:val="0"/>
                <w:sz w:val="22"/>
                <w:szCs w:val="22"/>
                <w:highlight w:val="none"/>
              </w:rPr>
            </w:pPr>
          </w:p>
        </w:tc>
      </w:tr>
      <w:tr w14:paraId="08C20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85" w:hRule="atLeast"/>
        </w:trPr>
        <w:tc>
          <w:tcPr>
            <w:tcW w:w="0" w:type="auto"/>
            <w:vMerge w:val="continue"/>
            <w:shd w:val="clear" w:color="auto" w:fill="auto"/>
            <w:noWrap/>
            <w:vAlign w:val="center"/>
          </w:tcPr>
          <w:p w14:paraId="49026127">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4BCB1CE7">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新圩江镇</w:t>
            </w:r>
          </w:p>
        </w:tc>
        <w:tc>
          <w:tcPr>
            <w:tcW w:w="9008" w:type="dxa"/>
            <w:shd w:val="clear" w:color="auto" w:fill="auto"/>
            <w:vAlign w:val="center"/>
          </w:tcPr>
          <w:p w14:paraId="49D06D54">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新江居委会、新圩居委会、芦江村、大埠头村、双庙村、双江村、柳山村、中田村、竹冲村、石板头村、田心村、什田村、小田村、军山村、金浪村、大浪村</w:t>
            </w:r>
          </w:p>
        </w:tc>
        <w:tc>
          <w:tcPr>
            <w:tcW w:w="0" w:type="auto"/>
            <w:vMerge w:val="continue"/>
            <w:shd w:val="clear" w:color="auto" w:fill="auto"/>
            <w:noWrap/>
            <w:vAlign w:val="center"/>
          </w:tcPr>
          <w:p w14:paraId="55CC1A44">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47B35854">
            <w:pPr>
              <w:widowControl/>
              <w:autoSpaceDE/>
              <w:autoSpaceDN/>
              <w:jc w:val="center"/>
              <w:rPr>
                <w:rFonts w:hint="default" w:ascii="等线" w:hAnsi="等线" w:eastAsia="等线" w:cs="宋体"/>
                <w:color w:val="auto"/>
                <w:kern w:val="0"/>
                <w:sz w:val="22"/>
                <w:szCs w:val="22"/>
                <w:highlight w:val="none"/>
              </w:rPr>
            </w:pPr>
          </w:p>
        </w:tc>
      </w:tr>
      <w:tr w14:paraId="5EFF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0" w:hRule="atLeast"/>
        </w:trPr>
        <w:tc>
          <w:tcPr>
            <w:tcW w:w="0" w:type="auto"/>
            <w:vMerge w:val="continue"/>
            <w:shd w:val="clear" w:color="auto" w:fill="auto"/>
            <w:noWrap/>
            <w:vAlign w:val="center"/>
          </w:tcPr>
          <w:p w14:paraId="50C07230">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3D35E76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花桥镇</w:t>
            </w:r>
          </w:p>
        </w:tc>
        <w:tc>
          <w:tcPr>
            <w:tcW w:w="9008" w:type="dxa"/>
            <w:shd w:val="clear" w:color="auto" w:fill="auto"/>
            <w:vAlign w:val="center"/>
          </w:tcPr>
          <w:p w14:paraId="385B7360">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花桥居委会、花山居委会、花东居委会、陈樟村、唐家村、青塘村、星火村、苏门村、文明村、刘阳村、中塘村、香井村</w:t>
            </w:r>
          </w:p>
        </w:tc>
        <w:tc>
          <w:tcPr>
            <w:tcW w:w="0" w:type="auto"/>
            <w:vMerge w:val="continue"/>
            <w:shd w:val="clear" w:color="auto" w:fill="auto"/>
            <w:noWrap/>
            <w:vAlign w:val="center"/>
          </w:tcPr>
          <w:p w14:paraId="49450926">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58852263">
            <w:pPr>
              <w:widowControl/>
              <w:autoSpaceDE/>
              <w:autoSpaceDN/>
              <w:jc w:val="center"/>
              <w:rPr>
                <w:rFonts w:hint="default" w:ascii="等线" w:hAnsi="等线" w:eastAsia="等线" w:cs="宋体"/>
                <w:color w:val="auto"/>
                <w:kern w:val="0"/>
                <w:sz w:val="22"/>
                <w:szCs w:val="22"/>
                <w:highlight w:val="none"/>
              </w:rPr>
            </w:pPr>
          </w:p>
        </w:tc>
      </w:tr>
      <w:tr w14:paraId="4C1C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0" w:type="auto"/>
            <w:vMerge w:val="continue"/>
            <w:shd w:val="clear" w:color="auto" w:fill="auto"/>
            <w:noWrap/>
            <w:vAlign w:val="center"/>
          </w:tcPr>
          <w:p w14:paraId="3D156310">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7D2A7C7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南桥镇</w:t>
            </w:r>
          </w:p>
        </w:tc>
        <w:tc>
          <w:tcPr>
            <w:tcW w:w="9008" w:type="dxa"/>
            <w:shd w:val="clear" w:color="auto" w:fill="auto"/>
            <w:vAlign w:val="center"/>
          </w:tcPr>
          <w:p w14:paraId="63D936C8">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南桥居委会、铁宝居委会、盐井村、云霞村、莲花村、大富村、兰头村、杉木村、大水村、上塘新村、坪阳冲村、新竹村、岩门村、戈塘村、集中村、荷叶村、大石塘村、荆塘村、花竹村、寺门马皇村、双江清水村、曹木村</w:t>
            </w:r>
          </w:p>
        </w:tc>
        <w:tc>
          <w:tcPr>
            <w:tcW w:w="0" w:type="auto"/>
            <w:vMerge w:val="continue"/>
            <w:shd w:val="clear" w:color="auto" w:fill="auto"/>
            <w:noWrap/>
            <w:vAlign w:val="center"/>
          </w:tcPr>
          <w:p w14:paraId="5C1A5918">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08FC570F">
            <w:pPr>
              <w:widowControl/>
              <w:autoSpaceDE/>
              <w:autoSpaceDN/>
              <w:jc w:val="center"/>
              <w:rPr>
                <w:rFonts w:hint="default" w:ascii="等线" w:hAnsi="等线" w:eastAsia="等线" w:cs="宋体"/>
                <w:color w:val="auto"/>
                <w:kern w:val="0"/>
                <w:sz w:val="22"/>
                <w:szCs w:val="22"/>
                <w:highlight w:val="none"/>
              </w:rPr>
            </w:pPr>
          </w:p>
        </w:tc>
      </w:tr>
      <w:tr w14:paraId="0EDA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0" w:type="auto"/>
            <w:vMerge w:val="continue"/>
            <w:shd w:val="clear" w:color="auto" w:fill="auto"/>
            <w:noWrap/>
            <w:vAlign w:val="center"/>
          </w:tcPr>
          <w:p w14:paraId="7BF0F98E">
            <w:pPr>
              <w:widowControl/>
              <w:autoSpaceDE/>
              <w:autoSpaceDN/>
              <w:jc w:val="center"/>
              <w:rPr>
                <w:rFonts w:hint="eastAsia" w:ascii="等线" w:hAnsi="等线" w:eastAsia="等线" w:cs="宋体"/>
                <w:color w:val="auto"/>
                <w:kern w:val="0"/>
                <w:sz w:val="22"/>
                <w:szCs w:val="22"/>
                <w:highlight w:val="none"/>
              </w:rPr>
            </w:pPr>
          </w:p>
        </w:tc>
        <w:tc>
          <w:tcPr>
            <w:tcW w:w="720" w:type="dxa"/>
            <w:shd w:val="clear" w:color="auto" w:fill="auto"/>
            <w:vAlign w:val="center"/>
          </w:tcPr>
          <w:p w14:paraId="34B13782">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大盛镇</w:t>
            </w:r>
          </w:p>
        </w:tc>
        <w:tc>
          <w:tcPr>
            <w:tcW w:w="9008" w:type="dxa"/>
            <w:shd w:val="clear" w:color="auto" w:fill="auto"/>
            <w:vAlign w:val="center"/>
          </w:tcPr>
          <w:p w14:paraId="134FB21F">
            <w:pPr>
              <w:widowControl/>
              <w:autoSpaceDE/>
              <w:autoSpaceDN/>
              <w:jc w:val="center"/>
              <w:rPr>
                <w:rFonts w:hint="eastAsia"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lang w:val="en-US" w:eastAsia="zh-CN"/>
              </w:rPr>
              <w:t>回隆居委会、兴隆居委会、大水塘村、泗水村、应水村、斗山村、山水村、杨家村、易江村、井塘村、毛坪村、黄家村、陵角村、龙头村、铁塘村、严塘村、三潭村、半山村</w:t>
            </w:r>
          </w:p>
        </w:tc>
        <w:tc>
          <w:tcPr>
            <w:tcW w:w="0" w:type="auto"/>
            <w:vMerge w:val="continue"/>
            <w:shd w:val="clear" w:color="auto" w:fill="auto"/>
            <w:noWrap/>
            <w:vAlign w:val="center"/>
          </w:tcPr>
          <w:p w14:paraId="3000FE7C">
            <w:pPr>
              <w:widowControl/>
              <w:autoSpaceDE/>
              <w:autoSpaceDN/>
              <w:jc w:val="center"/>
              <w:rPr>
                <w:rFonts w:hint="default" w:ascii="等线" w:hAnsi="等线" w:eastAsia="等线" w:cs="宋体"/>
                <w:color w:val="auto"/>
                <w:kern w:val="0"/>
                <w:sz w:val="22"/>
                <w:szCs w:val="22"/>
                <w:highlight w:val="none"/>
              </w:rPr>
            </w:pPr>
          </w:p>
        </w:tc>
        <w:tc>
          <w:tcPr>
            <w:tcW w:w="0" w:type="auto"/>
            <w:vMerge w:val="continue"/>
            <w:shd w:val="clear" w:color="auto" w:fill="auto"/>
            <w:noWrap/>
            <w:vAlign w:val="center"/>
          </w:tcPr>
          <w:p w14:paraId="3CE9C411">
            <w:pPr>
              <w:widowControl/>
              <w:autoSpaceDE/>
              <w:autoSpaceDN/>
              <w:jc w:val="center"/>
              <w:rPr>
                <w:rFonts w:hint="default" w:ascii="等线" w:hAnsi="等线" w:eastAsia="等线" w:cs="宋体"/>
                <w:color w:val="auto"/>
                <w:kern w:val="0"/>
                <w:sz w:val="22"/>
                <w:szCs w:val="22"/>
                <w:highlight w:val="none"/>
              </w:rPr>
            </w:pPr>
          </w:p>
        </w:tc>
      </w:tr>
    </w:tbl>
    <w:p w14:paraId="15F1B690">
      <w:pPr>
        <w:keepNext w:val="0"/>
        <w:keepLines w:val="0"/>
        <w:pageBreakBefore w:val="0"/>
        <w:widowControl/>
        <w:tabs>
          <w:tab w:val="right" w:pos="8845"/>
        </w:tabs>
        <w:kinsoku w:val="0"/>
        <w:wordWrap/>
        <w:overflowPunct/>
        <w:topLinePunct w:val="0"/>
        <w:autoSpaceDE w:val="0"/>
        <w:autoSpaceDN w:val="0"/>
        <w:bidi w:val="0"/>
        <w:adjustRightInd w:val="0"/>
        <w:snapToGrid w:val="0"/>
        <w:spacing w:before="71" w:line="231" w:lineRule="auto"/>
        <w:jc w:val="left"/>
        <w:textAlignment w:val="baseline"/>
        <w:rPr>
          <w:rFonts w:hint="default" w:ascii="等线" w:hAnsi="等线" w:eastAsia="等线"/>
          <w:color w:val="auto"/>
          <w:highlight w:val="none"/>
          <w:lang w:val="en-US" w:eastAsia="zh-CN"/>
        </w:rPr>
      </w:pPr>
    </w:p>
    <w:p w14:paraId="2E8D5436"/>
    <w:sectPr>
      <w:pgSz w:w="16838" w:h="11906" w:orient="landscape"/>
      <w:pgMar w:top="1587" w:right="2098" w:bottom="1474" w:left="198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BE5A28"/>
    <w:rsid w:val="01BE5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 w:type="character" w:customStyle="1" w:styleId="5">
    <w:name w:val="font11"/>
    <w:basedOn w:val="4"/>
    <w:qFormat/>
    <w:uiPriority w:val="0"/>
    <w:rPr>
      <w:rFonts w:hint="eastAsia" w:ascii="仿宋" w:hAnsi="仿宋" w:eastAsia="仿宋" w:cs="仿宋"/>
      <w:color w:val="000000"/>
      <w:sz w:val="20"/>
      <w:szCs w:val="20"/>
      <w:u w:val="none"/>
    </w:rPr>
  </w:style>
  <w:style w:type="character" w:customStyle="1" w:styleId="6">
    <w:name w:val="font41"/>
    <w:basedOn w:val="4"/>
    <w:qFormat/>
    <w:uiPriority w:val="0"/>
    <w:rPr>
      <w:rFonts w:hint="eastAsia" w:ascii="仿宋" w:hAnsi="仿宋" w:eastAsia="仿宋" w:cs="仿宋"/>
      <w:color w:val="000000"/>
      <w:sz w:val="20"/>
      <w:szCs w:val="20"/>
      <w:u w:val="single"/>
    </w:rPr>
  </w:style>
  <w:style w:type="paragraph" w:customStyle="1" w:styleId="7">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2026-10-09T02:09:00Z</dcterms:created>
  <dc:creator>qzuser</dc:creator>
  <cp:lastModifiedBy>qzuser</cp:lastModifiedBy>
  <dcterms:modified xsi:type="dcterms:W3CDTF">2026-10-09T02:14:50Z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D16C17DF9687469380A6574C405002B8_11</vt:lpwstr>
  </property>
  <property fmtid="{D5CDD505-2E9C-101B-9397-08002B2CF9AE}" pid="4" name="KSOTemplateDocerSaveRecord">
    <vt:lpwstr>eyJoZGlkIjoiMTQxNDM3MzNkNjZlNDI3Mjg5MDZkY2FlYmJjNWZkMGUiLCJ1c2VySWQiOiIzMDAwNzE2NTEifQ==</vt:lpwstr>
  </property>
</Properties>
</file>