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Times New Roman"/>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rPr>
        <w:t>3年财政工作总结及2024年工作谋划</w:t>
      </w:r>
    </w:p>
    <w:p>
      <w:pPr>
        <w:spacing w:line="57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东安县财政局</w:t>
      </w:r>
    </w:p>
    <w:p>
      <w:pPr>
        <w:pStyle w:val="2"/>
        <w:spacing w:line="570" w:lineRule="exact"/>
      </w:pPr>
    </w:p>
    <w:p>
      <w:pPr>
        <w:widowControl/>
        <w:spacing w:line="57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今年以来，全县财政系统始终坚持以习近平新时代中国特色社会主义思想为指导，深入贯彻落实党的二十大精神，在县委、县政府的坚强领导下，深入实施“五五一”发展思路，踔厉奋发，笃行不怠，各项工作取得一定成效。</w:t>
      </w:r>
      <w:r>
        <w:rPr>
          <w:rFonts w:hint="eastAsia" w:ascii="仿宋_GB2312" w:eastAsia="仿宋_GB2312" w:cs="仿宋_GB2312"/>
          <w:sz w:val="32"/>
          <w:szCs w:val="32"/>
          <w:lang w:val="en-US" w:eastAsia="zh-CN"/>
        </w:rPr>
        <w:t>2023年以来获省政府财源建设工作真抓实干督查激励等省、市级以上集体荣誉31项，个人荣誉3项。</w:t>
      </w:r>
      <w:r>
        <w:rPr>
          <w:rFonts w:hint="eastAsia" w:ascii="仿宋_GB2312" w:eastAsia="仿宋_GB2312" w:cs="仿宋_GB2312"/>
          <w:sz w:val="32"/>
          <w:szCs w:val="32"/>
        </w:rPr>
        <w:t>现将相关情况总结如下：</w:t>
      </w:r>
    </w:p>
    <w:p>
      <w:pPr>
        <w:autoSpaceDE w:val="0"/>
        <w:spacing w:line="570" w:lineRule="exact"/>
        <w:ind w:firstLine="627" w:firstLineChars="196"/>
        <w:rPr>
          <w:rStyle w:val="27"/>
          <w:rFonts w:ascii="黑体" w:hAnsi="黑体" w:eastAsia="黑体" w:cs="黑体"/>
          <w:bCs/>
          <w:kern w:val="0"/>
          <w:sz w:val="32"/>
          <w:szCs w:val="32"/>
        </w:rPr>
      </w:pPr>
      <w:r>
        <w:rPr>
          <w:rStyle w:val="27"/>
          <w:rFonts w:hint="eastAsia" w:ascii="黑体" w:hAnsi="黑体" w:eastAsia="黑体" w:cs="黑体"/>
          <w:bCs/>
          <w:kern w:val="0"/>
          <w:sz w:val="32"/>
          <w:szCs w:val="32"/>
        </w:rPr>
        <w:t>一、2023年重点工作完成情况</w:t>
      </w:r>
    </w:p>
    <w:p>
      <w:pPr>
        <w:autoSpaceDE w:val="0"/>
        <w:spacing w:line="570" w:lineRule="exact"/>
        <w:ind w:firstLine="630" w:firstLineChars="196"/>
        <w:rPr>
          <w:rStyle w:val="27"/>
          <w:rFonts w:ascii="楷体_GB2312" w:hAnsi="楷体_GB2312" w:eastAsia="楷体_GB2312" w:cs="楷体_GB2312"/>
          <w:b/>
          <w:kern w:val="0"/>
          <w:sz w:val="32"/>
          <w:szCs w:val="32"/>
        </w:rPr>
      </w:pPr>
      <w:r>
        <w:rPr>
          <w:rStyle w:val="27"/>
          <w:rFonts w:hint="eastAsia" w:ascii="楷体_GB2312" w:hAnsi="楷体_GB2312" w:eastAsia="楷体_GB2312" w:cs="楷体_GB2312"/>
          <w:b/>
          <w:kern w:val="0"/>
          <w:sz w:val="32"/>
          <w:szCs w:val="32"/>
        </w:rPr>
        <w:t>（一）育财源，保增收，全面提升收入水平</w:t>
      </w:r>
    </w:p>
    <w:p>
      <w:pPr>
        <w:widowControl/>
        <w:spacing w:line="570" w:lineRule="exact"/>
        <w:ind w:firstLine="643" w:firstLineChars="200"/>
        <w:jc w:val="left"/>
        <w:rPr>
          <w:rStyle w:val="16"/>
          <w:rFonts w:hint="default" w:ascii="Times New Roman" w:hAnsi="Times New Roman" w:eastAsia="仿宋_GB2312" w:cs="Times New Roman"/>
          <w:b w:val="0"/>
          <w:bCs w:val="0"/>
          <w:color w:val="000000"/>
          <w:sz w:val="32"/>
          <w:szCs w:val="32"/>
          <w:lang w:val="en-US" w:eastAsia="zh-CN"/>
        </w:rPr>
      </w:pPr>
      <w:r>
        <w:rPr>
          <w:rFonts w:hint="eastAsia" w:ascii="楷体_GB2312" w:hAnsi="楷体_GB2312" w:eastAsia="楷体_GB2312" w:cs="楷体_GB2312"/>
          <w:b/>
          <w:bCs/>
          <w:sz w:val="32"/>
          <w:szCs w:val="32"/>
        </w:rPr>
        <w:t>招商引资成效明显。</w:t>
      </w:r>
      <w:r>
        <w:rPr>
          <w:rStyle w:val="16"/>
          <w:rFonts w:ascii="Times New Roman" w:hAnsi="Times New Roman" w:eastAsia="仿宋_GB2312"/>
          <w:b w:val="0"/>
          <w:bCs w:val="0"/>
          <w:color w:val="000000"/>
          <w:sz w:val="32"/>
          <w:szCs w:val="32"/>
        </w:rPr>
        <w:t>全年签约三类500强项目3个</w:t>
      </w:r>
      <w:r>
        <w:rPr>
          <w:rStyle w:val="16"/>
          <w:rFonts w:ascii="仿宋" w:hAnsi="仿宋" w:eastAsia="仿宋"/>
          <w:b w:val="0"/>
          <w:bCs w:val="0"/>
          <w:color w:val="000000"/>
          <w:sz w:val="32"/>
          <w:szCs w:val="32"/>
        </w:rPr>
        <w:t>，</w:t>
      </w:r>
      <w:r>
        <w:rPr>
          <w:rStyle w:val="16"/>
          <w:rFonts w:ascii="Times New Roman" w:hAnsi="Times New Roman" w:eastAsia="仿宋_GB2312"/>
          <w:b w:val="0"/>
          <w:bCs w:val="0"/>
          <w:color w:val="000000"/>
          <w:sz w:val="32"/>
          <w:szCs w:val="32"/>
        </w:rPr>
        <w:t>5000万元以上的项目42个</w:t>
      </w:r>
      <w:r>
        <w:rPr>
          <w:rStyle w:val="16"/>
          <w:rFonts w:ascii="仿宋" w:hAnsi="仿宋" w:eastAsia="仿宋"/>
          <w:b w:val="0"/>
          <w:bCs w:val="0"/>
          <w:color w:val="000000"/>
          <w:sz w:val="32"/>
          <w:szCs w:val="32"/>
        </w:rPr>
        <w:t>，</w:t>
      </w:r>
      <w:r>
        <w:rPr>
          <w:rStyle w:val="16"/>
          <w:rFonts w:ascii="Times New Roman" w:hAnsi="Times New Roman" w:eastAsia="仿宋_GB2312"/>
          <w:b w:val="0"/>
          <w:bCs w:val="0"/>
          <w:color w:val="000000"/>
          <w:sz w:val="32"/>
          <w:szCs w:val="32"/>
        </w:rPr>
        <w:t>总投资101.43亿元</w:t>
      </w:r>
      <w:r>
        <w:rPr>
          <w:rStyle w:val="16"/>
          <w:rFonts w:ascii="仿宋" w:hAnsi="仿宋" w:eastAsia="仿宋"/>
          <w:b w:val="0"/>
          <w:bCs w:val="0"/>
          <w:color w:val="000000"/>
          <w:sz w:val="32"/>
          <w:szCs w:val="32"/>
        </w:rPr>
        <w:t>。</w:t>
      </w:r>
      <w:r>
        <w:rPr>
          <w:rStyle w:val="16"/>
          <w:rFonts w:ascii="Times New Roman" w:hAnsi="Times New Roman" w:eastAsia="仿宋_GB2312"/>
          <w:b w:val="0"/>
          <w:bCs w:val="0"/>
          <w:color w:val="000000"/>
          <w:sz w:val="32"/>
          <w:szCs w:val="32"/>
        </w:rPr>
        <w:t>湘商回归新注册企业12家</w:t>
      </w:r>
      <w:r>
        <w:rPr>
          <w:rStyle w:val="16"/>
          <w:rFonts w:ascii="仿宋" w:hAnsi="仿宋" w:eastAsia="仿宋"/>
          <w:b w:val="0"/>
          <w:bCs w:val="0"/>
          <w:color w:val="000000"/>
          <w:sz w:val="32"/>
          <w:szCs w:val="32"/>
        </w:rPr>
        <w:t>，</w:t>
      </w:r>
      <w:r>
        <w:rPr>
          <w:rStyle w:val="16"/>
          <w:rFonts w:ascii="Times New Roman" w:hAnsi="Times New Roman" w:eastAsia="仿宋_GB2312"/>
          <w:b w:val="0"/>
          <w:bCs w:val="0"/>
          <w:color w:val="000000"/>
          <w:sz w:val="32"/>
          <w:szCs w:val="32"/>
        </w:rPr>
        <w:t>到位资金44.77亿元</w:t>
      </w:r>
      <w:r>
        <w:rPr>
          <w:rStyle w:val="16"/>
          <w:rFonts w:hint="eastAsia" w:ascii="Times New Roman" w:hAnsi="Times New Roman" w:eastAsia="仿宋_GB2312"/>
          <w:b w:val="0"/>
          <w:bCs w:val="0"/>
          <w:color w:val="000000"/>
          <w:sz w:val="32"/>
          <w:szCs w:val="32"/>
          <w:lang w:eastAsia="zh-CN"/>
        </w:rPr>
        <w:t>。</w:t>
      </w:r>
      <w:r>
        <w:rPr>
          <w:rFonts w:hint="eastAsia" w:ascii="楷体_GB2312" w:hAnsi="楷体_GB2312" w:eastAsia="楷体_GB2312" w:cs="楷体_GB2312"/>
          <w:b/>
          <w:bCs/>
          <w:sz w:val="32"/>
          <w:szCs w:val="32"/>
        </w:rPr>
        <w:t>积极培育新兴产业。</w:t>
      </w:r>
      <w:r>
        <w:rPr>
          <w:rStyle w:val="16"/>
          <w:rFonts w:hint="default" w:ascii="Times New Roman" w:hAnsi="Times New Roman" w:eastAsia="仿宋_GB2312" w:cs="Times New Roman"/>
          <w:b w:val="0"/>
          <w:bCs w:val="0"/>
          <w:color w:val="000000"/>
          <w:sz w:val="32"/>
          <w:szCs w:val="32"/>
          <w:lang w:val="en-US" w:eastAsia="zh-CN"/>
        </w:rPr>
        <w:t>培植壮大战略性新兴产业财源和新的税收增长点。</w:t>
      </w:r>
      <w:r>
        <w:rPr>
          <w:rStyle w:val="16"/>
          <w:rFonts w:ascii="Times New Roman" w:hAnsi="Times New Roman" w:eastAsia="仿宋_GB2312" w:cs="Times New Roman"/>
          <w:b w:val="0"/>
          <w:bCs w:val="0"/>
          <w:color w:val="000000"/>
          <w:sz w:val="32"/>
          <w:szCs w:val="32"/>
        </w:rPr>
        <w:t>新增省级研发平台1家、高新技术企业15家、省级专精特新“小巨人”企业6家、发明专利授权15个</w:t>
      </w:r>
      <w:r>
        <w:rPr>
          <w:rStyle w:val="16"/>
          <w:rFonts w:hint="eastAsia" w:ascii="Times New Roman" w:hAnsi="Times New Roman" w:eastAsia="仿宋_GB2312" w:cs="Times New Roman"/>
          <w:b w:val="0"/>
          <w:bCs w:val="0"/>
          <w:color w:val="000000"/>
          <w:sz w:val="32"/>
          <w:szCs w:val="32"/>
        </w:rPr>
        <w:t>。</w:t>
      </w:r>
      <w:r>
        <w:rPr>
          <w:rFonts w:hint="eastAsia" w:ascii="楷体_GB2312" w:hAnsi="楷体_GB2312" w:eastAsia="楷体_GB2312" w:cs="楷体_GB2312"/>
          <w:b/>
          <w:bCs/>
          <w:sz w:val="32"/>
          <w:szCs w:val="32"/>
        </w:rPr>
        <w:t>推动产业转型升级。</w:t>
      </w:r>
      <w:r>
        <w:rPr>
          <w:rStyle w:val="16"/>
          <w:rFonts w:hint="default" w:ascii="Times New Roman" w:hAnsi="Times New Roman" w:eastAsia="仿宋_GB2312" w:cs="Times New Roman"/>
          <w:b w:val="0"/>
          <w:bCs w:val="0"/>
          <w:color w:val="000000"/>
          <w:sz w:val="32"/>
          <w:szCs w:val="32"/>
          <w:lang w:val="en-US" w:eastAsia="zh-CN"/>
        </w:rPr>
        <w:t>围绕</w:t>
      </w:r>
      <w:r>
        <w:rPr>
          <w:rStyle w:val="16"/>
          <w:rFonts w:hint="eastAsia" w:ascii="Times New Roman" w:hAnsi="Times New Roman" w:eastAsia="仿宋_GB2312" w:cs="Times New Roman"/>
          <w:b w:val="0"/>
          <w:bCs w:val="0"/>
          <w:color w:val="000000"/>
          <w:sz w:val="32"/>
          <w:szCs w:val="32"/>
          <w:lang w:val="en-US" w:eastAsia="zh-CN"/>
        </w:rPr>
        <w:t>“</w:t>
      </w:r>
      <w:r>
        <w:rPr>
          <w:rStyle w:val="16"/>
          <w:rFonts w:hint="default" w:ascii="Times New Roman" w:hAnsi="Times New Roman" w:eastAsia="仿宋_GB2312" w:cs="Times New Roman"/>
          <w:b w:val="0"/>
          <w:bCs w:val="0"/>
          <w:color w:val="000000"/>
          <w:sz w:val="32"/>
          <w:szCs w:val="32"/>
          <w:lang w:val="en-US" w:eastAsia="zh-CN"/>
        </w:rPr>
        <w:t>一主一特</w:t>
      </w:r>
      <w:r>
        <w:rPr>
          <w:rStyle w:val="16"/>
          <w:rFonts w:hint="eastAsia" w:ascii="Times New Roman" w:hAnsi="Times New Roman" w:eastAsia="仿宋_GB2312" w:cs="Times New Roman"/>
          <w:b w:val="0"/>
          <w:bCs w:val="0"/>
          <w:color w:val="000000"/>
          <w:sz w:val="32"/>
          <w:szCs w:val="32"/>
          <w:lang w:val="en-US" w:eastAsia="zh-CN"/>
        </w:rPr>
        <w:t>”</w:t>
      </w:r>
      <w:r>
        <w:rPr>
          <w:rStyle w:val="16"/>
          <w:rFonts w:hint="default" w:ascii="Times New Roman" w:hAnsi="Times New Roman" w:eastAsia="仿宋_GB2312" w:cs="Times New Roman"/>
          <w:b w:val="0"/>
          <w:bCs w:val="0"/>
          <w:color w:val="000000"/>
          <w:sz w:val="32"/>
          <w:szCs w:val="32"/>
          <w:lang w:val="en-US" w:eastAsia="zh-CN"/>
        </w:rPr>
        <w:t>产业发展思路，</w:t>
      </w:r>
      <w:r>
        <w:rPr>
          <w:rStyle w:val="16"/>
          <w:rFonts w:hint="eastAsia" w:ascii="Times New Roman" w:hAnsi="Times New Roman" w:eastAsia="仿宋_GB2312" w:cs="Times New Roman"/>
          <w:b w:val="0"/>
          <w:bCs w:val="0"/>
          <w:color w:val="000000"/>
          <w:sz w:val="32"/>
          <w:szCs w:val="32"/>
          <w:lang w:val="en-US" w:eastAsia="zh-CN"/>
        </w:rPr>
        <w:t>工业</w:t>
      </w:r>
      <w:r>
        <w:rPr>
          <w:rStyle w:val="16"/>
          <w:rFonts w:hint="default" w:ascii="Times New Roman" w:hAnsi="Times New Roman" w:eastAsia="仿宋_GB2312" w:cs="Times New Roman"/>
          <w:b w:val="0"/>
          <w:bCs w:val="0"/>
          <w:color w:val="000000"/>
          <w:sz w:val="32"/>
          <w:szCs w:val="32"/>
          <w:lang w:val="en-US" w:eastAsia="zh-CN"/>
        </w:rPr>
        <w:t>产业成型起势</w:t>
      </w:r>
      <w:r>
        <w:rPr>
          <w:rStyle w:val="16"/>
          <w:rFonts w:hint="eastAsia" w:ascii="Times New Roman" w:hAnsi="Times New Roman" w:eastAsia="仿宋_GB2312" w:cs="Times New Roman"/>
          <w:b w:val="0"/>
          <w:bCs w:val="0"/>
          <w:color w:val="000000"/>
          <w:sz w:val="32"/>
          <w:szCs w:val="32"/>
          <w:lang w:val="en-US" w:eastAsia="zh-CN"/>
        </w:rPr>
        <w:t>，共完成</w:t>
      </w:r>
      <w:r>
        <w:rPr>
          <w:rStyle w:val="16"/>
          <w:rFonts w:hint="default" w:ascii="Times New Roman" w:hAnsi="Times New Roman" w:eastAsia="仿宋_GB2312" w:cs="Times New Roman"/>
          <w:b w:val="0"/>
          <w:bCs w:val="0"/>
          <w:color w:val="000000"/>
          <w:sz w:val="32"/>
          <w:szCs w:val="32"/>
          <w:lang w:val="en-US" w:eastAsia="zh-CN"/>
        </w:rPr>
        <w:t>产值95.87亿元，占园区总产值的79.6%。</w:t>
      </w:r>
      <w:r>
        <w:rPr>
          <w:rStyle w:val="16"/>
          <w:rFonts w:hint="eastAsia" w:ascii="Times New Roman" w:hAnsi="Times New Roman" w:eastAsia="仿宋_GB2312" w:cs="Times New Roman"/>
          <w:b w:val="0"/>
          <w:bCs w:val="0"/>
          <w:color w:val="000000"/>
          <w:sz w:val="32"/>
          <w:szCs w:val="32"/>
          <w:lang w:val="en-US" w:eastAsia="zh-CN"/>
        </w:rPr>
        <w:t>其中，</w:t>
      </w:r>
      <w:r>
        <w:rPr>
          <w:rStyle w:val="16"/>
          <w:rFonts w:hint="default" w:ascii="Times New Roman" w:hAnsi="Times New Roman" w:eastAsia="仿宋_GB2312" w:cs="Times New Roman"/>
          <w:b w:val="0"/>
          <w:bCs w:val="0"/>
          <w:color w:val="000000"/>
          <w:sz w:val="32"/>
          <w:szCs w:val="32"/>
          <w:lang w:val="en-US" w:eastAsia="zh-CN"/>
        </w:rPr>
        <w:t>国能永州电厂年发电量88.11亿度，实现税收2.31亿元</w:t>
      </w:r>
      <w:r>
        <w:rPr>
          <w:rStyle w:val="16"/>
          <w:rFonts w:hint="eastAsia" w:ascii="Times New Roman" w:hAnsi="Times New Roman" w:eastAsia="仿宋_GB2312" w:cs="Times New Roman"/>
          <w:b w:val="0"/>
          <w:bCs w:val="0"/>
          <w:color w:val="000000"/>
          <w:sz w:val="32"/>
          <w:szCs w:val="32"/>
          <w:lang w:val="en-US" w:eastAsia="zh-CN"/>
        </w:rPr>
        <w:t>。</w:t>
      </w:r>
      <w:r>
        <w:rPr>
          <w:rStyle w:val="16"/>
          <w:rFonts w:hint="default" w:ascii="Times New Roman" w:hAnsi="Times New Roman" w:eastAsia="仿宋_GB2312" w:cs="Times New Roman"/>
          <w:b w:val="0"/>
          <w:bCs w:val="0"/>
          <w:color w:val="000000"/>
          <w:sz w:val="32"/>
          <w:szCs w:val="32"/>
          <w:lang w:val="en-US" w:eastAsia="zh-CN"/>
        </w:rPr>
        <w:t>楚门乐器等15个工业项目建成投产，电厂热能综合利用产业园等4个投资过10亿元的工业项目有序推进，吉他产业园正式开园</w:t>
      </w:r>
      <w:r>
        <w:rPr>
          <w:rStyle w:val="16"/>
          <w:rFonts w:hint="eastAsia" w:ascii="Times New Roman" w:hAnsi="Times New Roman" w:eastAsia="仿宋_GB2312" w:cs="Times New Roman"/>
          <w:b w:val="0"/>
          <w:bCs w:val="0"/>
          <w:color w:val="000000"/>
          <w:sz w:val="32"/>
          <w:szCs w:val="32"/>
          <w:lang w:val="en-US" w:eastAsia="zh-CN"/>
        </w:rPr>
        <w:t>，</w:t>
      </w:r>
      <w:r>
        <w:rPr>
          <w:rStyle w:val="16"/>
          <w:rFonts w:hint="default" w:ascii="Times New Roman" w:hAnsi="Times New Roman" w:eastAsia="仿宋_GB2312" w:cs="Times New Roman"/>
          <w:b w:val="0"/>
          <w:bCs w:val="0"/>
          <w:color w:val="000000"/>
          <w:sz w:val="32"/>
          <w:szCs w:val="32"/>
          <w:lang w:val="en-US" w:eastAsia="zh-CN"/>
        </w:rPr>
        <w:t>湘江科技在新三板成功上市</w:t>
      </w:r>
      <w:r>
        <w:rPr>
          <w:rStyle w:val="16"/>
          <w:rFonts w:hint="eastAsia" w:ascii="Times New Roman" w:hAnsi="Times New Roman" w:eastAsia="仿宋_GB2312" w:cs="Times New Roman"/>
          <w:b w:val="0"/>
          <w:bCs w:val="0"/>
          <w:color w:val="000000"/>
          <w:sz w:val="32"/>
          <w:szCs w:val="32"/>
          <w:lang w:val="en-US" w:eastAsia="zh-CN"/>
        </w:rPr>
        <w:t>，</w:t>
      </w:r>
      <w:r>
        <w:rPr>
          <w:rStyle w:val="16"/>
          <w:rFonts w:hint="default" w:ascii="Times New Roman" w:hAnsi="Times New Roman" w:eastAsia="仿宋_GB2312" w:cs="Times New Roman"/>
          <w:b w:val="0"/>
          <w:bCs w:val="0"/>
          <w:color w:val="000000"/>
          <w:sz w:val="32"/>
          <w:szCs w:val="32"/>
          <w:lang w:val="en-US" w:eastAsia="zh-CN"/>
        </w:rPr>
        <w:t>红狮水泥入选国家级绿色工厂</w:t>
      </w:r>
      <w:r>
        <w:rPr>
          <w:rStyle w:val="16"/>
          <w:rFonts w:hint="eastAsia" w:ascii="Times New Roman" w:hAnsi="Times New Roman" w:eastAsia="仿宋_GB2312" w:cs="Times New Roman"/>
          <w:b w:val="0"/>
          <w:bCs w:val="0"/>
          <w:color w:val="000000"/>
          <w:sz w:val="32"/>
          <w:szCs w:val="32"/>
          <w:lang w:val="en-US" w:eastAsia="zh-CN"/>
        </w:rPr>
        <w:t>，</w:t>
      </w:r>
      <w:r>
        <w:rPr>
          <w:rStyle w:val="16"/>
          <w:rFonts w:hint="default" w:ascii="Times New Roman" w:hAnsi="Times New Roman" w:eastAsia="仿宋_GB2312" w:cs="Times New Roman"/>
          <w:b w:val="0"/>
          <w:bCs w:val="0"/>
          <w:color w:val="000000"/>
          <w:sz w:val="32"/>
          <w:szCs w:val="32"/>
          <w:lang w:val="en-US" w:eastAsia="zh-CN"/>
        </w:rPr>
        <w:t>兴发保温岩棉板材料入选国家级绿色设计产品。</w:t>
      </w:r>
    </w:p>
    <w:p>
      <w:pPr>
        <w:autoSpaceDE w:val="0"/>
        <w:spacing w:line="570" w:lineRule="exact"/>
        <w:ind w:firstLine="630" w:firstLineChars="196"/>
        <w:rPr>
          <w:rStyle w:val="27"/>
          <w:rFonts w:ascii="楷体_GB2312" w:hAnsi="楷体_GB2312" w:eastAsia="楷体_GB2312" w:cs="楷体_GB2312"/>
          <w:b/>
          <w:kern w:val="0"/>
          <w:sz w:val="32"/>
          <w:szCs w:val="32"/>
        </w:rPr>
      </w:pPr>
      <w:r>
        <w:rPr>
          <w:rStyle w:val="27"/>
          <w:rFonts w:hint="eastAsia" w:ascii="楷体_GB2312" w:hAnsi="楷体_GB2312" w:eastAsia="楷体_GB2312" w:cs="楷体_GB2312"/>
          <w:b/>
          <w:kern w:val="0"/>
          <w:sz w:val="32"/>
          <w:szCs w:val="32"/>
        </w:rPr>
        <w:t>（二）稳收支，强发展，推进财政平稳运行</w:t>
      </w:r>
    </w:p>
    <w:p>
      <w:pPr>
        <w:autoSpaceDE w:val="0"/>
        <w:spacing w:line="570" w:lineRule="exact"/>
        <w:ind w:firstLine="627" w:firstLineChars="196"/>
        <w:rPr>
          <w:rFonts w:hint="eastAsia" w:ascii="仿宋_GB2312" w:eastAsia="仿宋_GB2312" w:cs="仿宋_GB2312"/>
          <w:color w:val="auto"/>
          <w:sz w:val="32"/>
          <w:szCs w:val="32"/>
        </w:rPr>
      </w:pPr>
      <w:r>
        <w:rPr>
          <w:rFonts w:hint="eastAsia" w:ascii="仿宋_GB2312" w:eastAsia="仿宋_GB2312" w:cs="仿宋_GB2312"/>
          <w:color w:val="auto"/>
          <w:sz w:val="32"/>
          <w:szCs w:val="32"/>
        </w:rPr>
        <w:t>2023年1-12月全县完成财政总收入166306万元，同比增加11057万元，增长7.12%。其中全县上划中央收入完成34613万元，同比增加6558.05万元，增长23.38%，上划省级收入9043万元，同比增加1675万元，增长22.73%；地方一般预算收入完成122650万元，同比增加2824万元，增长2.36%。从收入征管部门来看:税务部门完成129779万元，同比增加10131万元，增长8.47%；财政部门完成36527万元，同比增加926万元，增长2.60%。从地方收入结构看：地方税收收入完成86123万元，比上年同期增加1898万元，增长2.25%，占地方一般预算收入的比重为70.22%，较去年同期降低0.07个百分点；非税收入完成36527万元，同比增加926万元，增长2.60%。1-12月全县完成财政总支出644518万元（含政府性基金支出），其中全县一般公共预算支出431516万元，同比增加3.05%，其中社保等七项公共服务支出完成34.47亿元，按常住人口48.97万人计算，人均支出7039元，同比增长15.48%。保证了工资发放和民生民本等重点支出的需要。财政运行由风险橙色预警区进入黄色提示区。</w:t>
      </w:r>
    </w:p>
    <w:p>
      <w:pPr>
        <w:autoSpaceDE w:val="0"/>
        <w:spacing w:line="570" w:lineRule="exact"/>
        <w:ind w:firstLine="630" w:firstLineChars="196"/>
        <w:rPr>
          <w:rStyle w:val="27"/>
          <w:rFonts w:ascii="楷体_GB2312" w:hAnsi="楷体_GB2312" w:eastAsia="楷体_GB2312" w:cs="楷体_GB2312"/>
          <w:b/>
          <w:kern w:val="0"/>
          <w:sz w:val="32"/>
          <w:szCs w:val="32"/>
        </w:rPr>
      </w:pPr>
      <w:r>
        <w:rPr>
          <w:rStyle w:val="27"/>
          <w:rFonts w:hint="eastAsia" w:ascii="楷体_GB2312" w:hAnsi="楷体_GB2312" w:eastAsia="楷体_GB2312" w:cs="楷体_GB2312"/>
          <w:b/>
          <w:kern w:val="0"/>
          <w:sz w:val="32"/>
          <w:szCs w:val="32"/>
        </w:rPr>
        <w:t>（三）重绩效，优管理，强化预算管理效能</w:t>
      </w:r>
    </w:p>
    <w:p>
      <w:pPr>
        <w:autoSpaceDE w:val="0"/>
        <w:spacing w:line="57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在县区率先启动“绩效管理提升年”行动，</w:t>
      </w:r>
      <w:r>
        <w:rPr>
          <w:rFonts w:hint="eastAsia" w:ascii="仿宋_GB2312" w:hAnsi="仿宋_GB2312" w:eastAsia="仿宋_GB2312" w:cs="仿宋_GB2312"/>
          <w:sz w:val="32"/>
          <w:szCs w:val="32"/>
        </w:rPr>
        <w:t>聚焦绩效管理流程规范化，突出向前发力，将绩效事前评估作为新增项目的必要条件，评估结果与预算安排、政策制定和调整挂钩，从源头上突出绩效管理，避免资金的无效、低效投入。</w:t>
      </w:r>
      <w:r>
        <w:rPr>
          <w:rFonts w:hint="eastAsia" w:ascii="仿宋_GB2312" w:hAnsi="仿宋_GB2312" w:eastAsia="仿宋_GB2312" w:cs="仿宋_GB2312"/>
          <w:kern w:val="0"/>
          <w:sz w:val="32"/>
          <w:szCs w:val="32"/>
        </w:rPr>
        <w:t>对所有纳入预算绩效管理的146个项目支出和110个部门整体支出都进行绩效自评，实现一般公共预算支出绩效评价全覆盖。举办了全市预算管理一体化系统绩效模块上线培训会，邀请省财政厅领导到县授课指导，相关工作获得省厅领导肯定。持续宣传财政部门典型管理经验和优秀做法，</w:t>
      </w:r>
      <w:r>
        <w:rPr>
          <w:rFonts w:hint="eastAsia" w:ascii="仿宋_GB2312" w:hAnsi="仿宋_GB2312" w:eastAsia="仿宋_GB2312" w:cs="仿宋_GB2312"/>
          <w:color w:val="auto"/>
          <w:kern w:val="0"/>
          <w:sz w:val="32"/>
          <w:szCs w:val="32"/>
        </w:rPr>
        <w:t>1-1</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月共在中央媒体发稿</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篇，在省级媒体发稿2</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篇。积极在内部刊物发表文章，1-1</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月在《中国财政》上稿2篇，在《湖南财政监督动态》上稿2篇、《湖南省“三高四新”财源建设工程联席会议办公室工作简报》上稿4篇。</w:t>
      </w:r>
    </w:p>
    <w:p>
      <w:pPr>
        <w:autoSpaceDE w:val="0"/>
        <w:spacing w:line="570" w:lineRule="exact"/>
        <w:ind w:firstLine="630" w:firstLineChars="196"/>
        <w:rPr>
          <w:rStyle w:val="27"/>
          <w:rFonts w:ascii="楷体_GB2312" w:hAnsi="楷体_GB2312" w:eastAsia="楷体_GB2312" w:cs="楷体_GB2312"/>
          <w:b/>
          <w:kern w:val="0"/>
          <w:sz w:val="32"/>
          <w:szCs w:val="32"/>
        </w:rPr>
      </w:pPr>
      <w:r>
        <w:rPr>
          <w:rStyle w:val="27"/>
          <w:rFonts w:hint="eastAsia" w:ascii="楷体_GB2312" w:hAnsi="楷体_GB2312" w:eastAsia="楷体_GB2312" w:cs="楷体_GB2312"/>
          <w:b/>
          <w:kern w:val="0"/>
          <w:sz w:val="32"/>
          <w:szCs w:val="32"/>
        </w:rPr>
        <w:t>（四）争资金，控风险，保障经济发展质量</w:t>
      </w:r>
    </w:p>
    <w:p>
      <w:pPr>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今年来，我县共争取债券资金13.01亿元；其中：新增一般债券1.28亿元、新增专项债券11.73亿元。加</w:t>
      </w:r>
      <w:r>
        <w:rPr>
          <w:rFonts w:hint="eastAsia" w:ascii="仿宋_GB2312" w:eastAsia="仿宋_GB2312"/>
          <w:sz w:val="32"/>
          <w:szCs w:val="32"/>
        </w:rPr>
        <w:t>强与各业务部门紧密合作，互通信息，千方百计创造条件向上级争取资金。</w:t>
      </w:r>
      <w:r>
        <w:rPr>
          <w:rFonts w:hint="eastAsia" w:ascii="仿宋_GB2312" w:hAnsi="仿宋_GB2312" w:eastAsia="仿宋_GB2312" w:cs="仿宋_GB2312"/>
          <w:kern w:val="0"/>
          <w:sz w:val="32"/>
          <w:szCs w:val="32"/>
        </w:rPr>
        <w:t>全县共争取农口系统强农惠农项目资金</w:t>
      </w:r>
      <w:r>
        <w:rPr>
          <w:rFonts w:hint="eastAsia" w:ascii="仿宋_GB2312" w:hAnsi="仿宋_GB2312" w:eastAsia="仿宋_GB2312" w:cs="仿宋_GB2312"/>
          <w:kern w:val="0"/>
          <w:sz w:val="32"/>
          <w:szCs w:val="32"/>
          <w:lang w:val="en-US" w:eastAsia="zh-CN"/>
        </w:rPr>
        <w:t>30397</w:t>
      </w:r>
      <w:r>
        <w:rPr>
          <w:rFonts w:hint="eastAsia" w:ascii="仿宋_GB2312" w:hAnsi="仿宋_GB2312" w:eastAsia="仿宋_GB2312" w:cs="仿宋_GB2312"/>
          <w:kern w:val="0"/>
          <w:sz w:val="32"/>
          <w:szCs w:val="32"/>
        </w:rPr>
        <w:t>万元，争取教育专项资金16</w:t>
      </w:r>
      <w:r>
        <w:rPr>
          <w:rFonts w:hint="eastAsia" w:ascii="仿宋_GB2312" w:hAnsi="仿宋_GB2312" w:eastAsia="仿宋_GB2312" w:cs="仿宋_GB2312"/>
          <w:kern w:val="0"/>
          <w:sz w:val="32"/>
          <w:szCs w:val="32"/>
          <w:lang w:val="en-US" w:eastAsia="zh-CN"/>
        </w:rPr>
        <w:t>023</w:t>
      </w:r>
      <w:r>
        <w:rPr>
          <w:rFonts w:hint="eastAsia" w:ascii="仿宋_GB2312" w:hAnsi="仿宋_GB2312" w:eastAsia="仿宋_GB2312" w:cs="仿宋_GB2312"/>
          <w:kern w:val="0"/>
          <w:sz w:val="32"/>
          <w:szCs w:val="32"/>
        </w:rPr>
        <w:t>万元。进一步防范化解风险，目前未发生系统性财政风险，维护了政府良好声誉。</w:t>
      </w:r>
    </w:p>
    <w:p>
      <w:pPr>
        <w:autoSpaceDE w:val="0"/>
        <w:spacing w:line="570" w:lineRule="exact"/>
        <w:ind w:firstLine="630" w:firstLineChars="196"/>
        <w:rPr>
          <w:rStyle w:val="27"/>
          <w:rFonts w:ascii="楷体_GB2312" w:hAnsi="楷体_GB2312" w:eastAsia="楷体_GB2312" w:cs="楷体_GB2312"/>
          <w:b/>
          <w:kern w:val="0"/>
          <w:sz w:val="32"/>
          <w:szCs w:val="32"/>
        </w:rPr>
      </w:pPr>
      <w:r>
        <w:rPr>
          <w:rStyle w:val="27"/>
          <w:rFonts w:hint="eastAsia" w:ascii="楷体_GB2312" w:hAnsi="楷体_GB2312" w:eastAsia="楷体_GB2312" w:cs="楷体_GB2312"/>
          <w:b/>
          <w:kern w:val="0"/>
          <w:sz w:val="32"/>
          <w:szCs w:val="32"/>
        </w:rPr>
        <w:t>（五）重监管，强约束，聚力加强监督管理</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切实发挥财政监督的积极作用，</w:t>
      </w:r>
      <w:r>
        <w:rPr>
          <w:rFonts w:hint="eastAsia" w:ascii="仿宋_GB2312" w:eastAsia="仿宋_GB2312"/>
          <w:sz w:val="32"/>
          <w:szCs w:val="32"/>
        </w:rPr>
        <w:t>对全县2015年—2022年惠农补贴资金自查自纠情况开展专项检查，</w:t>
      </w:r>
      <w:r>
        <w:rPr>
          <w:rFonts w:hint="eastAsia" w:ascii="仿宋_GB2312" w:hAnsi="仿宋_GB2312" w:eastAsia="仿宋_GB2312" w:cs="仿宋_GB2312"/>
          <w:kern w:val="0"/>
          <w:sz w:val="32"/>
          <w:szCs w:val="32"/>
        </w:rPr>
        <w:t>对16个乡镇（场）69个村（社区）开展了惠农补贴资金专项检查；对109个单位开展了违规发放奖金补助检查；对46个单位开展非税收入和票据专项检查；对12个单位开展财务收支专项交叉检查。检查发现：违规违纪户数129户，查出各类违规违纪资金4906.17万元。依据相关法律法规，要求被检查单位对检查发现的问题进行了全面整改落实，并对查处的违纪违规行为进行了严肃处理，追回财政资金240.12万元。牢固树立过“紧日子”思想，坚持精打细算、勤俭节约，从</w:t>
      </w:r>
      <w:r>
        <w:rPr>
          <w:rFonts w:hint="eastAsia" w:ascii="仿宋_GB2312" w:hAnsi="仿宋_GB2312" w:eastAsia="仿宋_GB2312" w:cs="仿宋_GB2312"/>
          <w:sz w:val="32"/>
          <w:szCs w:val="32"/>
        </w:rPr>
        <w:t>严控制会议费、差旅费、劳务费、委托业务费等支出。根据项目轻重缓急以及预算评审、绩效评价等情况，对年初预算进行认真梳理，进一步压减非急需、非刚性支出、稍减或取消低效无效资金。通过制度化、日常化措施倒逼全县上下树立“过紧日子”思想。今年各预算单位公用经费减少20%，节约4385万元。扎实开展投资评审，1-1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月，项目预算送审金额9.68亿元，审定金额8.21亿元，核减金额1.47亿元，核减率1</w:t>
      </w:r>
      <w:r>
        <w:rPr>
          <w:rFonts w:hint="eastAsia" w:ascii="仿宋_GB2312" w:hAnsi="仿宋_GB2312" w:eastAsia="仿宋_GB2312" w:cs="仿宋_GB2312"/>
          <w:sz w:val="32"/>
          <w:szCs w:val="32"/>
          <w:lang w:val="en-US" w:eastAsia="zh-CN"/>
        </w:rPr>
        <w:t>5.18</w:t>
      </w:r>
      <w:r>
        <w:rPr>
          <w:rFonts w:hint="eastAsia" w:ascii="仿宋_GB2312" w:hAnsi="仿宋_GB2312" w:eastAsia="仿宋_GB2312" w:cs="仿宋_GB2312"/>
          <w:sz w:val="32"/>
          <w:szCs w:val="32"/>
        </w:rPr>
        <w:t>%；项目结算送审金额3.06亿元，审定金额2.73亿元，核减金额0.33亿元，核减率</w:t>
      </w:r>
      <w:r>
        <w:rPr>
          <w:rFonts w:hint="eastAsia" w:ascii="仿宋_GB2312" w:hAnsi="仿宋_GB2312" w:eastAsia="仿宋_GB2312" w:cs="仿宋_GB2312"/>
          <w:sz w:val="32"/>
          <w:szCs w:val="32"/>
          <w:lang w:val="en-US" w:eastAsia="zh-CN"/>
        </w:rPr>
        <w:t>10.78</w:t>
      </w:r>
      <w:r>
        <w:rPr>
          <w:rFonts w:hint="eastAsia" w:ascii="仿宋_GB2312" w:hAnsi="仿宋_GB2312" w:eastAsia="仿宋_GB2312" w:cs="仿宋_GB2312"/>
          <w:sz w:val="32"/>
          <w:szCs w:val="32"/>
        </w:rPr>
        <w:t>%。提升了财政资金使用效益。</w:t>
      </w:r>
    </w:p>
    <w:p>
      <w:pPr>
        <w:autoSpaceDE w:val="0"/>
        <w:spacing w:line="570" w:lineRule="exact"/>
        <w:ind w:firstLine="630" w:firstLineChars="196"/>
        <w:rPr>
          <w:rStyle w:val="27"/>
          <w:rFonts w:ascii="楷体_GB2312" w:hAnsi="楷体_GB2312" w:eastAsia="楷体_GB2312" w:cs="楷体_GB2312"/>
          <w:b/>
          <w:kern w:val="0"/>
          <w:sz w:val="32"/>
          <w:szCs w:val="32"/>
        </w:rPr>
      </w:pPr>
      <w:r>
        <w:rPr>
          <w:rStyle w:val="27"/>
          <w:rFonts w:hint="eastAsia" w:ascii="楷体_GB2312" w:hAnsi="楷体_GB2312" w:eastAsia="楷体_GB2312" w:cs="楷体_GB2312"/>
          <w:b/>
          <w:kern w:val="0"/>
          <w:sz w:val="32"/>
          <w:szCs w:val="32"/>
        </w:rPr>
        <w:t>（六）抓重点，促清理，大力盘活国有三资</w:t>
      </w:r>
    </w:p>
    <w:p>
      <w:pPr>
        <w:adjustRightInd w:val="0"/>
        <w:snapToGrid w:val="0"/>
        <w:spacing w:line="570" w:lineRule="exact"/>
        <w:ind w:firstLine="643" w:firstLineChars="200"/>
        <w:rPr>
          <w:rFonts w:ascii="仿宋_GB2312" w:eastAsia="仿宋_GB2312" w:cs="仿宋_GB2312"/>
          <w:color w:val="FF0000"/>
          <w:sz w:val="32"/>
          <w:szCs w:val="32"/>
        </w:rPr>
      </w:pPr>
      <w:r>
        <w:rPr>
          <w:rFonts w:hint="eastAsia" w:ascii="楷体_GB2312" w:hAnsi="楷体_GB2312" w:eastAsia="楷体_GB2312" w:cs="楷体_GB2312"/>
          <w:b/>
          <w:bCs/>
          <w:sz w:val="32"/>
          <w:szCs w:val="32"/>
        </w:rPr>
        <w:t>一是将矿产优势转化为财税优势。</w:t>
      </w:r>
      <w:r>
        <w:rPr>
          <w:rFonts w:hint="eastAsia" w:ascii="仿宋_GB2312" w:hAnsi="仿宋_GB2312" w:eastAsia="仿宋_GB2312" w:cs="仿宋_GB2312"/>
          <w:sz w:val="32"/>
          <w:szCs w:val="32"/>
        </w:rPr>
        <w:t>拟出让的5个石灰石矿采矿权，将有效推动“沉睡的资产资源”变为“增收的源头活水”，预计可实现矿产出让总价值17.38亿元。湘钢瑞和钙业、杨柳井矿处置等矿产资源的处置模式得到了省政府第三督察组和省市财政部门的肯定。《永州东安县：石灰石资源盘活闯出新路子》在省财政厅国有“三资”盘活作典型案例推介。</w:t>
      </w:r>
      <w:r>
        <w:rPr>
          <w:rFonts w:hint="eastAsia" w:ascii="楷体_GB2312" w:hAnsi="楷体_GB2312" w:eastAsia="楷体_GB2312" w:cs="楷体_GB2312"/>
          <w:b/>
          <w:bCs/>
          <w:sz w:val="32"/>
          <w:szCs w:val="32"/>
        </w:rPr>
        <w:t>二是将闲置资产转化为发展优势。</w:t>
      </w:r>
      <w:r>
        <w:rPr>
          <w:rFonts w:hint="eastAsia" w:ascii="仿宋_GB2312" w:hAnsi="仿宋_GB2312" w:eastAsia="仿宋_GB2312" w:cs="仿宋_GB2312"/>
          <w:sz w:val="32"/>
          <w:szCs w:val="32"/>
        </w:rPr>
        <w:t>将三资盘活与融合开发相结合，果决处置“僵尸企业”，斩断非法利益链条，不断提高“三资”利用效率。2023年1-12月，共盘活行政事业性低效国有资产62处，处置闲置土地11宗，处置三类低效用地1284.3亩，完成特许经营权授权2项，收回闲置低效资金3.68亿元。在建筑石料用灰岩矿开发过程中，将开采后的区域恢复成耕地，为我县增加1300亩的耕地指标，预计增收财政收入1.9亿元。</w:t>
      </w:r>
      <w:r>
        <w:rPr>
          <w:rFonts w:hint="eastAsia" w:ascii="楷体_GB2312" w:hAnsi="楷体_GB2312" w:eastAsia="楷体_GB2312" w:cs="楷体_GB2312"/>
          <w:b/>
          <w:bCs/>
          <w:sz w:val="32"/>
          <w:szCs w:val="32"/>
        </w:rPr>
        <w:t>三是将资源优势转化为平台优势。</w:t>
      </w:r>
      <w:r>
        <w:rPr>
          <w:rFonts w:hint="eastAsia" w:ascii="仿宋_GB2312" w:hAnsi="仿宋_GB2312" w:eastAsia="仿宋_GB2312" w:cs="仿宋_GB2312"/>
          <w:sz w:val="32"/>
          <w:szCs w:val="32"/>
        </w:rPr>
        <w:t>加快推进平台企业融合造“血”功能。县属平台企业以闲置资产、矿产、土地等资源形式入股湘钢集团东安钙产业园项目、湖南轨道集团；将政府所持农村商业的股份注入平台企业；投资425万元入股东安星龙村镇银行；投资270万元入股华润集团下属燃气公司；通过授予采砂特许经营权的方式，与市城发集团成立合资公司，共同开发湘江西源东安段近4公里、储量约300万吨的河砂，目前已达产达效。预计全年总收益约1.6亿元，每年分红700万元以上，产生税收约6000万元，实现平台收益约5000万元。进一步提升了平台企业市场化运营能力和风险防范能力。</w:t>
      </w:r>
    </w:p>
    <w:p>
      <w:pPr>
        <w:adjustRightInd w:val="0"/>
        <w:snapToGrid w:val="0"/>
        <w:spacing w:line="57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（七）学先进，谋赶超，奋力前行创先争优</w:t>
      </w:r>
    </w:p>
    <w:p>
      <w:pPr>
        <w:keepNext w:val="0"/>
        <w:keepLines w:val="0"/>
        <w:pageBreakBefore w:val="0"/>
        <w:widowControl/>
        <w:suppressLineNumbers w:val="0"/>
        <w:kinsoku/>
        <w:wordWrap/>
        <w:overflowPunct/>
        <w:topLinePunct w:val="0"/>
        <w:autoSpaceDN/>
        <w:bidi w:val="0"/>
        <w:spacing w:line="570" w:lineRule="exact"/>
        <w:ind w:firstLine="640" w:firstLineChars="200"/>
        <w:jc w:val="left"/>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立足财政局短板漏项，组织业务股室到先进兄弟县区观摩学习先进经验。全局上下树牢大局意识和“一盘棋”思想，凝心聚力谋发展，奋力争先创佳绩。2023年以来获得财政部部办会计报刊宣传工作先进集体、全省财政综合工作优秀单位、全省预算绩效管理水平优秀单位、全省债务管理先进单位、湖南省预算管理一体化建设考核情况通报表扬、湖南省财源建设工作成效突出单位、湖南省预算执行分析和财政决算工作通报表扬、湖南省预算管理一体化建设先进县市区（一等奖）、2022年度湖南省市县非税收入征管工作综合评价通报表扬、2022年度湖南省市县财会监督工作通报表扬、2022年度湖南省市县日常工作整体水平高质量评价通报表扬</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湖南省财政厅2023年度预算执行分析和财政决算工作通报表扬、2023年10月、11月湖南省预算管理一体化建设考核情况通报表扬、2023年财会培训工作先进县、</w:t>
      </w:r>
      <w:r>
        <w:rPr>
          <w:rFonts w:hint="default" w:ascii="仿宋_GB2312" w:eastAsia="仿宋_GB2312" w:cs="仿宋_GB2312"/>
          <w:color w:val="auto"/>
          <w:sz w:val="32"/>
          <w:szCs w:val="32"/>
          <w:lang w:val="en-US" w:eastAsia="zh-CN"/>
        </w:rPr>
        <w:t>2023</w:t>
      </w:r>
      <w:r>
        <w:rPr>
          <w:rFonts w:hint="eastAsia" w:ascii="仿宋_GB2312" w:eastAsia="仿宋_GB2312" w:cs="仿宋_GB2312"/>
          <w:color w:val="auto"/>
          <w:sz w:val="32"/>
          <w:szCs w:val="32"/>
          <w:lang w:val="en-US" w:eastAsia="zh-CN"/>
        </w:rPr>
        <w:t>年度市县清查处置盘活国有“三资”工作先进单位等</w:t>
      </w:r>
      <w:r>
        <w:rPr>
          <w:rFonts w:hint="eastAsia" w:ascii="仿宋_GB2312" w:eastAsia="仿宋_GB2312" w:cs="仿宋_GB2312"/>
          <w:color w:val="auto"/>
          <w:sz w:val="32"/>
          <w:szCs w:val="32"/>
        </w:rPr>
        <w:t>共计</w:t>
      </w:r>
      <w:r>
        <w:rPr>
          <w:rFonts w:hint="eastAsia" w:ascii="仿宋_GB2312" w:eastAsia="仿宋_GB2312" w:cs="仿宋_GB2312"/>
          <w:color w:val="auto"/>
          <w:sz w:val="32"/>
          <w:szCs w:val="32"/>
          <w:lang w:val="en-US" w:eastAsia="zh-CN"/>
        </w:rPr>
        <w:t>23</w:t>
      </w:r>
      <w:r>
        <w:rPr>
          <w:rFonts w:hint="eastAsia" w:ascii="仿宋_GB2312" w:eastAsia="仿宋_GB2312" w:cs="仿宋_GB2312"/>
          <w:color w:val="auto"/>
          <w:sz w:val="32"/>
          <w:szCs w:val="32"/>
        </w:rPr>
        <w:t>项省级以上荣誉。获得永州市</w:t>
      </w:r>
      <w:r>
        <w:rPr>
          <w:rFonts w:hint="eastAsia" w:ascii="仿宋_GB2312" w:eastAsia="仿宋_GB2312" w:cs="仿宋_GB2312"/>
          <w:color w:val="auto"/>
          <w:sz w:val="32"/>
          <w:szCs w:val="32"/>
          <w:lang w:val="en-US" w:eastAsia="zh-CN"/>
        </w:rPr>
        <w:t>2022年度</w:t>
      </w:r>
      <w:r>
        <w:rPr>
          <w:rFonts w:hint="eastAsia" w:ascii="仿宋_GB2312" w:eastAsia="仿宋_GB2312" w:cs="仿宋_GB2312"/>
          <w:color w:val="auto"/>
          <w:sz w:val="32"/>
          <w:szCs w:val="32"/>
        </w:rPr>
        <w:t>政府采购工作先进单位、</w:t>
      </w:r>
      <w:r>
        <w:rPr>
          <w:rFonts w:hint="eastAsia" w:ascii="仿宋_GB2312" w:eastAsia="仿宋_GB2312" w:cs="仿宋_GB2312"/>
          <w:color w:val="auto"/>
          <w:sz w:val="32"/>
          <w:szCs w:val="32"/>
          <w:lang w:val="en-US" w:eastAsia="zh-CN"/>
        </w:rPr>
        <w:t>2022年度</w:t>
      </w:r>
      <w:r>
        <w:rPr>
          <w:rFonts w:hint="eastAsia" w:ascii="仿宋_GB2312" w:eastAsia="仿宋_GB2312" w:cs="仿宋_GB2312"/>
          <w:color w:val="auto"/>
          <w:sz w:val="32"/>
          <w:szCs w:val="32"/>
        </w:rPr>
        <w:t>全市财政经建（资环）工作先进单位、</w:t>
      </w:r>
      <w:r>
        <w:rPr>
          <w:rFonts w:hint="eastAsia" w:ascii="仿宋_GB2312" w:eastAsia="仿宋_GB2312" w:cs="仿宋_GB2312"/>
          <w:color w:val="auto"/>
          <w:sz w:val="32"/>
          <w:szCs w:val="32"/>
          <w:lang w:val="en-US" w:eastAsia="zh-CN"/>
        </w:rPr>
        <w:t>2022年度</w:t>
      </w:r>
      <w:r>
        <w:rPr>
          <w:rFonts w:hint="eastAsia" w:ascii="仿宋_GB2312" w:eastAsia="仿宋_GB2312" w:cs="仿宋_GB2312"/>
          <w:color w:val="auto"/>
          <w:sz w:val="32"/>
          <w:szCs w:val="32"/>
        </w:rPr>
        <w:t>全市财政管理真抓实干工作优秀单位、</w:t>
      </w:r>
      <w:r>
        <w:rPr>
          <w:rFonts w:hint="eastAsia" w:ascii="仿宋_GB2312" w:eastAsia="仿宋_GB2312" w:cs="仿宋_GB2312"/>
          <w:color w:val="auto"/>
          <w:sz w:val="32"/>
          <w:szCs w:val="32"/>
          <w:lang w:val="en-US" w:eastAsia="zh-CN"/>
        </w:rPr>
        <w:t>2022年度</w:t>
      </w:r>
      <w:r>
        <w:rPr>
          <w:rFonts w:hint="eastAsia" w:ascii="仿宋_GB2312" w:eastAsia="仿宋_GB2312" w:cs="仿宋_GB2312"/>
          <w:color w:val="auto"/>
          <w:sz w:val="32"/>
          <w:szCs w:val="32"/>
        </w:rPr>
        <w:t>全市财源建设工作优秀单位、《政府工作报告》确定任务暨重点工作动态评价情况通报表扬</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2023年</w:t>
      </w:r>
      <w:r>
        <w:rPr>
          <w:rFonts w:hint="eastAsia" w:ascii="仿宋_GB2312" w:eastAsia="仿宋_GB2312" w:cs="仿宋_GB2312"/>
          <w:color w:val="auto"/>
          <w:sz w:val="32"/>
          <w:szCs w:val="32"/>
          <w:lang w:eastAsia="zh-CN"/>
        </w:rPr>
        <w:t>全市“互联网</w:t>
      </w:r>
      <w:r>
        <w:rPr>
          <w:rFonts w:hint="eastAsia" w:ascii="仿宋_GB2312" w:eastAsia="仿宋_GB2312" w:cs="仿宋_GB2312"/>
          <w:color w:val="auto"/>
          <w:sz w:val="32"/>
          <w:szCs w:val="32"/>
          <w:lang w:val="en-US" w:eastAsia="zh-CN"/>
        </w:rPr>
        <w:t>+监督”平台工作上半年通报表扬、2023年全市农担工作先进集体、2023年乡镇财政工作先进县、2023年度</w:t>
      </w:r>
      <w:r>
        <w:rPr>
          <w:rFonts w:hint="eastAsia" w:ascii="仿宋_GB2312" w:eastAsia="仿宋_GB2312" w:cs="仿宋_GB2312"/>
          <w:color w:val="auto"/>
          <w:sz w:val="32"/>
          <w:szCs w:val="32"/>
        </w:rPr>
        <w:t>全市财政经建（资环）工作先进单位</w:t>
      </w:r>
      <w:r>
        <w:rPr>
          <w:rFonts w:hint="eastAsia" w:ascii="仿宋_GB2312" w:eastAsia="仿宋_GB2312" w:cs="仿宋_GB2312"/>
          <w:color w:val="auto"/>
          <w:sz w:val="32"/>
          <w:szCs w:val="32"/>
          <w:lang w:eastAsia="zh-CN"/>
        </w:rPr>
        <w:t>等</w:t>
      </w:r>
      <w:r>
        <w:rPr>
          <w:rFonts w:hint="eastAsia" w:ascii="仿宋_GB2312" w:eastAsia="仿宋_GB2312" w:cs="仿宋_GB2312"/>
          <w:color w:val="auto"/>
          <w:sz w:val="32"/>
          <w:szCs w:val="32"/>
        </w:rPr>
        <w:t>共计</w:t>
      </w:r>
      <w:r>
        <w:rPr>
          <w:rFonts w:hint="eastAsia" w:ascii="仿宋_GB2312" w:eastAsia="仿宋_GB2312" w:cs="仿宋_GB2312"/>
          <w:color w:val="auto"/>
          <w:sz w:val="32"/>
          <w:szCs w:val="32"/>
          <w:lang w:val="en-US" w:eastAsia="zh-CN"/>
        </w:rPr>
        <w:t>11</w:t>
      </w:r>
      <w:r>
        <w:rPr>
          <w:rFonts w:hint="eastAsia" w:ascii="仿宋_GB2312" w:eastAsia="仿宋_GB2312" w:cs="仿宋_GB2312"/>
          <w:color w:val="auto"/>
          <w:sz w:val="32"/>
          <w:szCs w:val="32"/>
        </w:rPr>
        <w:t>项市级荣誉。</w:t>
      </w:r>
      <w:r>
        <w:rPr>
          <w:rFonts w:hint="eastAsia" w:ascii="仿宋_GB2312" w:eastAsia="仿宋_GB2312" w:cs="仿宋_GB2312"/>
          <w:color w:val="auto"/>
          <w:sz w:val="32"/>
          <w:szCs w:val="32"/>
          <w:lang w:val="en-US" w:eastAsia="zh-CN"/>
        </w:rPr>
        <w:t>全年未发生系统性财政风险，维护了政府良好声誉。坚守风险防范底线，持续做好打好“发展六仗”工作，2023年打好防范化解风险仗在全市排名第2。为我县“发展六仗”在市里考核中获表彰发扬了顶梁柱的作用，工作成效获得市</w:t>
      </w:r>
      <w:r>
        <w:rPr>
          <w:rFonts w:hint="eastAsia" w:ascii="仿宋_GB2312" w:eastAsia="仿宋_GB2312" w:cs="仿宋_GB2312"/>
          <w:color w:val="auto"/>
          <w:sz w:val="32"/>
          <w:szCs w:val="32"/>
        </w:rPr>
        <w:t>县领导认可。</w:t>
      </w:r>
    </w:p>
    <w:p>
      <w:pPr>
        <w:spacing w:line="57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二、工作中的差距和不足</w:t>
      </w:r>
    </w:p>
    <w:p>
      <w:pPr>
        <w:spacing w:line="570" w:lineRule="exact"/>
        <w:ind w:firstLine="643" w:firstLineChars="200"/>
        <w:rPr>
          <w:rFonts w:ascii="仿宋_GB2312" w:hAnsi="仿宋_GB2312" w:eastAsia="仿宋_GB2312" w:cs="仿宋_GB2312"/>
          <w:kern w:val="0"/>
          <w:sz w:val="32"/>
          <w:szCs w:val="32"/>
        </w:rPr>
      </w:pPr>
      <w:r>
        <w:rPr>
          <w:rStyle w:val="27"/>
          <w:rFonts w:hint="eastAsia" w:ascii="楷体_GB2312" w:hAnsi="楷体_GB2312" w:eastAsia="楷体_GB2312" w:cs="楷体_GB2312"/>
          <w:b/>
          <w:kern w:val="0"/>
          <w:sz w:val="32"/>
          <w:szCs w:val="32"/>
        </w:rPr>
        <w:t>（一）税收增收形势依然严峻。</w:t>
      </w:r>
      <w:r>
        <w:rPr>
          <w:rFonts w:hint="eastAsia" w:ascii="仿宋_GB2312" w:hAnsi="仿宋_GB2312" w:eastAsia="仿宋_GB2312" w:cs="仿宋_GB2312"/>
          <w:kern w:val="0"/>
          <w:sz w:val="32"/>
          <w:szCs w:val="32"/>
        </w:rPr>
        <w:t>基础财源薄弱，实体经济发展滞后。工业税收支撑作用不强，缺乏基础财源的工业骨干企业，税收增长持续性和稳定性有限。</w:t>
      </w:r>
    </w:p>
    <w:p>
      <w:pPr>
        <w:spacing w:line="570" w:lineRule="exact"/>
        <w:ind w:firstLine="643" w:firstLineChars="200"/>
        <w:rPr>
          <w:rFonts w:ascii="仿宋_GB2312" w:hAnsi="仿宋_GB2312" w:eastAsia="仿宋_GB2312" w:cs="仿宋_GB2312"/>
          <w:kern w:val="0"/>
          <w:sz w:val="32"/>
          <w:szCs w:val="32"/>
        </w:rPr>
      </w:pPr>
      <w:r>
        <w:rPr>
          <w:rStyle w:val="27"/>
          <w:rFonts w:hint="eastAsia" w:ascii="楷体_GB2312" w:hAnsi="楷体_GB2312" w:eastAsia="楷体_GB2312" w:cs="楷体_GB2312"/>
          <w:b/>
          <w:kern w:val="0"/>
          <w:sz w:val="32"/>
          <w:szCs w:val="32"/>
        </w:rPr>
        <w:t>（二）财政收支矛盾仍然突出。</w:t>
      </w:r>
      <w:r>
        <w:rPr>
          <w:rFonts w:hint="eastAsia" w:ascii="仿宋_GB2312" w:hAnsi="仿宋_GB2312" w:eastAsia="仿宋_GB2312" w:cs="仿宋_GB2312"/>
          <w:kern w:val="0"/>
          <w:sz w:val="32"/>
          <w:szCs w:val="32"/>
        </w:rPr>
        <w:t>我县财政收入与支出刚性增长的矛盾较为突出。我县财政总量虽然在不断增加，但剔除上划收入、非税收入，实际可用财力增长有限。</w:t>
      </w:r>
    </w:p>
    <w:p>
      <w:pPr>
        <w:spacing w:line="570" w:lineRule="exact"/>
        <w:ind w:firstLine="643" w:firstLineChars="200"/>
        <w:rPr>
          <w:rFonts w:ascii="仿宋_GB2312" w:hAnsi="仿宋_GB2312" w:eastAsia="仿宋_GB2312" w:cs="仿宋_GB2312"/>
          <w:kern w:val="0"/>
          <w:sz w:val="32"/>
          <w:szCs w:val="32"/>
        </w:rPr>
      </w:pPr>
      <w:r>
        <w:rPr>
          <w:rStyle w:val="27"/>
          <w:rFonts w:hint="eastAsia" w:ascii="楷体_GB2312" w:hAnsi="楷体_GB2312" w:eastAsia="楷体_GB2312" w:cs="楷体_GB2312"/>
          <w:b/>
          <w:kern w:val="0"/>
          <w:sz w:val="32"/>
          <w:szCs w:val="32"/>
        </w:rPr>
        <w:t>（三）政府性债务化解压力大。</w:t>
      </w:r>
      <w:r>
        <w:rPr>
          <w:rFonts w:hint="eastAsia" w:ascii="仿宋_GB2312" w:hAnsi="仿宋_GB2312" w:eastAsia="仿宋_GB2312" w:cs="仿宋_GB2312"/>
          <w:kern w:val="0"/>
          <w:sz w:val="32"/>
          <w:szCs w:val="32"/>
        </w:rPr>
        <w:t>全县政府性债务余额较大，2023年度省定化债任务未能完成，只能采取借新还旧的方式偿还，加大了政府债务利息支出压力。</w:t>
      </w:r>
    </w:p>
    <w:p>
      <w:pPr>
        <w:spacing w:line="57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三、2024年工作重点和谋划</w:t>
      </w:r>
    </w:p>
    <w:p>
      <w:pPr>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根据中央经济工作会议和全国财政工作会议精神，按照县委、县政府部署要求，2024财政部门将按照“聚财用财提质效，稳进结合谋发展”的思路，扎实做好全年工作。稳中求进，提高财政韧性；以进促稳，用好政策空间，助推东安经济社会高质量发展。</w:t>
      </w:r>
    </w:p>
    <w:p>
      <w:pPr>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在助力东安经济社会高质量发展的实践过程中，财政部门将积极在聚财、理财、用财上摸索“稳”“进”结合并走向良性循环的路径，不断激发优质要素的潜力。</w:t>
      </w:r>
    </w:p>
    <w:p>
      <w:pPr>
        <w:spacing w:line="57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从“稳”的维度看：</w:t>
      </w:r>
      <w:r>
        <w:rPr>
          <w:rStyle w:val="27"/>
          <w:rFonts w:hint="eastAsia" w:ascii="楷体_GB2312" w:hAnsi="楷体_GB2312" w:eastAsia="楷体_GB2312" w:cs="楷体_GB2312"/>
          <w:b/>
          <w:kern w:val="0"/>
          <w:sz w:val="32"/>
          <w:szCs w:val="32"/>
        </w:rPr>
        <w:t>（一）稳预期，打基础。</w:t>
      </w:r>
      <w:r>
        <w:rPr>
          <w:rFonts w:hint="eastAsia" w:ascii="仿宋_GB2312" w:hAnsi="仿宋_GB2312" w:eastAsia="仿宋_GB2312" w:cs="仿宋_GB2312"/>
          <w:sz w:val="32"/>
          <w:szCs w:val="32"/>
        </w:rPr>
        <w:t>2024年全县地方一般预算收入按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%安排。在抓征管的同时深入抓财源，补充财政可持续来源。</w:t>
      </w:r>
      <w:r>
        <w:rPr>
          <w:rFonts w:hint="eastAsia" w:ascii="仿宋_GB2312" w:hAnsi="仿宋_GB2312" w:eastAsia="仿宋_GB2312" w:cs="仿宋_GB2312"/>
          <w:kern w:val="0"/>
          <w:sz w:val="32"/>
          <w:szCs w:val="32"/>
        </w:rPr>
        <w:t>重招引，争项目。加大对招商引资的扶持力度，通过产业扶持等方式，以龙头带配套，构建上下游配套的产业链，形成产业集群，进一步培植壮大优质财源。同时及时掌握上级各类政策，主动配合单位（部门）推介优势项目、对接归口项目，多渠道争取各类基金、债券和专项资金对企业的支持。</w:t>
      </w:r>
      <w:r>
        <w:rPr>
          <w:rStyle w:val="27"/>
          <w:rFonts w:hint="eastAsia" w:ascii="楷体_GB2312" w:hAnsi="楷体_GB2312" w:eastAsia="楷体_GB2312" w:cs="楷体_GB2312"/>
          <w:b/>
          <w:kern w:val="0"/>
          <w:sz w:val="32"/>
          <w:szCs w:val="32"/>
        </w:rPr>
        <w:t>（二）控支出，守底线。</w:t>
      </w:r>
      <w:r>
        <w:rPr>
          <w:rFonts w:hint="eastAsia" w:ascii="仿宋_GB2312" w:hAnsi="仿宋_GB2312" w:eastAsia="仿宋_GB2312" w:cs="仿宋_GB2312"/>
          <w:kern w:val="0"/>
          <w:sz w:val="32"/>
          <w:szCs w:val="32"/>
        </w:rPr>
        <w:t>建立可持续的财政保障机制。强化预算安排与执行匹配，提高预算执行刚性和精准度。本着财力可持续、收支可平衡、风险可控制的原则，从源头调控支出，压减一般性支出和非必要支出，增强财政可持续性，兜牢“三保”底线，抓好“三农”工作，保障社会和谐，兼顾发展和安全。</w:t>
      </w:r>
      <w:r>
        <w:rPr>
          <w:rStyle w:val="27"/>
          <w:rFonts w:hint="eastAsia" w:ascii="楷体_GB2312" w:hAnsi="楷体_GB2312" w:eastAsia="楷体_GB2312" w:cs="楷体_GB2312"/>
          <w:b/>
          <w:kern w:val="0"/>
          <w:sz w:val="32"/>
          <w:szCs w:val="32"/>
        </w:rPr>
        <w:t>（三）防风险，保稳定。</w:t>
      </w:r>
      <w:r>
        <w:rPr>
          <w:rFonts w:hint="eastAsia" w:ascii="仿宋_GB2312" w:hAnsi="仿宋_GB2312" w:eastAsia="仿宋_GB2312" w:cs="仿宋_GB2312"/>
          <w:kern w:val="0"/>
          <w:sz w:val="32"/>
          <w:szCs w:val="32"/>
        </w:rPr>
        <w:t>进一步加强政府性债务审核，加强对隐性债务的分析监控。在保证按期偿还限额内债务本息的情况下，按计划化解隐性债务存量，坚决遏制隐性债务增量，合理控制政府债务规模，阻断债务风险传递。整合资金支持加强生态文明建设，加大生态环境保护力度。</w:t>
      </w:r>
    </w:p>
    <w:p>
      <w:pPr>
        <w:pStyle w:val="2"/>
        <w:spacing w:line="570" w:lineRule="exact"/>
        <w:ind w:firstLine="643" w:firstLineChars="200"/>
        <w:rPr>
          <w:rFonts w:ascii="仿宋_GB2312" w:hAnsi="仿宋_GB2312" w:eastAsia="仿宋_GB2312" w:cs="仿宋_GB2312"/>
          <w:kern w:val="0"/>
        </w:rPr>
      </w:pPr>
      <w:r>
        <w:rPr>
          <w:rFonts w:hint="eastAsia" w:ascii="仿宋_GB2312" w:hAnsi="仿宋_GB2312" w:eastAsia="仿宋_GB2312" w:cs="仿宋_GB2312"/>
          <w:b/>
          <w:bCs/>
          <w:kern w:val="0"/>
        </w:rPr>
        <w:t>从“进”的维度看：</w:t>
      </w:r>
      <w:r>
        <w:rPr>
          <w:rStyle w:val="27"/>
          <w:rFonts w:hint="eastAsia" w:ascii="楷体_GB2312" w:hAnsi="楷体_GB2312" w:eastAsia="楷体_GB2312" w:cs="楷体_GB2312"/>
          <w:b/>
          <w:kern w:val="0"/>
        </w:rPr>
        <w:t>（一）强统筹，聚合力。</w:t>
      </w:r>
      <w:r>
        <w:rPr>
          <w:rFonts w:hint="eastAsia" w:ascii="仿宋_GB2312" w:hAnsi="仿宋_GB2312" w:eastAsia="仿宋_GB2312" w:cs="仿宋_GB2312"/>
          <w:kern w:val="0"/>
        </w:rPr>
        <w:t>加强对财政资源资金的统筹。</w:t>
      </w:r>
      <w:r>
        <w:rPr>
          <w:rStyle w:val="27"/>
          <w:rFonts w:hint="eastAsia" w:ascii="楷体_GB2312" w:hAnsi="楷体_GB2312" w:eastAsia="楷体_GB2312" w:cs="楷体_GB2312"/>
          <w:b/>
          <w:kern w:val="0"/>
        </w:rPr>
        <w:t>一是</w:t>
      </w:r>
      <w:r>
        <w:rPr>
          <w:rFonts w:hint="eastAsia" w:ascii="仿宋_GB2312" w:hAnsi="仿宋_GB2312" w:eastAsia="仿宋_GB2312" w:cs="仿宋_GB2312"/>
          <w:kern w:val="0"/>
        </w:rPr>
        <w:t>强化预算、绩效管理，提高财政资源配置效率、财政政策效能和资金使用效益。进一步强化预算刚性，加强资金项目前期论证和财政承受力评估，量力而行，提高精准度，把握政策尺度严控增量，考虑实际需要存量调配。持续推进绩效管理改革。依托预算管理一体化系统绩效模块，深入推进全覆盖绩效评价，合理利用评价结果，为以后年度安排预算、完善政策和改进管理提供重要依据，提高资金使用绩效，形成绩效管理闭环。</w:t>
      </w:r>
      <w:r>
        <w:rPr>
          <w:rStyle w:val="27"/>
          <w:rFonts w:hint="eastAsia" w:ascii="楷体_GB2312" w:hAnsi="楷体_GB2312" w:eastAsia="楷体_GB2312" w:cs="楷体_GB2312"/>
          <w:b/>
          <w:kern w:val="0"/>
        </w:rPr>
        <w:t>二是</w:t>
      </w:r>
      <w:r>
        <w:rPr>
          <w:rFonts w:hint="eastAsia" w:ascii="仿宋_GB2312" w:hAnsi="仿宋_GB2312" w:eastAsia="仿宋_GB2312" w:cs="仿宋_GB2312"/>
          <w:kern w:val="0"/>
        </w:rPr>
        <w:t>持续推进国有三资盘活工作。</w:t>
      </w:r>
      <w:r>
        <w:rPr>
          <w:rFonts w:hint="eastAsia" w:ascii="仿宋_GB2312" w:hAnsi="仿宋_GB2312" w:eastAsia="仿宋_GB2312" w:cs="仿宋_GB2312"/>
          <w:kern w:val="0"/>
          <w:lang w:val="zh-CN"/>
        </w:rPr>
        <w:t>摸清底数，科学分类，按“成熟一个、处置一个”的原则，</w:t>
      </w:r>
      <w:r>
        <w:rPr>
          <w:rFonts w:hint="eastAsia" w:ascii="仿宋_GB2312" w:hAnsi="仿宋_GB2312" w:eastAsia="仿宋_GB2312" w:cs="仿宋_GB2312"/>
          <w:kern w:val="0"/>
        </w:rPr>
        <w:t>推动“沉睡资源”变为“源头活水”</w:t>
      </w:r>
      <w:r>
        <w:rPr>
          <w:rFonts w:hint="eastAsia" w:ascii="仿宋_GB2312" w:hAnsi="仿宋_GB2312" w:eastAsia="仿宋_GB2312" w:cs="仿宋_GB2312"/>
          <w:kern w:val="0"/>
          <w:lang w:val="zh-CN"/>
        </w:rPr>
        <w:t>。盯紧</w:t>
      </w:r>
      <w:r>
        <w:rPr>
          <w:rFonts w:hint="eastAsia" w:ascii="仿宋_GB2312" w:hAnsi="仿宋_GB2312" w:eastAsia="仿宋_GB2312" w:cs="仿宋_GB2312"/>
          <w:kern w:val="0"/>
        </w:rPr>
        <w:t>已清查摸底的横古山灰岩、芦洪市镇砂岩矿和紫溪、水岭白云岩矿等8处采矿权，配合相关部门开展评估，尽快挂牌出让，力争实现矿产出让总价值8亿元。</w:t>
      </w:r>
      <w:r>
        <w:rPr>
          <w:rFonts w:hint="eastAsia" w:ascii="仿宋_GB2312" w:hAnsi="仿宋_GB2312" w:eastAsia="仿宋_GB2312" w:cs="仿宋_GB2312"/>
          <w:kern w:val="0"/>
          <w:lang w:val="zh-CN"/>
        </w:rPr>
        <w:t>创新盘活路径，</w:t>
      </w:r>
      <w:r>
        <w:rPr>
          <w:rFonts w:hint="eastAsia" w:ascii="仿宋_GB2312" w:hAnsi="仿宋_GB2312" w:eastAsia="仿宋_GB2312" w:cs="仿宋_GB2312"/>
          <w:kern w:val="0"/>
        </w:rPr>
        <w:t>将闲置的</w:t>
      </w:r>
      <w:r>
        <w:rPr>
          <w:rFonts w:hint="eastAsia" w:ascii="仿宋_GB2312" w:hAnsi="仿宋_GB2312" w:eastAsia="仿宋_GB2312" w:cs="仿宋_GB2312"/>
          <w:kern w:val="0"/>
          <w:lang w:val="zh-CN"/>
        </w:rPr>
        <w:t>行政事业性国有资产转化为经营性资产，盘活特许经营权资产资源，做强做实国有平台公司。</w:t>
      </w:r>
      <w:r>
        <w:rPr>
          <w:rStyle w:val="27"/>
          <w:rFonts w:hint="eastAsia" w:ascii="楷体_GB2312" w:hAnsi="楷体_GB2312" w:eastAsia="楷体_GB2312" w:cs="楷体_GB2312"/>
          <w:b/>
          <w:kern w:val="0"/>
        </w:rPr>
        <w:t>三是</w:t>
      </w:r>
      <w:r>
        <w:rPr>
          <w:rFonts w:hint="eastAsia" w:ascii="仿宋_GB2312" w:hAnsi="仿宋_GB2312" w:eastAsia="仿宋_GB2312" w:cs="仿宋_GB2312"/>
          <w:kern w:val="0"/>
          <w:lang w:val="zh-CN"/>
        </w:rPr>
        <w:t>积极争取政策资金倾斜。与上级部门保持良好沟通，合理预计全年财力水平，争取更多的均衡性转移支付支持，</w:t>
      </w:r>
      <w:r>
        <w:rPr>
          <w:rFonts w:ascii="仿宋_GB2312" w:hAnsi="仿宋_GB2312" w:eastAsia="仿宋_GB2312" w:cs="仿宋_GB2312"/>
          <w:kern w:val="0"/>
          <w:lang w:val="zh-CN"/>
        </w:rPr>
        <w:t>力争各项上级补助新增</w:t>
      </w:r>
      <w:r>
        <w:rPr>
          <w:rFonts w:hint="eastAsia" w:ascii="仿宋_GB2312" w:hAnsi="仿宋_GB2312" w:eastAsia="仿宋_GB2312" w:cs="仿宋_GB2312"/>
          <w:kern w:val="0"/>
          <w:lang w:val="zh-CN"/>
        </w:rPr>
        <w:t>1</w:t>
      </w:r>
      <w:r>
        <w:rPr>
          <w:rFonts w:ascii="仿宋_GB2312" w:hAnsi="仿宋_GB2312" w:eastAsia="仿宋_GB2312" w:cs="仿宋_GB2312"/>
          <w:kern w:val="0"/>
          <w:lang w:val="zh-CN"/>
        </w:rPr>
        <w:t>亿元以上</w:t>
      </w:r>
      <w:r>
        <w:rPr>
          <w:rFonts w:hint="eastAsia" w:ascii="仿宋_GB2312" w:hAnsi="仿宋_GB2312" w:eastAsia="仿宋_GB2312" w:cs="仿宋_GB2312"/>
          <w:kern w:val="0"/>
          <w:lang w:val="zh-CN"/>
        </w:rPr>
        <w:t>，</w:t>
      </w:r>
      <w:r>
        <w:rPr>
          <w:rFonts w:ascii="仿宋_GB2312" w:hAnsi="仿宋_GB2312" w:eastAsia="仿宋_GB2312" w:cs="仿宋_GB2312"/>
          <w:kern w:val="0"/>
          <w:lang w:val="zh-CN"/>
        </w:rPr>
        <w:t>债券资金</w:t>
      </w:r>
      <w:r>
        <w:rPr>
          <w:rFonts w:hint="eastAsia" w:ascii="仿宋_GB2312" w:hAnsi="仿宋_GB2312" w:eastAsia="仿宋_GB2312" w:cs="仿宋_GB2312"/>
          <w:kern w:val="0"/>
          <w:lang w:val="zh-CN"/>
        </w:rPr>
        <w:t>10</w:t>
      </w:r>
      <w:r>
        <w:rPr>
          <w:rFonts w:ascii="仿宋_GB2312" w:hAnsi="仿宋_GB2312" w:eastAsia="仿宋_GB2312" w:cs="仿宋_GB2312"/>
          <w:kern w:val="0"/>
          <w:lang w:val="zh-CN"/>
        </w:rPr>
        <w:t>亿元以上，</w:t>
      </w:r>
      <w:r>
        <w:rPr>
          <w:rFonts w:hint="eastAsia" w:ascii="仿宋_GB2312" w:hAnsi="仿宋_GB2312" w:eastAsia="仿宋_GB2312" w:cs="仿宋_GB2312"/>
          <w:kern w:val="0"/>
          <w:lang w:val="zh-CN"/>
        </w:rPr>
        <w:t>增加县级可用财力。</w:t>
      </w:r>
      <w:r>
        <w:rPr>
          <w:rStyle w:val="27"/>
          <w:rFonts w:hint="eastAsia" w:ascii="楷体_GB2312" w:hAnsi="楷体_GB2312" w:eastAsia="楷体_GB2312" w:cs="楷体_GB2312"/>
          <w:b/>
          <w:kern w:val="0"/>
        </w:rPr>
        <w:t>（二）优结构，稳信心。</w:t>
      </w:r>
      <w:r>
        <w:rPr>
          <w:rFonts w:hint="eastAsia" w:ascii="仿宋_GB2312" w:hAnsi="仿宋_GB2312" w:eastAsia="仿宋_GB2312" w:cs="仿宋_GB2312"/>
          <w:kern w:val="0"/>
        </w:rPr>
        <w:t>在国内整体预期转弱，市场信心不足的形势下，把握优化支出机构的时机，积极发挥财政逆周期对冲作用，做好财政承受力评估，聚焦经济发展和民生保障，平衡保障支出和发展支出，保证必要的支出强度，落实县委县政府重大决策部署，同时发挥财政资金撬动作用，引导带动社会投资，支持保障和改善民生，支持推进城乡融合，推进新型城镇化和乡村全面振兴有机结合，支持扩大县内需求，</w:t>
      </w:r>
      <w:r>
        <w:rPr>
          <w:rFonts w:ascii="仿宋_GB2312" w:hAnsi="仿宋_GB2312" w:eastAsia="仿宋_GB2312" w:cs="仿宋_GB2312"/>
          <w:kern w:val="0"/>
        </w:rPr>
        <w:t>形成财政资金和社会资金联手推动经济社会发展的局面</w:t>
      </w:r>
      <w:r>
        <w:rPr>
          <w:rFonts w:hint="eastAsia" w:ascii="仿宋_GB2312" w:hAnsi="仿宋_GB2312" w:eastAsia="仿宋_GB2312" w:cs="仿宋_GB2312"/>
          <w:kern w:val="0"/>
        </w:rPr>
        <w:t>，不断提振发展信心。</w:t>
      </w:r>
      <w:r>
        <w:rPr>
          <w:rStyle w:val="27"/>
          <w:rFonts w:hint="eastAsia" w:ascii="楷体_GB2312" w:hAnsi="楷体_GB2312" w:eastAsia="楷体_GB2312" w:cs="楷体_GB2312"/>
          <w:b/>
          <w:kern w:val="0"/>
        </w:rPr>
        <w:t>（三）突创新，提效能。一是</w:t>
      </w:r>
      <w:r>
        <w:rPr>
          <w:rFonts w:hint="eastAsia" w:ascii="仿宋_GB2312" w:hAnsi="仿宋_GB2312" w:eastAsia="仿宋_GB2312" w:cs="仿宋_GB2312"/>
          <w:kern w:val="0"/>
        </w:rPr>
        <w:t>数据赋能，打造智慧型税费征管新模式。通过财税库银横向联网，实现非税收入扫码入库、湘税社保一网通办、电子税务局掌上纳税的电子化税费征缴，依托大数据平台，加大社保、医保、耕地占用税等税费的收缴。</w:t>
      </w:r>
      <w:r>
        <w:rPr>
          <w:rStyle w:val="27"/>
          <w:rFonts w:hint="eastAsia" w:ascii="楷体_GB2312" w:hAnsi="楷体_GB2312" w:eastAsia="楷体_GB2312" w:cs="楷体_GB2312"/>
          <w:b/>
          <w:kern w:val="0"/>
        </w:rPr>
        <w:t>二是</w:t>
      </w:r>
      <w:r>
        <w:rPr>
          <w:rFonts w:hint="eastAsia" w:ascii="仿宋_GB2312" w:hAnsi="仿宋_GB2312" w:eastAsia="仿宋_GB2312" w:cs="仿宋_GB2312"/>
          <w:kern w:val="0"/>
        </w:rPr>
        <w:t>构建税费共治新格局。创新模式，建立“税务+乡镇”税费精诚共治体系。通过“县直部门+乡镇+村组”三级联动协作模式，建立“党政领导、税务主责、部门协作、社会协同、数据协力”的乡镇税费共治共享机制。以“小”某“大”，以小网格构建精准管理大格局。发挥部门协同共治，以基层税务网格员为主力军打造“税干+村干”双网格控管联动模式，以信息共享共联为基础，找出税费管理的“漏网之鱼”，重点对小砖厂等“五小”行业开展信息采集、巡查控管，堵塞零散税收流失漏洞。</w:t>
      </w:r>
      <w:r>
        <w:rPr>
          <w:rStyle w:val="27"/>
          <w:rFonts w:hint="eastAsia" w:ascii="楷体_GB2312" w:hAnsi="楷体_GB2312" w:eastAsia="楷体_GB2312" w:cs="楷体_GB2312"/>
          <w:b/>
          <w:kern w:val="0"/>
        </w:rPr>
        <w:t>（四）</w:t>
      </w:r>
      <w:r>
        <w:rPr>
          <w:rStyle w:val="27"/>
          <w:rFonts w:hint="eastAsia" w:ascii="楷体_GB2312" w:hAnsi="楷体_GB2312" w:eastAsia="楷体_GB2312" w:cs="楷体_GB2312"/>
          <w:b/>
          <w:kern w:val="0"/>
          <w:lang w:val="zh-CN"/>
        </w:rPr>
        <w:t>增动能</w:t>
      </w:r>
      <w:r>
        <w:rPr>
          <w:rStyle w:val="27"/>
          <w:rFonts w:hint="eastAsia" w:ascii="楷体_GB2312" w:hAnsi="楷体_GB2312" w:eastAsia="楷体_GB2312" w:cs="楷体_GB2312"/>
          <w:b/>
          <w:kern w:val="0"/>
        </w:rPr>
        <w:t>，争先进。</w:t>
      </w:r>
      <w:r>
        <w:rPr>
          <w:rFonts w:hint="eastAsia" w:ascii="仿宋_GB2312" w:hAnsi="仿宋_GB2312" w:eastAsia="仿宋_GB2312" w:cs="仿宋_GB2312"/>
          <w:kern w:val="0"/>
        </w:rPr>
        <w:t>积极</w:t>
      </w:r>
      <w:r>
        <w:rPr>
          <w:rFonts w:hint="eastAsia" w:ascii="仿宋_GB2312" w:hAnsi="仿宋_GB2312" w:eastAsia="仿宋_GB2312" w:cs="仿宋_GB2312"/>
          <w:kern w:val="0"/>
          <w:lang w:val="zh-CN"/>
        </w:rPr>
        <w:t>贯彻落实县委“五五一”发展思路，</w:t>
      </w:r>
      <w:r>
        <w:rPr>
          <w:rFonts w:hint="eastAsia" w:ascii="仿宋_GB2312" w:hAnsi="仿宋_GB2312" w:eastAsia="仿宋_GB2312" w:cs="仿宋_GB2312"/>
          <w:kern w:val="0"/>
        </w:rPr>
        <w:t>持续发扬创先争优精神，</w:t>
      </w:r>
      <w:r>
        <w:rPr>
          <w:rFonts w:hint="eastAsia" w:ascii="仿宋_GB2312" w:hAnsi="仿宋_GB2312" w:eastAsia="仿宋_GB2312" w:cs="仿宋_GB2312"/>
          <w:kern w:val="0"/>
          <w:lang w:val="zh-CN"/>
        </w:rPr>
        <w:t>锚定真抓实干工作目标，对标先进工作单位，深入查找工作不足，凝聚工作合力，补短板、强弱项、增动能、争先进，力争市级以上通报表扬</w:t>
      </w:r>
      <w:r>
        <w:rPr>
          <w:rFonts w:hint="eastAsia" w:ascii="仿宋_GB2312" w:hAnsi="仿宋_GB2312" w:eastAsia="仿宋_GB2312" w:cs="仿宋_GB2312"/>
          <w:kern w:val="0"/>
        </w:rPr>
        <w:t>5项以上，</w:t>
      </w:r>
      <w:r>
        <w:rPr>
          <w:rFonts w:hint="eastAsia" w:ascii="仿宋_GB2312" w:hAnsi="仿宋_GB2312" w:eastAsia="仿宋_GB2312" w:cs="仿宋_GB2312"/>
          <w:kern w:val="0"/>
          <w:lang w:val="zh-CN"/>
        </w:rPr>
        <w:t>努力以高涨的工作热情、积极的工作态度、优异的工作成绩为东安经济社会发展贡献财政力量。</w:t>
      </w:r>
    </w:p>
    <w:p>
      <w:pPr>
        <w:widowControl/>
        <w:ind w:firstLine="640" w:firstLineChars="200"/>
        <w:jc w:val="left"/>
        <w:rPr>
          <w:rFonts w:ascii="仿宋_GB2312" w:hAnsi="仿宋_GB2312" w:eastAsia="仿宋_GB2312" w:cs="仿宋_GB2312"/>
          <w:kern w:val="0"/>
          <w:sz w:val="32"/>
          <w:szCs w:val="32"/>
        </w:rPr>
      </w:pPr>
    </w:p>
    <w:p>
      <w:pPr>
        <w:pStyle w:val="7"/>
        <w:spacing w:line="570" w:lineRule="exact"/>
        <w:rPr>
          <w:rFonts w:ascii="仿宋_GB2312" w:hAnsi="仿宋_GB2312" w:eastAsia="仿宋_GB2312" w:cs="仿宋_GB2312"/>
          <w:kern w:val="0"/>
          <w:sz w:val="32"/>
          <w:szCs w:val="32"/>
        </w:rPr>
      </w:pPr>
    </w:p>
    <w:p/>
    <w:p>
      <w:pPr>
        <w:spacing w:line="570" w:lineRule="exact"/>
        <w:ind w:firstLine="4800" w:firstLineChars="15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东安县财政局</w:t>
      </w:r>
    </w:p>
    <w:p>
      <w:pPr>
        <w:pStyle w:val="2"/>
        <w:spacing w:line="570" w:lineRule="exact"/>
        <w:ind w:firstLine="4800" w:firstLineChars="1500"/>
      </w:pPr>
      <w:r>
        <w:rPr>
          <w:rFonts w:hint="eastAsia" w:ascii="仿宋_GB2312" w:hAnsi="仿宋_GB2312" w:eastAsia="仿宋_GB2312" w:cs="仿宋_GB2312"/>
          <w:kern w:val="0"/>
        </w:rPr>
        <w:t>202</w:t>
      </w:r>
      <w:r>
        <w:rPr>
          <w:rFonts w:hint="eastAsia" w:ascii="仿宋_GB2312" w:hAnsi="仿宋_GB2312" w:eastAsia="仿宋_GB2312" w:cs="仿宋_GB2312"/>
          <w:kern w:val="0"/>
          <w:lang w:val="en-US" w:eastAsia="zh-CN"/>
        </w:rPr>
        <w:t>4</w:t>
      </w:r>
      <w:r>
        <w:rPr>
          <w:rFonts w:hint="eastAsia" w:ascii="仿宋_GB2312" w:hAnsi="仿宋_GB2312" w:eastAsia="仿宋_GB2312" w:cs="仿宋_GB2312"/>
          <w:kern w:val="0"/>
        </w:rPr>
        <w:t>年</w:t>
      </w:r>
      <w:r>
        <w:rPr>
          <w:rFonts w:hint="eastAsia" w:ascii="仿宋_GB2312" w:hAnsi="仿宋_GB2312" w:eastAsia="仿宋_GB2312" w:cs="仿宋_GB2312"/>
          <w:kern w:val="0"/>
          <w:lang w:val="en-US" w:eastAsia="zh-CN"/>
        </w:rPr>
        <w:t>2</w:t>
      </w:r>
      <w:r>
        <w:rPr>
          <w:rFonts w:hint="eastAsia" w:ascii="仿宋_GB2312" w:hAnsi="仿宋_GB2312" w:eastAsia="仿宋_GB2312" w:cs="仿宋_GB2312"/>
          <w:kern w:val="0"/>
        </w:rPr>
        <w:t>月</w:t>
      </w:r>
      <w:r>
        <w:rPr>
          <w:rFonts w:hint="eastAsia" w:ascii="仿宋_GB2312" w:hAnsi="仿宋_GB2312" w:eastAsia="仿宋_GB2312" w:cs="仿宋_GB2312"/>
          <w:kern w:val="0"/>
          <w:lang w:val="en-US" w:eastAsia="zh-CN"/>
        </w:rPr>
        <w:t>4</w:t>
      </w:r>
      <w:bookmarkStart w:id="0" w:name="_GoBack"/>
      <w:bookmarkEnd w:id="0"/>
      <w:r>
        <w:rPr>
          <w:rFonts w:hint="eastAsia" w:ascii="仿宋_GB2312" w:hAnsi="仿宋_GB2312" w:eastAsia="仿宋_GB2312" w:cs="仿宋_GB2312"/>
          <w:kern w:val="0"/>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rect id="4097"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dblS0AAAAAUB&#10;AAAPAAAAAAAAAAEAIAAAACIAAABkcnMvZG93bnJldi54bWxQSwECFAAUAAAACACHTuJAfINJvLEB&#10;AACIAwAADgAAAAAAAAABACAAAAAfAQAAZHJzL2Uyb0RvYy54bWxQSwUGAAAAAAYABgBZAQAAQgUA&#10;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8</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MmZhYTgyNGVlY2E1MjgxYmRlZGEyZTgzMTViOWMifQ=="/>
  </w:docVars>
  <w:rsids>
    <w:rsidRoot w:val="006D18E2"/>
    <w:rsid w:val="00246B7F"/>
    <w:rsid w:val="006D18E2"/>
    <w:rsid w:val="00AA0C9B"/>
    <w:rsid w:val="00CB3CB2"/>
    <w:rsid w:val="00DD2091"/>
    <w:rsid w:val="00E47670"/>
    <w:rsid w:val="01FD609D"/>
    <w:rsid w:val="07C44EBE"/>
    <w:rsid w:val="0E8D51DB"/>
    <w:rsid w:val="0F287D51"/>
    <w:rsid w:val="13E40E6B"/>
    <w:rsid w:val="15D55902"/>
    <w:rsid w:val="18595F60"/>
    <w:rsid w:val="18820C52"/>
    <w:rsid w:val="19E576EB"/>
    <w:rsid w:val="1C5E1FE7"/>
    <w:rsid w:val="1FD44489"/>
    <w:rsid w:val="21543941"/>
    <w:rsid w:val="21A92A79"/>
    <w:rsid w:val="22C32FEA"/>
    <w:rsid w:val="22C91126"/>
    <w:rsid w:val="2387194A"/>
    <w:rsid w:val="257A5394"/>
    <w:rsid w:val="2F1C04D2"/>
    <w:rsid w:val="2F2D3FF0"/>
    <w:rsid w:val="2F5C77BF"/>
    <w:rsid w:val="32390A32"/>
    <w:rsid w:val="349475D0"/>
    <w:rsid w:val="37FD7218"/>
    <w:rsid w:val="39D709A6"/>
    <w:rsid w:val="3A155D47"/>
    <w:rsid w:val="3AC12A9E"/>
    <w:rsid w:val="3BD604A5"/>
    <w:rsid w:val="3C8A7639"/>
    <w:rsid w:val="3FC92285"/>
    <w:rsid w:val="407D3AFF"/>
    <w:rsid w:val="41033C84"/>
    <w:rsid w:val="420F499C"/>
    <w:rsid w:val="48EA3C7A"/>
    <w:rsid w:val="49A07157"/>
    <w:rsid w:val="4B076C12"/>
    <w:rsid w:val="51312C3A"/>
    <w:rsid w:val="53E10E61"/>
    <w:rsid w:val="544772B9"/>
    <w:rsid w:val="56981066"/>
    <w:rsid w:val="572958F9"/>
    <w:rsid w:val="5E197EBE"/>
    <w:rsid w:val="601856F1"/>
    <w:rsid w:val="65730466"/>
    <w:rsid w:val="69197A56"/>
    <w:rsid w:val="70E817C6"/>
    <w:rsid w:val="772D049C"/>
    <w:rsid w:val="79407621"/>
    <w:rsid w:val="7D6C41BD"/>
    <w:rsid w:val="7EB50D4D"/>
    <w:rsid w:val="7ECD54BF"/>
    <w:rsid w:val="7F640A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qFormat="1" w:unhideWhenUsed="0" w:uiPriority="99" w:semiHidden="0"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cs="宋体"/>
      <w:b/>
      <w:bCs/>
      <w:kern w:val="44"/>
      <w:sz w:val="48"/>
      <w:szCs w:val="48"/>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2"/>
    <w:autoRedefine/>
    <w:qFormat/>
    <w:uiPriority w:val="99"/>
    <w:pPr>
      <w:spacing w:after="120" w:line="276" w:lineRule="auto"/>
    </w:pPr>
    <w:rPr>
      <w:sz w:val="32"/>
      <w:szCs w:val="32"/>
    </w:rPr>
  </w:style>
  <w:style w:type="paragraph" w:styleId="3">
    <w:name w:val="Body Text First Indent"/>
    <w:basedOn w:val="2"/>
    <w:autoRedefine/>
    <w:qFormat/>
    <w:uiPriority w:val="0"/>
    <w:pPr>
      <w:ind w:firstLine="420" w:firstLineChars="100"/>
    </w:pPr>
  </w:style>
  <w:style w:type="paragraph" w:styleId="5">
    <w:name w:val="annotation text"/>
    <w:basedOn w:val="1"/>
    <w:link w:val="21"/>
    <w:autoRedefine/>
    <w:qFormat/>
    <w:uiPriority w:val="99"/>
    <w:pPr>
      <w:jc w:val="left"/>
    </w:pPr>
  </w:style>
  <w:style w:type="paragraph" w:styleId="6">
    <w:name w:val="Body Text Indent"/>
    <w:basedOn w:val="1"/>
    <w:autoRedefine/>
    <w:qFormat/>
    <w:uiPriority w:val="99"/>
    <w:pPr>
      <w:spacing w:after="120"/>
      <w:ind w:left="420" w:leftChars="200"/>
    </w:pPr>
  </w:style>
  <w:style w:type="paragraph" w:styleId="7">
    <w:name w:val="toc 5"/>
    <w:basedOn w:val="1"/>
    <w:next w:val="1"/>
    <w:autoRedefine/>
    <w:qFormat/>
    <w:uiPriority w:val="99"/>
    <w:pPr>
      <w:ind w:left="1680" w:leftChars="800"/>
    </w:pPr>
  </w:style>
  <w:style w:type="paragraph" w:styleId="8">
    <w:name w:val="Balloon Text"/>
    <w:basedOn w:val="1"/>
    <w:link w:val="25"/>
    <w:autoRedefine/>
    <w:qFormat/>
    <w:uiPriority w:val="99"/>
    <w:rPr>
      <w:sz w:val="18"/>
      <w:szCs w:val="18"/>
    </w:rPr>
  </w:style>
  <w:style w:type="paragraph" w:styleId="9">
    <w:name w:val="footer"/>
    <w:basedOn w:val="1"/>
    <w:autoRedefine/>
    <w:qFormat/>
    <w:uiPriority w:val="99"/>
    <w:pPr>
      <w:tabs>
        <w:tab w:val="center" w:pos="4153"/>
        <w:tab w:val="right" w:pos="8306"/>
      </w:tabs>
      <w:snapToGrid w:val="0"/>
      <w:jc w:val="left"/>
    </w:pPr>
    <w:rPr>
      <w:sz w:val="18"/>
    </w:rPr>
  </w:style>
  <w:style w:type="paragraph" w:styleId="10">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6"/>
    <w:basedOn w:val="1"/>
    <w:next w:val="1"/>
    <w:autoRedefine/>
    <w:qFormat/>
    <w:uiPriority w:val="99"/>
    <w:pPr>
      <w:spacing w:before="100" w:beforeAutospacing="1" w:after="100" w:afterAutospacing="1"/>
      <w:ind w:left="2100"/>
      <w:jc w:val="left"/>
    </w:pPr>
  </w:style>
  <w:style w:type="paragraph" w:styleId="12">
    <w:name w:val="annotation subject"/>
    <w:basedOn w:val="5"/>
    <w:next w:val="5"/>
    <w:link w:val="26"/>
    <w:autoRedefine/>
    <w:qFormat/>
    <w:uiPriority w:val="99"/>
    <w:rPr>
      <w:b/>
      <w:bCs/>
    </w:rPr>
  </w:style>
  <w:style w:type="paragraph" w:styleId="13">
    <w:name w:val="Body Text First Indent 2"/>
    <w:basedOn w:val="6"/>
    <w:autoRedefine/>
    <w:qFormat/>
    <w:uiPriority w:val="99"/>
    <w:pPr>
      <w:spacing w:before="100" w:beforeAutospacing="1" w:after="0"/>
      <w:ind w:left="0" w:leftChars="0" w:firstLine="200" w:firstLineChars="200"/>
    </w:pPr>
    <w:rPr>
      <w:rFonts w:ascii="Times New Roman" w:hAnsi="Times New Roman" w:eastAsia="仿宋_GB2312"/>
      <w:sz w:val="36"/>
      <w:szCs w:val="36"/>
    </w:rPr>
  </w:style>
  <w:style w:type="character" w:styleId="16">
    <w:name w:val="Strong"/>
    <w:qFormat/>
    <w:uiPriority w:val="0"/>
    <w:rPr>
      <w:b/>
      <w:bCs/>
    </w:rPr>
  </w:style>
  <w:style w:type="character" w:styleId="17">
    <w:name w:val="Emphasis"/>
    <w:basedOn w:val="15"/>
    <w:autoRedefine/>
    <w:qFormat/>
    <w:uiPriority w:val="0"/>
    <w:rPr>
      <w:i/>
    </w:rPr>
  </w:style>
  <w:style w:type="character" w:styleId="18">
    <w:name w:val="annotation reference"/>
    <w:basedOn w:val="15"/>
    <w:autoRedefine/>
    <w:qFormat/>
    <w:uiPriority w:val="99"/>
    <w:rPr>
      <w:sz w:val="21"/>
      <w:szCs w:val="21"/>
    </w:rPr>
  </w:style>
  <w:style w:type="paragraph" w:customStyle="1" w:styleId="19">
    <w:name w:val="FootnoteText"/>
    <w:basedOn w:val="1"/>
    <w:autoRedefine/>
    <w:qFormat/>
    <w:uiPriority w:val="0"/>
    <w:pPr>
      <w:snapToGrid w:val="0"/>
      <w:jc w:val="left"/>
      <w:textAlignment w:val="baseline"/>
    </w:pPr>
    <w:rPr>
      <w:sz w:val="18"/>
      <w:szCs w:val="18"/>
    </w:rPr>
  </w:style>
  <w:style w:type="paragraph" w:customStyle="1" w:styleId="20">
    <w:name w:val="BodyText"/>
    <w:basedOn w:val="1"/>
    <w:autoRedefine/>
    <w:qFormat/>
    <w:uiPriority w:val="99"/>
    <w:pPr>
      <w:spacing w:after="120"/>
      <w:textAlignment w:val="baseline"/>
    </w:pPr>
    <w:rPr>
      <w:rFonts w:ascii="Times New Roman" w:hAnsi="Times New Roman" w:cs="Times New Roman"/>
    </w:rPr>
  </w:style>
  <w:style w:type="character" w:customStyle="1" w:styleId="21">
    <w:name w:val="批注文字 Char"/>
    <w:basedOn w:val="15"/>
    <w:link w:val="5"/>
    <w:autoRedefine/>
    <w:qFormat/>
    <w:uiPriority w:val="99"/>
    <w:rPr>
      <w:rFonts w:ascii="Calibri" w:hAnsi="Calibri" w:cs="Calibri"/>
      <w:szCs w:val="21"/>
    </w:rPr>
  </w:style>
  <w:style w:type="character" w:customStyle="1" w:styleId="22">
    <w:name w:val="正文文本 Char"/>
    <w:basedOn w:val="15"/>
    <w:link w:val="2"/>
    <w:autoRedefine/>
    <w:qFormat/>
    <w:uiPriority w:val="99"/>
    <w:rPr>
      <w:rFonts w:ascii="Calibri" w:hAnsi="Calibri" w:cs="Calibri"/>
      <w:szCs w:val="21"/>
    </w:rPr>
  </w:style>
  <w:style w:type="character" w:customStyle="1" w:styleId="23">
    <w:name w:val="NormalCharacter"/>
    <w:link w:val="24"/>
    <w:autoRedefine/>
    <w:qFormat/>
    <w:uiPriority w:val="99"/>
    <w:rPr>
      <w:rFonts w:ascii="Times New Roman" w:hAnsi="Times New Roman" w:cs="Times New Roman"/>
    </w:rPr>
  </w:style>
  <w:style w:type="paragraph" w:customStyle="1" w:styleId="24">
    <w:name w:val="UserStyle_1"/>
    <w:basedOn w:val="1"/>
    <w:link w:val="23"/>
    <w:autoRedefine/>
    <w:qFormat/>
    <w:uiPriority w:val="99"/>
    <w:pPr>
      <w:tabs>
        <w:tab w:val="left" w:pos="360"/>
      </w:tabs>
    </w:pPr>
    <w:rPr>
      <w:rFonts w:ascii="Times New Roman" w:hAnsi="Times New Roman" w:cs="Times New Roman"/>
      <w:kern w:val="0"/>
      <w:sz w:val="20"/>
      <w:szCs w:val="20"/>
    </w:rPr>
  </w:style>
  <w:style w:type="character" w:customStyle="1" w:styleId="25">
    <w:name w:val="批注框文本 Char"/>
    <w:basedOn w:val="15"/>
    <w:link w:val="8"/>
    <w:autoRedefine/>
    <w:qFormat/>
    <w:uiPriority w:val="99"/>
    <w:rPr>
      <w:rFonts w:ascii="Calibri" w:hAnsi="Calibri" w:cs="Calibri"/>
      <w:sz w:val="0"/>
      <w:szCs w:val="0"/>
    </w:rPr>
  </w:style>
  <w:style w:type="character" w:customStyle="1" w:styleId="26">
    <w:name w:val="批注主题 Char"/>
    <w:basedOn w:val="21"/>
    <w:link w:val="12"/>
    <w:autoRedefine/>
    <w:qFormat/>
    <w:uiPriority w:val="99"/>
    <w:rPr>
      <w:b/>
      <w:bCs/>
    </w:rPr>
  </w:style>
  <w:style w:type="character" w:customStyle="1" w:styleId="27">
    <w:name w:val="15"/>
    <w:basedOn w:val="15"/>
    <w:autoRedefine/>
    <w:qFormat/>
    <w:uiPriority w:val="0"/>
    <w:rPr>
      <w:rFonts w:hint="default" w:ascii="Times New Roman" w:hAnsi="Times New Roman" w:cs="Times New Roman"/>
    </w:rPr>
  </w:style>
  <w:style w:type="paragraph" w:customStyle="1" w:styleId="28">
    <w:name w:val="样式1"/>
    <w:basedOn w:val="1"/>
    <w:next w:val="11"/>
    <w:autoRedefine/>
    <w:qFormat/>
    <w:uiPriority w:val="99"/>
    <w:rPr>
      <w:b/>
      <w:bCs/>
      <w:color w:val="538135"/>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842</Words>
  <Characters>4806</Characters>
  <Lines>40</Lines>
  <Paragraphs>11</Paragraphs>
  <TotalTime>0</TotalTime>
  <ScaleCrop>false</ScaleCrop>
  <LinksUpToDate>false</LinksUpToDate>
  <CharactersWithSpaces>5637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2022-12-17T11:41:00Z</dcterms:created>
  <dc:creator>Hath</dc:creator>
  <cp:lastModifiedBy>Administrator</cp:lastModifiedBy>
  <cp:lastPrinted>2024-01-03T06:58:00Z</cp:lastPrinted>
  <dcterms:modified xsi:type="dcterms:W3CDTF">2024-03-13T06:55:48Z</dcterms:modified>
  <dc:title>2022年工作小结及2023年工作谋划</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231E73EE25F84538827156E69797B3DD_13</vt:lpwstr>
  </property>
</Properties>
</file>