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textAlignment w:val="baseline"/>
        <w:rPr>
          <w:rFonts w:ascii="仿宋_GB2312" w:eastAsia="仿宋_GB2312" w:cs="仿宋_GB2312"/>
          <w:color w:val="000000"/>
          <w:sz w:val="32"/>
          <w:szCs w:val="32"/>
          <w:lang w:val="zh-CN"/>
        </w:rPr>
      </w:pPr>
    </w:p>
    <w:p>
      <w:pPr>
        <w:snapToGrid w:val="0"/>
        <w:spacing w:line="600" w:lineRule="exact"/>
        <w:textAlignment w:val="baseline"/>
        <w:rPr>
          <w:rFonts w:ascii="仿宋_GB2312" w:eastAsia="仿宋_GB2312" w:cs="仿宋_GB2312"/>
          <w:color w:val="000000"/>
          <w:sz w:val="32"/>
          <w:szCs w:val="32"/>
          <w:lang w:val="zh-CN"/>
        </w:rPr>
      </w:pPr>
    </w:p>
    <w:p>
      <w:pPr>
        <w:pStyle w:val="2"/>
        <w:spacing w:after="0"/>
        <w:textAlignment w:val="baseline"/>
      </w:pPr>
    </w:p>
    <w:p>
      <w:pPr>
        <w:keepLines w:val="0"/>
        <w:widowControl w:val="0"/>
        <w:snapToGrid w:val="0"/>
        <w:spacing w:before="0" w:beforeAutospacing="0" w:after="0" w:afterAutospacing="0" w:line="600" w:lineRule="exact"/>
        <w:ind w:left="0" w:leftChars="0" w:right="0" w:firstLine="0" w:firstLineChars="0"/>
        <w:jc w:val="center"/>
        <w:textAlignment w:val="baseline"/>
        <w:rPr>
          <w:rFonts w:hint="eastAsia" w:ascii="仿宋" w:hAnsi="仿宋" w:eastAsia="仿宋" w:cs="仿宋_GB2312"/>
          <w:b w:val="0"/>
          <w:i w:val="0"/>
          <w:caps w:val="0"/>
          <w:color w:val="000000"/>
          <w:spacing w:val="0"/>
          <w:w w:val="100"/>
          <w:sz w:val="32"/>
          <w:szCs w:val="32"/>
          <w:lang w:val="zh-CN"/>
        </w:rPr>
      </w:pPr>
      <w:r>
        <w:rPr>
          <w:rFonts w:hint="eastAsia" w:ascii="仿宋" w:hAnsi="仿宋" w:eastAsia="仿宋" w:cs="仿宋_GB2312"/>
          <w:b w:val="0"/>
          <w:i w:val="0"/>
          <w:caps w:val="0"/>
          <w:color w:val="000000"/>
          <w:spacing w:val="0"/>
          <w:w w:val="100"/>
          <w:sz w:val="32"/>
          <w:szCs w:val="32"/>
          <w:lang w:val="zh-CN"/>
        </w:rPr>
        <w:t>永环东评〔20</w:t>
      </w:r>
      <w:r>
        <w:rPr>
          <w:rFonts w:hint="eastAsia" w:ascii="仿宋" w:hAnsi="仿宋" w:eastAsia="仿宋" w:cs="仿宋_GB2312"/>
          <w:b w:val="0"/>
          <w:i w:val="0"/>
          <w:caps w:val="0"/>
          <w:color w:val="000000"/>
          <w:spacing w:val="0"/>
          <w:w w:val="100"/>
          <w:sz w:val="32"/>
          <w:szCs w:val="32"/>
          <w:lang w:val="en-US" w:eastAsia="zh-CN"/>
        </w:rPr>
        <w:t>22</w:t>
      </w:r>
      <w:r>
        <w:rPr>
          <w:rFonts w:hint="eastAsia" w:ascii="仿宋" w:hAnsi="仿宋" w:eastAsia="仿宋" w:cs="仿宋_GB2312"/>
          <w:b w:val="0"/>
          <w:i w:val="0"/>
          <w:caps w:val="0"/>
          <w:color w:val="000000"/>
          <w:spacing w:val="0"/>
          <w:w w:val="100"/>
          <w:sz w:val="32"/>
          <w:szCs w:val="32"/>
          <w:lang w:val="zh-CN"/>
        </w:rPr>
        <w:t>〕</w:t>
      </w:r>
      <w:r>
        <w:rPr>
          <w:rFonts w:hint="eastAsia" w:ascii="仿宋" w:hAnsi="仿宋" w:eastAsia="仿宋" w:cs="仿宋_GB2312"/>
          <w:b w:val="0"/>
          <w:i w:val="0"/>
          <w:caps w:val="0"/>
          <w:color w:val="000000"/>
          <w:spacing w:val="0"/>
          <w:w w:val="100"/>
          <w:sz w:val="32"/>
          <w:szCs w:val="32"/>
          <w:lang w:val="en-US" w:eastAsia="zh-CN"/>
        </w:rPr>
        <w:t>04</w:t>
      </w:r>
      <w:r>
        <w:rPr>
          <w:rFonts w:hint="eastAsia" w:ascii="仿宋" w:hAnsi="仿宋" w:eastAsia="仿宋" w:cs="仿宋_GB2312"/>
          <w:b w:val="0"/>
          <w:i w:val="0"/>
          <w:caps w:val="0"/>
          <w:color w:val="000000"/>
          <w:spacing w:val="0"/>
          <w:w w:val="100"/>
          <w:sz w:val="32"/>
          <w:szCs w:val="32"/>
          <w:lang w:val="zh-CN"/>
        </w:rPr>
        <w:t>号</w:t>
      </w:r>
    </w:p>
    <w:p>
      <w:pPr>
        <w:snapToGrid/>
        <w:spacing w:before="0" w:beforeAutospacing="0" w:after="0" w:afterAutospacing="0" w:line="580" w:lineRule="exact"/>
        <w:jc w:val="center"/>
        <w:textAlignment w:val="baseline"/>
        <w:rPr>
          <w:rFonts w:hint="eastAsia" w:ascii="宋体" w:hAnsi="宋体" w:eastAsia="宋体" w:cs="黑体"/>
          <w:b/>
          <w:bCs/>
          <w:i w:val="0"/>
          <w:caps w:val="0"/>
          <w:color w:val="000000" w:themeColor="text1"/>
          <w:spacing w:val="0"/>
          <w:w w:val="100"/>
          <w:sz w:val="36"/>
          <w:szCs w:val="36"/>
          <w:lang w:val="en-GB" w:eastAsia="zh-CN"/>
        </w:rPr>
      </w:pPr>
    </w:p>
    <w:p>
      <w:pPr>
        <w:snapToGrid/>
        <w:spacing w:before="0" w:beforeAutospacing="0" w:after="0" w:afterAutospacing="0" w:line="580" w:lineRule="exact"/>
        <w:jc w:val="center"/>
        <w:textAlignment w:val="baseline"/>
        <w:rPr>
          <w:rFonts w:hint="eastAsia" w:ascii="宋体" w:hAnsi="宋体" w:eastAsia="宋体" w:cs="黑体"/>
          <w:b/>
          <w:bCs/>
          <w:i w:val="0"/>
          <w:caps w:val="0"/>
          <w:color w:val="000000"/>
          <w:spacing w:val="0"/>
          <w:w w:val="100"/>
          <w:sz w:val="36"/>
          <w:szCs w:val="36"/>
          <w:lang w:val="en-GB" w:eastAsia="zh-CN"/>
        </w:rPr>
      </w:pPr>
      <w:r>
        <w:rPr>
          <w:rFonts w:hint="eastAsia" w:ascii="宋体" w:hAnsi="宋体" w:eastAsia="宋体" w:cs="黑体"/>
          <w:b/>
          <w:bCs/>
          <w:i w:val="0"/>
          <w:caps w:val="0"/>
          <w:color w:val="000000"/>
          <w:spacing w:val="0"/>
          <w:w w:val="100"/>
          <w:sz w:val="36"/>
          <w:szCs w:val="36"/>
          <w:lang w:val="zh-CN" w:eastAsia="zh-CN"/>
        </w:rPr>
        <w:t>关于</w:t>
      </w:r>
      <w:r>
        <w:rPr>
          <w:rFonts w:hint="eastAsia" w:ascii="宋体" w:hAnsi="宋体" w:eastAsia="宋体" w:cs="黑体"/>
          <w:b/>
          <w:bCs/>
          <w:i w:val="0"/>
          <w:caps w:val="0"/>
          <w:color w:val="000000"/>
          <w:spacing w:val="0"/>
          <w:w w:val="100"/>
          <w:sz w:val="36"/>
          <w:szCs w:val="36"/>
          <w:lang w:val="en-GB" w:eastAsia="zh-CN"/>
        </w:rPr>
        <w:t>东安县水资源综合配置一期工程环境影响报告表</w:t>
      </w:r>
      <w:r>
        <w:rPr>
          <w:rFonts w:hint="eastAsia" w:ascii="宋体" w:hAnsi="宋体" w:eastAsia="宋体" w:cs="黑体"/>
          <w:b/>
          <w:bCs/>
          <w:i w:val="0"/>
          <w:caps w:val="0"/>
          <w:color w:val="000000"/>
          <w:spacing w:val="0"/>
          <w:w w:val="100"/>
          <w:sz w:val="36"/>
          <w:szCs w:val="36"/>
          <w:lang w:val="zh-CN" w:eastAsia="zh-CN"/>
        </w:rPr>
        <w:t>的批复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宋体" w:hAnsi="宋体" w:eastAsia="宋体" w:cs="黑体"/>
          <w:b/>
          <w:bCs/>
          <w:i w:val="0"/>
          <w:caps w:val="0"/>
          <w:color w:val="000000"/>
          <w:spacing w:val="0"/>
          <w:w w:val="100"/>
          <w:sz w:val="36"/>
          <w:szCs w:val="36"/>
          <w:lang w:val="en-GB" w:eastAsia="zh-CN"/>
        </w:rPr>
      </w:pPr>
    </w:p>
    <w:p>
      <w:pPr>
        <w:spacing w:line="600" w:lineRule="exact"/>
        <w:textAlignment w:val="baseline"/>
        <w:rPr>
          <w:rFonts w:ascii="仿宋_GB2312" w:hAnsi="仿宋" w:eastAsia="仿宋_GB2312"/>
          <w:color w:val="auto"/>
          <w:sz w:val="32"/>
          <w:szCs w:val="32"/>
          <w:lang w:val="zh-CN"/>
        </w:rPr>
      </w:pPr>
      <w:r>
        <w:rPr>
          <w:rFonts w:hint="eastAsia" w:ascii="仿宋_GB2312" w:hAnsi="仿宋" w:eastAsia="仿宋_GB2312" w:cs="宋体"/>
          <w:color w:val="auto"/>
          <w:sz w:val="32"/>
          <w:szCs w:val="32"/>
          <w:lang w:val="en-GB"/>
        </w:rPr>
        <w:t>东安县水资源综合配置一期工程</w:t>
      </w:r>
      <w:r>
        <w:rPr>
          <w:rFonts w:hint="eastAsia" w:ascii="仿宋_GB2312" w:hAnsi="仿宋" w:eastAsia="仿宋_GB2312" w:cs="仿宋_GB2312"/>
          <w:color w:val="auto"/>
          <w:sz w:val="32"/>
          <w:szCs w:val="32"/>
          <w:lang w:val="zh-CN"/>
        </w:rPr>
        <w:t>：</w:t>
      </w:r>
    </w:p>
    <w:p>
      <w:pPr>
        <w:spacing w:line="600" w:lineRule="exact"/>
        <w:textAlignment w:val="baseline"/>
        <w:rPr>
          <w:rFonts w:hint="eastAsia" w:ascii="仿宋_GB2312" w:hAnsi="仿宋" w:eastAsia="仿宋_GB2312" w:cs="宋体"/>
          <w:color w:val="auto"/>
          <w:sz w:val="32"/>
          <w:szCs w:val="32"/>
          <w:lang w:val="en-GB"/>
        </w:rPr>
      </w:pPr>
      <w:r>
        <w:rPr>
          <w:rFonts w:hint="eastAsia" w:ascii="仿宋_GB2312" w:hAnsi="仿宋" w:eastAsia="仿宋_GB2312" w:cs="宋体"/>
          <w:color w:val="auto"/>
          <w:sz w:val="32"/>
          <w:szCs w:val="32"/>
          <w:lang w:val="en-GB"/>
        </w:rPr>
        <w:t>　</w:t>
      </w:r>
      <w:r>
        <w:rPr>
          <w:rFonts w:hint="eastAsia" w:ascii="仿宋_GB2312" w:hAnsi="仿宋" w:eastAsia="仿宋_GB2312" w:cs="宋体"/>
          <w:color w:val="auto"/>
          <w:sz w:val="32"/>
          <w:szCs w:val="32"/>
          <w:lang w:val="en-GB"/>
        </w:rPr>
        <w:t>　你公司《关于请求批复〈东安县水资源综合配置一期工程〉环境影响报告表的函》及相关附件已收悉，根据专家评审意见经研究，批复如下：</w:t>
      </w:r>
    </w:p>
    <w:p>
      <w:pPr>
        <w:spacing w:line="600" w:lineRule="exact"/>
        <w:textAlignment w:val="baseline"/>
        <w:rPr>
          <w:rFonts w:ascii="仿宋_GB2312" w:hAnsi="仿宋" w:eastAsia="仿宋_GB2312" w:cs="宋体"/>
          <w:color w:val="auto"/>
          <w:sz w:val="32"/>
          <w:szCs w:val="32"/>
          <w:lang w:val="en-GB"/>
        </w:rPr>
      </w:pPr>
      <w:r>
        <w:rPr>
          <w:rFonts w:hint="eastAsia" w:ascii="仿宋_GB2312" w:hAnsi="仿宋" w:eastAsia="仿宋_GB2312" w:cs="宋体"/>
          <w:color w:val="auto"/>
          <w:sz w:val="32"/>
          <w:szCs w:val="32"/>
          <w:lang w:val="en-GB"/>
        </w:rPr>
        <w:t>　　一、你公司拟建的东安县水资源综合配置一期工程位于永州市东安县白牙市镇、芦洪市镇、紫溪市镇、新圩江镇、大盛镇</w:t>
      </w:r>
      <w:r>
        <w:rPr>
          <w:rFonts w:hint="eastAsia" w:ascii="仿宋_GB2312" w:hAnsi="仿宋" w:eastAsia="仿宋_GB2312" w:cs="宋体"/>
          <w:color w:val="auto"/>
          <w:sz w:val="32"/>
          <w:szCs w:val="32"/>
          <w:lang w:val="en-GB" w:eastAsia="zh-CN"/>
        </w:rPr>
        <w:t>。</w:t>
      </w:r>
      <w:r>
        <w:rPr>
          <w:rFonts w:hint="eastAsia" w:ascii="仿宋_GB2312" w:hAnsi="仿宋" w:eastAsia="仿宋_GB2312" w:cs="宋体"/>
          <w:color w:val="auto"/>
          <w:sz w:val="32"/>
          <w:szCs w:val="32"/>
          <w:lang w:val="en-GB"/>
        </w:rPr>
        <w:t>主要建设内容</w:t>
      </w:r>
      <w:r>
        <w:rPr>
          <w:rFonts w:hint="eastAsia" w:ascii="仿宋_GB2312" w:hAnsi="仿宋" w:eastAsia="仿宋_GB2312" w:cs="宋体"/>
          <w:color w:val="auto"/>
          <w:sz w:val="32"/>
          <w:szCs w:val="32"/>
          <w:lang w:val="en-GB" w:eastAsia="zh-CN"/>
        </w:rPr>
        <w:t>：</w:t>
      </w:r>
      <w:r>
        <w:rPr>
          <w:rFonts w:hint="eastAsia" w:ascii="仿宋_GB2312" w:hAnsi="仿宋" w:eastAsia="仿宋_GB2312" w:cs="宋体"/>
          <w:color w:val="auto"/>
          <w:sz w:val="32"/>
          <w:szCs w:val="32"/>
          <w:lang w:val="en-GB"/>
        </w:rPr>
        <w:t>（1）拟在县城白牙市镇伍家村新建一座自来水厂，日处理能力5万m</w:t>
      </w:r>
      <w:r>
        <w:rPr>
          <w:rFonts w:ascii="Calibri" w:hAnsi="Calibri" w:eastAsia="仿宋_GB2312" w:cs="Calibri"/>
          <w:color w:val="auto"/>
          <w:sz w:val="32"/>
          <w:szCs w:val="32"/>
          <w:lang w:val="en-GB"/>
        </w:rPr>
        <w:t>³</w:t>
      </w:r>
      <w:r>
        <w:rPr>
          <w:rFonts w:hint="eastAsia" w:ascii="仿宋_GB2312" w:hAnsi="仿宋" w:eastAsia="仿宋_GB2312" w:cs="宋体"/>
          <w:color w:val="auto"/>
          <w:sz w:val="32"/>
          <w:szCs w:val="32"/>
          <w:lang w:val="en-GB"/>
        </w:rPr>
        <w:t>/d，厂区占地面积53486.97㎡；新建伍家村湘江泵站（取水泵站），占地面积1429.95㎡；拟</w:t>
      </w:r>
      <w:bookmarkStart w:id="0" w:name="_GoBack"/>
      <w:bookmarkEnd w:id="0"/>
      <w:r>
        <w:rPr>
          <w:rFonts w:hint="eastAsia" w:ascii="仿宋_GB2312" w:hAnsi="仿宋" w:eastAsia="仿宋_GB2312" w:cs="宋体"/>
          <w:color w:val="auto"/>
          <w:sz w:val="32"/>
          <w:szCs w:val="32"/>
          <w:lang w:val="en-GB"/>
        </w:rPr>
        <w:t>在东安火车东站北侧新建县城泵站（加压供水泵站），物料仓库及生产楼，占地面积15272㎡；并配建供水管网22.963km。（2）原址扩建新圩江镇自来水厂至日处理能力5000m</w:t>
      </w:r>
      <w:r>
        <w:rPr>
          <w:rFonts w:ascii="Calibri" w:hAnsi="Calibri" w:eastAsia="仿宋_GB2312" w:cs="Calibri"/>
          <w:color w:val="auto"/>
          <w:sz w:val="32"/>
          <w:szCs w:val="32"/>
          <w:lang w:val="en-GB"/>
        </w:rPr>
        <w:t>³</w:t>
      </w:r>
      <w:r>
        <w:rPr>
          <w:rFonts w:hint="eastAsia" w:ascii="仿宋_GB2312" w:hAnsi="仿宋" w:eastAsia="仿宋_GB2312" w:cs="宋体"/>
          <w:color w:val="auto"/>
          <w:sz w:val="32"/>
          <w:szCs w:val="32"/>
          <w:lang w:val="en-GB"/>
        </w:rPr>
        <w:t>/d（原日处理能力750m</w:t>
      </w:r>
      <w:r>
        <w:rPr>
          <w:rFonts w:ascii="Calibri" w:hAnsi="Calibri" w:eastAsia="仿宋_GB2312" w:cs="Calibri"/>
          <w:color w:val="auto"/>
          <w:sz w:val="32"/>
          <w:szCs w:val="32"/>
          <w:lang w:val="en-GB"/>
        </w:rPr>
        <w:t>³</w:t>
      </w:r>
      <w:r>
        <w:rPr>
          <w:rFonts w:hint="eastAsia" w:ascii="仿宋_GB2312" w:hAnsi="仿宋" w:eastAsia="仿宋_GB2312" w:cs="宋体"/>
          <w:color w:val="auto"/>
          <w:sz w:val="32"/>
          <w:szCs w:val="32"/>
          <w:lang w:val="en-GB"/>
        </w:rPr>
        <w:t>/d），新增总占地面积1638.03㎡（含取水泵站）。（3）原址扩建芦洪市镇自来水厂至日处理能力3.5万m</w:t>
      </w:r>
      <w:r>
        <w:rPr>
          <w:rFonts w:ascii="Calibri" w:hAnsi="Calibri" w:eastAsia="仿宋_GB2312" w:cs="Calibri"/>
          <w:color w:val="auto"/>
          <w:sz w:val="32"/>
          <w:szCs w:val="32"/>
          <w:lang w:val="en-GB"/>
        </w:rPr>
        <w:t>³</w:t>
      </w:r>
      <w:r>
        <w:rPr>
          <w:rFonts w:hint="eastAsia" w:ascii="仿宋_GB2312" w:hAnsi="仿宋" w:eastAsia="仿宋_GB2312" w:cs="宋体"/>
          <w:color w:val="auto"/>
          <w:sz w:val="32"/>
          <w:szCs w:val="32"/>
          <w:lang w:val="en-GB"/>
        </w:rPr>
        <w:t>/d（原日处理能力1.5万m</w:t>
      </w:r>
      <w:r>
        <w:rPr>
          <w:rFonts w:ascii="Calibri" w:hAnsi="Calibri" w:eastAsia="仿宋_GB2312" w:cs="Calibri"/>
          <w:color w:val="auto"/>
          <w:sz w:val="32"/>
          <w:szCs w:val="32"/>
          <w:lang w:val="en-GB"/>
        </w:rPr>
        <w:t>³</w:t>
      </w:r>
      <w:r>
        <w:rPr>
          <w:rFonts w:hint="eastAsia" w:ascii="仿宋_GB2312" w:hAnsi="仿宋" w:eastAsia="仿宋_GB2312" w:cs="宋体"/>
          <w:color w:val="auto"/>
          <w:sz w:val="32"/>
          <w:szCs w:val="32"/>
          <w:lang w:val="en-GB"/>
        </w:rPr>
        <w:t>/d），新增占地面积20014㎡，并配建供水管网31.418km。（4）原址扩建大盛镇水厂至日处理能力1200m</w:t>
      </w:r>
      <w:r>
        <w:rPr>
          <w:rFonts w:ascii="Calibri" w:hAnsi="Calibri" w:eastAsia="仿宋_GB2312" w:cs="Calibri"/>
          <w:color w:val="auto"/>
          <w:sz w:val="32"/>
          <w:szCs w:val="32"/>
          <w:lang w:val="en-GB"/>
        </w:rPr>
        <w:t>³</w:t>
      </w:r>
      <w:r>
        <w:rPr>
          <w:rFonts w:hint="eastAsia" w:ascii="仿宋_GB2312" w:hAnsi="仿宋" w:eastAsia="仿宋_GB2312" w:cs="宋体"/>
          <w:color w:val="auto"/>
          <w:sz w:val="32"/>
          <w:szCs w:val="32"/>
          <w:lang w:val="en-GB"/>
        </w:rPr>
        <w:t>/d（原日处理能力750m</w:t>
      </w:r>
      <w:r>
        <w:rPr>
          <w:rFonts w:ascii="Calibri" w:hAnsi="Calibri" w:eastAsia="仿宋_GB2312" w:cs="Calibri"/>
          <w:color w:val="auto"/>
          <w:sz w:val="32"/>
          <w:szCs w:val="32"/>
          <w:lang w:val="en-GB"/>
        </w:rPr>
        <w:t>³</w:t>
      </w:r>
      <w:r>
        <w:rPr>
          <w:rFonts w:hint="eastAsia" w:ascii="仿宋_GB2312" w:hAnsi="仿宋" w:eastAsia="仿宋_GB2312" w:cs="宋体"/>
          <w:color w:val="auto"/>
          <w:sz w:val="32"/>
          <w:szCs w:val="32"/>
          <w:lang w:val="en-GB"/>
        </w:rPr>
        <w:t>/d），新增占地面积1363.69㎡（含泵站163.69㎡）并配建供水管网37.417km</w:t>
      </w:r>
      <w:r>
        <w:rPr>
          <w:rFonts w:ascii="仿宋_GB2312" w:hAnsi="仿宋" w:eastAsia="仿宋_GB2312" w:cs="宋体"/>
          <w:color w:val="auto"/>
          <w:sz w:val="32"/>
          <w:szCs w:val="32"/>
          <w:lang w:val="en-GB"/>
        </w:rPr>
        <w:t>。</w:t>
      </w:r>
    </w:p>
    <w:p>
      <w:pPr>
        <w:spacing w:line="600" w:lineRule="exact"/>
        <w:textAlignment w:val="baseline"/>
        <w:rPr>
          <w:rFonts w:ascii="仿宋_GB2312" w:hAnsi="仿宋" w:eastAsia="仿宋_GB2312" w:cs="宋体"/>
          <w:color w:val="auto"/>
          <w:sz w:val="32"/>
          <w:szCs w:val="32"/>
          <w:lang w:val="en-GB"/>
        </w:rPr>
      </w:pPr>
      <w:r>
        <w:rPr>
          <w:rFonts w:hint="eastAsia" w:ascii="仿宋_GB2312" w:hAnsi="仿宋" w:eastAsia="仿宋_GB2312" w:cs="宋体"/>
          <w:color w:val="auto"/>
          <w:sz w:val="32"/>
          <w:szCs w:val="32"/>
          <w:lang w:val="en-GB"/>
        </w:rPr>
        <w:t>项目总投资</w:t>
      </w:r>
      <w:r>
        <w:rPr>
          <w:rFonts w:ascii="仿宋_GB2312" w:hAnsi="仿宋" w:eastAsia="仿宋_GB2312" w:cs="宋体"/>
          <w:color w:val="auto"/>
          <w:sz w:val="32"/>
          <w:szCs w:val="32"/>
          <w:lang w:val="en-GB"/>
        </w:rPr>
        <w:t>88031.56</w:t>
      </w:r>
      <w:r>
        <w:rPr>
          <w:rFonts w:hint="eastAsia" w:ascii="仿宋_GB2312" w:hAnsi="仿宋" w:eastAsia="仿宋_GB2312" w:cs="宋体"/>
          <w:color w:val="auto"/>
          <w:sz w:val="32"/>
          <w:szCs w:val="32"/>
          <w:lang w:val="en-GB"/>
        </w:rPr>
        <w:t>万元，其中环保投资</w:t>
      </w:r>
      <w:r>
        <w:rPr>
          <w:rFonts w:ascii="仿宋_GB2312" w:hAnsi="仿宋" w:eastAsia="仿宋_GB2312" w:cs="宋体"/>
          <w:color w:val="auto"/>
          <w:sz w:val="32"/>
          <w:szCs w:val="32"/>
        </w:rPr>
        <w:t>140</w:t>
      </w:r>
      <w:r>
        <w:rPr>
          <w:rFonts w:hint="eastAsia" w:ascii="仿宋_GB2312" w:hAnsi="仿宋" w:eastAsia="仿宋_GB2312" w:cs="宋体"/>
          <w:color w:val="auto"/>
          <w:sz w:val="32"/>
          <w:szCs w:val="32"/>
          <w:lang w:val="en-GB"/>
        </w:rPr>
        <w:t>万元，占总投资的</w:t>
      </w:r>
      <w:r>
        <w:rPr>
          <w:rFonts w:ascii="仿宋_GB2312" w:hAnsi="仿宋" w:eastAsia="仿宋_GB2312" w:cs="宋体"/>
          <w:color w:val="auto"/>
          <w:sz w:val="32"/>
          <w:szCs w:val="32"/>
          <w:lang w:val="en-GB"/>
        </w:rPr>
        <w:t>0.16</w:t>
      </w:r>
      <w:r>
        <w:rPr>
          <w:rFonts w:hint="eastAsia" w:ascii="仿宋_GB2312" w:hAnsi="仿宋" w:eastAsia="仿宋_GB2312" w:cs="宋体"/>
          <w:color w:val="auto"/>
          <w:sz w:val="32"/>
          <w:szCs w:val="32"/>
          <w:lang w:val="en-GB"/>
        </w:rPr>
        <w:t>%。</w:t>
      </w:r>
    </w:p>
    <w:p>
      <w:pPr>
        <w:spacing w:line="600" w:lineRule="exact"/>
        <w:ind w:firstLine="640"/>
        <w:textAlignment w:val="baseline"/>
        <w:rPr>
          <w:rFonts w:hint="eastAsia" w:ascii="仿宋_GB2312" w:hAnsi="仿宋" w:eastAsia="仿宋_GB2312" w:cs="宋体"/>
          <w:color w:val="000000"/>
          <w:sz w:val="32"/>
          <w:szCs w:val="32"/>
          <w:lang w:val="en-GB"/>
        </w:rPr>
      </w:pPr>
      <w:r>
        <w:rPr>
          <w:rFonts w:hint="eastAsia" w:ascii="仿宋_GB2312" w:hAnsi="仿宋" w:eastAsia="仿宋_GB2312" w:cs="宋体"/>
          <w:color w:val="auto"/>
          <w:sz w:val="32"/>
          <w:szCs w:val="32"/>
          <w:lang w:val="en-GB"/>
        </w:rPr>
        <w:t>项目符合国家产业政策。根据长沙则中环保技术有限公司</w:t>
      </w:r>
      <w:r>
        <w:rPr>
          <w:rFonts w:hint="eastAsia" w:ascii="仿宋_GB2312" w:hAnsi="仿宋" w:eastAsia="仿宋_GB2312" w:cs="宋体"/>
          <w:color w:val="auto"/>
          <w:sz w:val="32"/>
          <w:szCs w:val="32"/>
          <w:lang w:val="en-GB" w:eastAsia="zh-CN"/>
        </w:rPr>
        <w:t>编制</w:t>
      </w:r>
      <w:r>
        <w:rPr>
          <w:rFonts w:hint="eastAsia" w:ascii="仿宋_GB2312" w:hAnsi="仿宋" w:eastAsia="仿宋_GB2312" w:cs="宋体"/>
          <w:color w:val="auto"/>
          <w:sz w:val="32"/>
          <w:szCs w:val="32"/>
          <w:lang w:val="en-GB"/>
        </w:rPr>
        <w:t>的环境影响报告表分析结论，在建设单位严格执行环保“三同时”制度，切实落实环评报告和本批复提出的各项环保要求及环境影响减缓措施，确保污染物达标排放的前提下，依据《中华人民共和国环境影响评价法》第二十二条等规定，从环保的角度分析，我局原则同意按照报告表</w:t>
      </w:r>
      <w:r>
        <w:rPr>
          <w:rFonts w:hint="eastAsia" w:ascii="仿宋_GB2312" w:hAnsi="仿宋" w:eastAsia="仿宋_GB2312" w:cs="宋体"/>
          <w:color w:val="000000"/>
          <w:sz w:val="32"/>
          <w:szCs w:val="32"/>
          <w:lang w:val="en-GB"/>
        </w:rPr>
        <w:t>中所列建设项目的性质内容、规模、工艺、地点和环境保护措施实施建设。</w:t>
      </w:r>
    </w:p>
    <w:p>
      <w:pPr>
        <w:spacing w:line="600" w:lineRule="exact"/>
        <w:textAlignment w:val="baseline"/>
        <w:rPr>
          <w:rFonts w:ascii="仿宋_GB2312" w:hAnsi="仿宋" w:eastAsia="仿宋_GB2312" w:cs="宋体"/>
          <w:color w:val="000000"/>
          <w:sz w:val="32"/>
          <w:szCs w:val="32"/>
          <w:lang w:val="en-GB"/>
        </w:rPr>
      </w:pPr>
      <w:r>
        <w:rPr>
          <w:rFonts w:hint="eastAsia" w:ascii="仿宋_GB2312" w:hAnsi="仿宋" w:eastAsia="仿宋_GB2312" w:cs="宋体"/>
          <w:color w:val="000000"/>
          <w:sz w:val="32"/>
          <w:szCs w:val="32"/>
          <w:lang w:val="en-GB"/>
        </w:rPr>
        <w:t>　　二、建设单位在项目设计、建设和营运中，应全面落实报告表中提出的各项污染防治要求，并着重做好以下工作：</w:t>
      </w:r>
    </w:p>
    <w:p>
      <w:pPr>
        <w:spacing w:line="600" w:lineRule="exact"/>
        <w:textAlignment w:val="baseline"/>
        <w:rPr>
          <w:rFonts w:ascii="仿宋_GB2312" w:hAnsi="仿宋" w:eastAsia="仿宋_GB2312" w:cs="宋体"/>
          <w:color w:val="000000"/>
          <w:sz w:val="32"/>
          <w:szCs w:val="32"/>
          <w:lang w:val="en-GB"/>
        </w:rPr>
      </w:pPr>
      <w:r>
        <w:rPr>
          <w:rFonts w:hint="eastAsia" w:ascii="仿宋_GB2312" w:hAnsi="仿宋" w:eastAsia="仿宋_GB2312" w:cs="宋体"/>
          <w:color w:val="000000"/>
          <w:sz w:val="32"/>
          <w:szCs w:val="32"/>
          <w:lang w:val="en-GB"/>
        </w:rPr>
        <w:t>　　（一）相关政策要求。项目建设须符合《产业结构调整指导目录（</w:t>
      </w:r>
      <w:r>
        <w:rPr>
          <w:rFonts w:hint="eastAsia" w:ascii="仿宋_GB2312" w:hAnsi="仿宋" w:eastAsia="仿宋_GB2312" w:cs="宋体"/>
          <w:color w:val="000000"/>
          <w:sz w:val="32"/>
          <w:szCs w:val="32"/>
        </w:rPr>
        <w:t>2019年本</w:t>
      </w:r>
      <w:r>
        <w:rPr>
          <w:rFonts w:hint="eastAsia" w:ascii="仿宋_GB2312" w:hAnsi="仿宋" w:eastAsia="仿宋_GB2312" w:cs="宋体"/>
          <w:color w:val="000000"/>
          <w:sz w:val="32"/>
          <w:szCs w:val="32"/>
          <w:lang w:val="en-GB"/>
        </w:rPr>
        <w:t>）》（</w:t>
      </w:r>
      <w:r>
        <w:rPr>
          <w:rFonts w:hint="eastAsia" w:ascii="仿宋_GB2312" w:hAnsi="仿宋" w:eastAsia="仿宋_GB2312" w:cs="宋体"/>
          <w:color w:val="000000"/>
          <w:sz w:val="32"/>
          <w:szCs w:val="32"/>
        </w:rPr>
        <w:t>2021年修订</w:t>
      </w:r>
      <w:r>
        <w:rPr>
          <w:rFonts w:hint="eastAsia" w:ascii="仿宋_GB2312" w:hAnsi="仿宋" w:eastAsia="仿宋_GB2312" w:cs="宋体"/>
          <w:color w:val="000000"/>
          <w:sz w:val="32"/>
          <w:szCs w:val="32"/>
          <w:lang w:val="en-GB"/>
        </w:rPr>
        <w:t>）。项目的实施应充分考虑项目所在地的环境敏感性，确保各项目环保措施落实到位。</w:t>
      </w:r>
    </w:p>
    <w:p>
      <w:pPr>
        <w:spacing w:line="600" w:lineRule="exact"/>
        <w:textAlignment w:val="baseline"/>
        <w:rPr>
          <w:rFonts w:ascii="仿宋_GB2312" w:hAnsi="仿宋" w:eastAsia="仿宋_GB2312" w:cs="宋体"/>
          <w:color w:val="000000"/>
          <w:sz w:val="32"/>
          <w:szCs w:val="32"/>
          <w:lang w:val="en-GB"/>
        </w:rPr>
      </w:pPr>
      <w:r>
        <w:rPr>
          <w:rFonts w:hint="eastAsia" w:ascii="仿宋_GB2312" w:hAnsi="仿宋" w:eastAsia="仿宋_GB2312" w:cs="宋体"/>
          <w:color w:val="000000"/>
          <w:sz w:val="32"/>
          <w:szCs w:val="32"/>
          <w:lang w:val="en-GB"/>
        </w:rPr>
        <w:t>　　（二）废水污染防治。施工人员生活污水经化粪池处理后用作农家肥使用或林地浇灌。施工废水禁止直接排入沿线地表</w:t>
      </w:r>
      <w:r>
        <w:rPr>
          <w:rFonts w:hint="eastAsia" w:ascii="仿宋_GB2312" w:hAnsi="仿宋" w:eastAsia="仿宋_GB2312" w:cs="宋体"/>
          <w:color w:val="auto"/>
          <w:sz w:val="32"/>
          <w:szCs w:val="32"/>
          <w:lang w:val="en-GB"/>
        </w:rPr>
        <w:t>水体，应经沉淀、隔油除渣等处理后回用于施工场地降</w:t>
      </w:r>
      <w:r>
        <w:rPr>
          <w:rFonts w:hint="eastAsia" w:ascii="仿宋_GB2312" w:hAnsi="仿宋" w:eastAsia="仿宋_GB2312" w:cs="宋体"/>
          <w:color w:val="000000"/>
          <w:sz w:val="32"/>
          <w:szCs w:val="32"/>
          <w:lang w:val="en-GB"/>
        </w:rPr>
        <w:t>尘，有效控制施工废水排放对地表水体的影响。严格管理施工机械，严禁油料泄漏和倾倒废油料。运营期各水厂应分别按“雨污分流、清污分流”的原则建设各厂区内排水系统。各水厂净水工艺过程中产生的沉淀排泥水和滤池反冲洗废水分别经收集进入絮凝沉淀池处理达到《城市污水再生利用农田灌溉用水水质》与《城市污水再生利用绿地灌溉用水水质》标准中较严者后，用于周边农林绿化追肥不外排；县城水厂生活污水纳入市政污水管网，乡镇水厂生活污水经化粪池处理后清掏用于周边农林绿化追肥，不得外排至周边水体。</w:t>
      </w:r>
    </w:p>
    <w:p>
      <w:pPr>
        <w:spacing w:line="600" w:lineRule="exact"/>
        <w:ind w:firstLine="650"/>
        <w:textAlignment w:val="baseline"/>
        <w:rPr>
          <w:rFonts w:ascii="仿宋_GB2312" w:hAnsi="仿宋" w:eastAsia="仿宋_GB2312" w:cs="宋体"/>
          <w:color w:val="000000"/>
          <w:sz w:val="32"/>
        </w:rPr>
      </w:pPr>
      <w:r>
        <w:rPr>
          <w:rFonts w:hint="eastAsia" w:ascii="仿宋_GB2312" w:hAnsi="仿宋" w:eastAsia="仿宋_GB2312" w:cs="宋体"/>
          <w:color w:val="000000"/>
          <w:sz w:val="32"/>
          <w:szCs w:val="32"/>
          <w:lang w:val="en-GB"/>
        </w:rPr>
        <w:t>（三）废气污染防治。</w:t>
      </w:r>
    </w:p>
    <w:p>
      <w:pPr>
        <w:spacing w:line="600" w:lineRule="exact"/>
        <w:ind w:firstLine="650"/>
        <w:textAlignment w:val="baseline"/>
        <w:rPr>
          <w:rFonts w:ascii="仿宋_GB2312" w:hAnsi="仿宋" w:eastAsia="仿宋_GB2312" w:cs="宋体"/>
          <w:color w:val="000000"/>
          <w:sz w:val="32"/>
          <w:szCs w:val="32"/>
        </w:rPr>
      </w:pPr>
      <w:r>
        <w:rPr>
          <w:rFonts w:hint="eastAsia" w:ascii="仿宋_GB2312" w:hAnsi="仿宋" w:eastAsia="仿宋_GB2312" w:cs="宋体"/>
          <w:color w:val="000000"/>
          <w:sz w:val="32"/>
          <w:szCs w:val="32"/>
        </w:rPr>
        <w:t>1、施工期对施工场地、运输道路洒水抑尘，运输车辆采用密闭车辆，控制物料运输、装卸等施工过程产生的扬尘污染；</w:t>
      </w:r>
    </w:p>
    <w:p>
      <w:pPr>
        <w:spacing w:line="600" w:lineRule="exact"/>
        <w:ind w:firstLine="650"/>
        <w:textAlignment w:val="baseline"/>
        <w:rPr>
          <w:rFonts w:ascii="仿宋_GB2312" w:hAnsi="仿宋" w:eastAsia="仿宋_GB2312" w:cs="宋体"/>
          <w:color w:val="000000"/>
          <w:sz w:val="32"/>
          <w:szCs w:val="32"/>
          <w:lang w:val="en-GB"/>
        </w:rPr>
      </w:pPr>
      <w:r>
        <w:rPr>
          <w:rFonts w:hint="eastAsia" w:ascii="仿宋_GB2312" w:hAnsi="仿宋" w:eastAsia="仿宋_GB2312" w:cs="宋体"/>
          <w:color w:val="000000"/>
          <w:sz w:val="32"/>
          <w:szCs w:val="32"/>
        </w:rPr>
        <w:t>2、</w:t>
      </w:r>
      <w:r>
        <w:rPr>
          <w:rFonts w:hint="eastAsia" w:ascii="仿宋_GB2312" w:hAnsi="仿宋" w:eastAsia="仿宋_GB2312" w:cs="宋体"/>
          <w:color w:val="000000"/>
          <w:sz w:val="32"/>
          <w:szCs w:val="32"/>
          <w:lang w:val="en-GB"/>
        </w:rPr>
        <w:t>加强管理及厂区绿化，厂界臭气应满足《恶臭污染物排放标准》（GB14554-93）二级标准要求。</w:t>
      </w:r>
    </w:p>
    <w:p>
      <w:pPr>
        <w:spacing w:line="600" w:lineRule="exact"/>
        <w:ind w:firstLine="650"/>
        <w:textAlignment w:val="baseline"/>
        <w:rPr>
          <w:rFonts w:ascii="仿宋_GB2312" w:hAnsi="仿宋" w:eastAsia="仿宋_GB2312" w:cs="宋体"/>
          <w:color w:val="000000"/>
          <w:sz w:val="32"/>
          <w:szCs w:val="32"/>
          <w:lang w:val="en-GB"/>
        </w:rPr>
      </w:pPr>
      <w:r>
        <w:rPr>
          <w:rFonts w:hint="eastAsia" w:ascii="仿宋_GB2312" w:hAnsi="仿宋" w:eastAsia="仿宋_GB2312" w:cs="宋体"/>
          <w:color w:val="000000"/>
          <w:sz w:val="32"/>
          <w:szCs w:val="32"/>
          <w:lang w:val="en-GB"/>
        </w:rPr>
        <w:t>（四）噪声污染防治。</w:t>
      </w:r>
    </w:p>
    <w:p>
      <w:pPr>
        <w:pStyle w:val="2"/>
        <w:spacing w:after="0"/>
        <w:ind w:firstLine="640" w:firstLineChars="200"/>
        <w:textAlignment w:val="baseline"/>
        <w:rPr>
          <w:rFonts w:ascii="仿宋_GB2312" w:hAnsi="仿宋" w:eastAsia="仿宋_GB2312"/>
          <w:color w:val="000000"/>
          <w:sz w:val="32"/>
          <w:szCs w:val="32"/>
          <w:lang w:val="en-US"/>
        </w:rPr>
      </w:pPr>
      <w:r>
        <w:rPr>
          <w:rFonts w:hint="eastAsia" w:ascii="仿宋_GB2312" w:hAnsi="仿宋" w:eastAsia="仿宋_GB2312"/>
          <w:color w:val="000000"/>
          <w:sz w:val="32"/>
          <w:szCs w:val="32"/>
          <w:lang w:val="en-US"/>
        </w:rPr>
        <w:t>施工期通过合理安排施工时段，选用低噪声施工机械和工艺，加强施工机械和运输车辆的维修保养，采用临时隔声防护等措施，确保作业区场界噪声符合《建筑施工场界环境噪声排放标准》（GB12523-2011）中相关排放限值要求。运营期加强各水厂的噪声控制和管理，优选低噪声设备，对高噪设备采取消声、减振、隔音等措施，做好厂界绿化隔离，确保各水厂厂界噪声符合《工业企业厂界环境噪声排放标准》（GB12348-2008）中2类标准要求。</w:t>
      </w:r>
    </w:p>
    <w:p>
      <w:pPr>
        <w:spacing w:line="600" w:lineRule="exact"/>
        <w:ind w:firstLine="640"/>
        <w:textAlignment w:val="baseline"/>
        <w:rPr>
          <w:rFonts w:ascii="仿宋_GB2312" w:hAnsi="仿宋" w:eastAsia="仿宋_GB2312" w:cs="宋体"/>
          <w:color w:val="000000"/>
          <w:sz w:val="32"/>
          <w:szCs w:val="32"/>
          <w:lang w:val="en-GB"/>
        </w:rPr>
      </w:pPr>
      <w:r>
        <w:rPr>
          <w:rFonts w:hint="eastAsia" w:ascii="仿宋_GB2312" w:hAnsi="仿宋" w:eastAsia="仿宋_GB2312" w:cs="宋体"/>
          <w:color w:val="000000"/>
          <w:sz w:val="32"/>
          <w:szCs w:val="32"/>
          <w:lang w:val="en-GB"/>
        </w:rPr>
        <w:t>（五）固体废物防治。施工期施工场地和营地产生的生活垃圾应设专人收集后交由当地环卫部门集中处理，开挖产生的弃渣与建筑垃圾应运至指定场所进行妥善处置。运营期各水厂按照“减量化、资源化、无害化”原则，对固体废物进行分类收集、处理和处置。污泥经储泥池收集后交由相关公司承包外运进行综合利用；废包装材料外售综合利用；生活垃圾分类收集后统一交由环卫部门妥善处理。污泥及废包装材料暂存应符合《一般工业固体废物贮存、处置场污染控制标准》（GB18599-2001）及2013年修改单要求。</w:t>
      </w:r>
    </w:p>
    <w:p>
      <w:pPr>
        <w:spacing w:line="600" w:lineRule="exact"/>
        <w:textAlignment w:val="baseline"/>
        <w:rPr>
          <w:rFonts w:ascii="仿宋_GB2312" w:hAnsi="仿宋" w:eastAsia="仿宋_GB2312" w:cs="宋体"/>
          <w:color w:val="000000"/>
          <w:sz w:val="32"/>
          <w:szCs w:val="32"/>
          <w:lang w:val="en-GB"/>
        </w:rPr>
      </w:pPr>
      <w:r>
        <w:rPr>
          <w:rFonts w:hint="eastAsia" w:ascii="仿宋_GB2312" w:hAnsi="仿宋" w:eastAsia="仿宋_GB2312" w:cs="宋体"/>
          <w:color w:val="000000"/>
          <w:sz w:val="32"/>
          <w:szCs w:val="32"/>
          <w:lang w:val="en-GB"/>
        </w:rPr>
        <w:t>　　（六）生态环境保护。科学规划，合理布局，注重绿化，</w:t>
      </w:r>
      <w:r>
        <w:rPr>
          <w:rFonts w:hint="eastAsia" w:ascii="仿宋_GB2312" w:hAnsi="仿宋" w:eastAsia="仿宋_GB2312" w:cs="宋体"/>
          <w:color w:val="000000"/>
          <w:sz w:val="32"/>
          <w:szCs w:val="32"/>
          <w:lang w:val="zh-CN"/>
        </w:rPr>
        <w:t>维护区域生态环境质量</w:t>
      </w:r>
      <w:r>
        <w:rPr>
          <w:rFonts w:hint="eastAsia" w:ascii="仿宋_GB2312" w:hAnsi="仿宋" w:eastAsia="仿宋_GB2312" w:cs="宋体"/>
          <w:color w:val="000000"/>
          <w:sz w:val="32"/>
          <w:szCs w:val="32"/>
          <w:lang w:val="en-GB"/>
        </w:rPr>
        <w:t>。强化生态保护和水土保持措施，防止水土流失和生态破坏。</w:t>
      </w:r>
    </w:p>
    <w:p>
      <w:pPr>
        <w:spacing w:line="600" w:lineRule="exact"/>
        <w:textAlignment w:val="baseline"/>
        <w:rPr>
          <w:rFonts w:ascii="仿宋_GB2312" w:hAnsi="仿宋" w:eastAsia="仿宋_GB2312" w:cs="宋体"/>
          <w:color w:val="000000"/>
          <w:sz w:val="32"/>
          <w:szCs w:val="32"/>
          <w:lang w:val="en-GB"/>
        </w:rPr>
      </w:pPr>
      <w:r>
        <w:rPr>
          <w:rFonts w:hint="eastAsia" w:ascii="仿宋_GB2312" w:hAnsi="仿宋" w:eastAsia="仿宋_GB2312" w:cs="宋体"/>
          <w:color w:val="000000"/>
          <w:sz w:val="32"/>
          <w:szCs w:val="32"/>
          <w:lang w:val="en-GB"/>
        </w:rPr>
        <w:t>　　（七）环境风险防范。加强环境风险管理及项目安全生产检查，制定环境风险应急预案及防范措施，提高事故风险防范和污染控制能力，对事故隐患做到及早发现，及时处理，确保区域环境安全。科学布设预警设施、事故应急设施，防止非正常工况和事故状态下环境风险排放。建立严格的操作制度，通过岗前培训、应急演练等方式，不断提高职工素质和处理突发事件的能力。配备专业环保管理人员，做好污防设施的维护管理，确保设备长期稳定运行。</w:t>
      </w:r>
    </w:p>
    <w:p>
      <w:pPr>
        <w:spacing w:line="600" w:lineRule="exact"/>
        <w:textAlignment w:val="baseline"/>
        <w:rPr>
          <w:rFonts w:ascii="仿宋_GB2312" w:hAnsi="仿宋" w:eastAsia="仿宋_GB2312" w:cs="宋体"/>
          <w:color w:val="000000"/>
          <w:sz w:val="32"/>
          <w:szCs w:val="32"/>
          <w:lang w:val="zh-CN"/>
        </w:rPr>
      </w:pPr>
      <w:r>
        <w:rPr>
          <w:rFonts w:hint="eastAsia" w:ascii="仿宋_GB2312" w:hAnsi="仿宋" w:eastAsia="仿宋_GB2312" w:cs="宋体"/>
          <w:color w:val="000000"/>
          <w:sz w:val="32"/>
          <w:szCs w:val="32"/>
          <w:lang w:val="zh-CN"/>
        </w:rPr>
        <w:t xml:space="preserve">　　（八）维护社会稳定。加强对项目附近环境敏感点的环境保护，处理好与周边的关系，防止因环保诉求而引发矛盾，自觉维护社会稳定。 </w:t>
      </w:r>
    </w:p>
    <w:p>
      <w:pPr>
        <w:textAlignment w:val="baseline"/>
        <w:rPr>
          <w:rFonts w:ascii="仿宋" w:hAnsi="仿宋" w:eastAsia="仿宋"/>
          <w:sz w:val="32"/>
          <w:szCs w:val="32"/>
        </w:rPr>
      </w:pPr>
      <w:r>
        <w:rPr>
          <w:rFonts w:hint="eastAsia" w:ascii="仿宋" w:hAnsi="仿宋" w:eastAsia="仿宋"/>
          <w:sz w:val="32"/>
          <w:szCs w:val="32"/>
        </w:rPr>
        <w:t>　　三、总量控制指标。根据环评报告和专家意见，确定本项目不设污染物总量控制指标。</w:t>
      </w:r>
    </w:p>
    <w:p>
      <w:pPr>
        <w:spacing w:line="600" w:lineRule="exact"/>
        <w:textAlignment w:val="baseline"/>
        <w:rPr>
          <w:rFonts w:ascii="仿宋_GB2312" w:hAnsi="仿宋" w:eastAsia="仿宋_GB2312" w:cs="宋体"/>
          <w:color w:val="000000"/>
          <w:sz w:val="32"/>
          <w:szCs w:val="32"/>
          <w:lang w:val="en-GB"/>
        </w:rPr>
      </w:pPr>
      <w:r>
        <w:rPr>
          <w:rFonts w:hint="eastAsia" w:ascii="仿宋_GB2312" w:hAnsi="仿宋" w:eastAsia="仿宋_GB2312" w:cs="宋体"/>
          <w:color w:val="000000"/>
          <w:sz w:val="32"/>
          <w:szCs w:val="32"/>
          <w:lang w:val="en-GB"/>
        </w:rPr>
        <w:t>　　四、项目在环保申报过程中不得隐情不报，如有瞒报、谎报属违法行为，建设单位将承担由此产生的一切后果。本批复各项内容必须严格执行，建设单位如有违反，将依法追究法律责任。</w:t>
      </w:r>
    </w:p>
    <w:p>
      <w:pPr>
        <w:spacing w:line="600" w:lineRule="exact"/>
        <w:ind w:firstLine="641"/>
        <w:textAlignment w:val="baseline"/>
        <w:rPr>
          <w:rFonts w:hint="eastAsia" w:ascii="仿宋" w:hAnsi="仿宋" w:eastAsia="仿宋"/>
          <w:sz w:val="30"/>
          <w:szCs w:val="30"/>
        </w:rPr>
      </w:pPr>
      <w:r>
        <w:rPr>
          <w:rFonts w:hint="eastAsia" w:ascii="仿宋_GB2312" w:hAnsi="仿宋" w:eastAsia="仿宋_GB2312" w:cs="宋体"/>
          <w:color w:val="000000"/>
          <w:sz w:val="32"/>
          <w:szCs w:val="32"/>
          <w:lang w:val="en-GB"/>
        </w:rPr>
        <w:t>五、</w:t>
      </w:r>
      <w:r>
        <w:rPr>
          <w:rFonts w:hint="eastAsia" w:ascii="仿宋" w:hAnsi="仿宋" w:eastAsia="仿宋"/>
          <w:sz w:val="32"/>
          <w:szCs w:val="32"/>
        </w:rPr>
        <w:t>项目建成后，</w:t>
      </w:r>
      <w:r>
        <w:rPr>
          <w:rFonts w:hint="eastAsia" w:ascii="仿宋" w:hAnsi="仿宋" w:eastAsia="仿宋"/>
          <w:sz w:val="30"/>
          <w:szCs w:val="30"/>
        </w:rPr>
        <w:t>按照建设项目环境保护“三同时”规定，对配套建设的环境保护设施及时进行验收并做好信息公示。</w:t>
      </w:r>
    </w:p>
    <w:p>
      <w:pPr>
        <w:spacing w:line="600" w:lineRule="exact"/>
        <w:textAlignment w:val="baseline"/>
        <w:rPr>
          <w:lang w:val="en-GB"/>
        </w:rPr>
      </w:pPr>
      <w:r>
        <w:rPr>
          <w:rFonts w:hint="eastAsia" w:ascii="仿宋_GB2312" w:hAnsi="仿宋" w:eastAsia="仿宋_GB2312" w:cs="宋体"/>
          <w:color w:val="000000"/>
          <w:sz w:val="32"/>
          <w:szCs w:val="32"/>
          <w:lang w:val="en-GB" w:eastAsia="zh-CN"/>
        </w:rPr>
        <w:t>　　六、</w:t>
      </w:r>
      <w:r>
        <w:rPr>
          <w:rFonts w:hint="eastAsia" w:ascii="仿宋_GB2312" w:hAnsi="仿宋" w:eastAsia="仿宋_GB2312" w:cs="宋体"/>
          <w:color w:val="auto"/>
          <w:sz w:val="32"/>
          <w:szCs w:val="32"/>
          <w:lang w:val="en-GB"/>
        </w:rPr>
        <w:t>项目报告表</w:t>
      </w:r>
      <w:r>
        <w:rPr>
          <w:rFonts w:hint="eastAsia" w:ascii="仿宋_GB2312" w:hAnsi="仿宋" w:eastAsia="仿宋_GB2312" w:cs="宋体"/>
          <w:color w:val="000000"/>
          <w:sz w:val="32"/>
          <w:szCs w:val="32"/>
          <w:lang w:val="en-GB"/>
        </w:rPr>
        <w:t>自批复之日起超过5年方开工建设的，或改变项目性质、规模、地点、工艺、环境保护措施的必须依法重新报批。</w:t>
      </w:r>
    </w:p>
    <w:p>
      <w:pPr>
        <w:spacing w:line="600" w:lineRule="exact"/>
        <w:ind w:firstLine="640" w:firstLineChars="200"/>
        <w:textAlignment w:val="baseline"/>
        <w:rPr>
          <w:rFonts w:ascii="仿宋" w:hAnsi="仿宋" w:eastAsia="仿宋"/>
          <w:sz w:val="30"/>
          <w:szCs w:val="30"/>
        </w:rPr>
      </w:pPr>
      <w:r>
        <w:rPr>
          <w:rFonts w:hint="eastAsia" w:ascii="仿宋_GB2312" w:hAnsi="仿宋" w:eastAsia="仿宋_GB2312" w:cs="宋体"/>
          <w:color w:val="000000"/>
          <w:sz w:val="32"/>
          <w:szCs w:val="32"/>
          <w:lang w:val="en-GB" w:eastAsia="zh-CN"/>
        </w:rPr>
        <w:t>七</w:t>
      </w:r>
      <w:r>
        <w:rPr>
          <w:rFonts w:hint="eastAsia" w:ascii="仿宋_GB2312" w:hAnsi="仿宋" w:eastAsia="仿宋_GB2312" w:cs="宋体"/>
          <w:color w:val="000000"/>
          <w:sz w:val="32"/>
          <w:szCs w:val="32"/>
          <w:lang w:val="en-GB"/>
        </w:rPr>
        <w:t>、</w:t>
      </w:r>
      <w:r>
        <w:rPr>
          <w:rFonts w:hint="eastAsia" w:ascii="仿宋" w:eastAsia="仿宋"/>
          <w:sz w:val="32"/>
          <w:szCs w:val="32"/>
        </w:rPr>
        <w:t>东安县生态环境保护综合行政执法局</w:t>
      </w:r>
      <w:r>
        <w:rPr>
          <w:rFonts w:hint="eastAsia" w:ascii="仿宋" w:hAnsi="仿宋" w:eastAsia="仿宋"/>
          <w:sz w:val="30"/>
          <w:szCs w:val="30"/>
        </w:rPr>
        <w:t>负责该项目环保“三同时”制度执行情况的监督检查和日常环境管理工作。</w:t>
      </w:r>
    </w:p>
    <w:p>
      <w:pPr>
        <w:spacing w:line="360" w:lineRule="auto"/>
        <w:textAlignment w:val="baseline"/>
        <w:rPr>
          <w:rFonts w:ascii="仿宋" w:hAnsi="仿宋" w:eastAsia="仿宋"/>
          <w:sz w:val="30"/>
          <w:szCs w:val="30"/>
        </w:rPr>
      </w:pPr>
    </w:p>
    <w:p>
      <w:pPr>
        <w:spacing w:line="520" w:lineRule="exact"/>
        <w:textAlignment w:val="baseline"/>
        <w:rPr>
          <w:rFonts w:ascii="仿宋_GB2312" w:hAnsi="仿宋" w:eastAsia="仿宋_GB2312"/>
          <w:bCs/>
          <w:color w:val="000000"/>
          <w:sz w:val="32"/>
          <w:szCs w:val="32"/>
        </w:rPr>
      </w:pPr>
    </w:p>
    <w:p>
      <w:pPr>
        <w:snapToGrid w:val="0"/>
        <w:spacing w:line="600" w:lineRule="exact"/>
        <w:ind w:firstLine="3840" w:firstLineChars="1200"/>
        <w:textAlignment w:val="baseline"/>
        <w:rPr>
          <w:rFonts w:ascii="仿宋" w:hAnsi="仿宋" w:eastAsia="仿宋" w:cs="仿宋_GB2312"/>
          <w:color w:val="000000"/>
          <w:sz w:val="32"/>
          <w:szCs w:val="32"/>
          <w:lang w:val="zh-CN"/>
        </w:rPr>
      </w:pPr>
      <w:r>
        <w:rPr>
          <w:rFonts w:hint="eastAsia" w:ascii="仿宋_GB2312" w:hAnsi="仿宋" w:eastAsia="仿宋_GB2312" w:cs="仿宋_GB2312"/>
          <w:color w:val="000000"/>
          <w:sz w:val="32"/>
          <w:szCs w:val="32"/>
        </w:rPr>
        <w:t xml:space="preserve">   </w:t>
      </w:r>
      <w:r>
        <w:rPr>
          <w:rFonts w:hint="eastAsia" w:ascii="仿宋" w:hAnsi="仿宋" w:eastAsia="仿宋" w:cs="仿宋_GB2312"/>
          <w:color w:val="000000"/>
          <w:sz w:val="32"/>
          <w:szCs w:val="32"/>
          <w:lang w:val="zh-CN"/>
        </w:rPr>
        <w:t>永州市生态环境局东安分局</w:t>
      </w:r>
    </w:p>
    <w:p>
      <w:pPr>
        <w:pStyle w:val="2"/>
        <w:spacing w:after="0"/>
        <w:textAlignment w:val="baseline"/>
        <w:rPr>
          <w:rFonts w:ascii="仿宋" w:hAnsi="仿宋" w:eastAsia="仿宋" w:cs="仿宋_GB2312"/>
          <w:color w:val="000000"/>
          <w:sz w:val="32"/>
          <w:szCs w:val="32"/>
          <w:lang w:val="en-US"/>
        </w:rPr>
      </w:pPr>
      <w:r>
        <w:rPr>
          <w:rFonts w:hint="eastAsia" w:ascii="仿宋" w:hAnsi="仿宋" w:eastAsia="仿宋" w:cs="仿宋_GB2312"/>
          <w:color w:val="000000"/>
          <w:sz w:val="32"/>
          <w:szCs w:val="32"/>
        </w:rPr>
        <w:t>　　　　　　　　　　　　　　　　</w:t>
      </w:r>
      <w:r>
        <w:rPr>
          <w:rFonts w:hint="eastAsia" w:ascii="仿宋" w:hAnsi="仿宋" w:eastAsia="仿宋" w:cs="仿宋_GB2312"/>
          <w:color w:val="000000"/>
          <w:sz w:val="32"/>
          <w:szCs w:val="32"/>
          <w:lang w:val="en-US"/>
        </w:rPr>
        <w:t>2022年3月</w:t>
      </w:r>
      <w:r>
        <w:rPr>
          <w:rFonts w:hint="eastAsia" w:ascii="仿宋" w:hAnsi="仿宋" w:eastAsia="仿宋" w:cs="仿宋_GB2312"/>
          <w:color w:val="000000"/>
          <w:sz w:val="32"/>
          <w:szCs w:val="32"/>
          <w:lang w:val="en-US" w:eastAsia="zh-CN"/>
        </w:rPr>
        <w:t>11</w:t>
      </w:r>
      <w:r>
        <w:rPr>
          <w:rFonts w:hint="eastAsia" w:ascii="仿宋" w:hAnsi="仿宋" w:eastAsia="仿宋" w:cs="仿宋_GB2312"/>
          <w:color w:val="000000"/>
          <w:sz w:val="32"/>
          <w:szCs w:val="32"/>
          <w:lang w:val="en-US"/>
        </w:rPr>
        <w:t>日</w:t>
      </w:r>
    </w:p>
    <w:p>
      <w:pPr>
        <w:pStyle w:val="2"/>
        <w:spacing w:after="0"/>
        <w:textAlignment w:val="baseline"/>
        <w:rPr>
          <w:rFonts w:ascii="仿宋" w:hAnsi="仿宋" w:eastAsia="仿宋" w:cs="仿宋_GB2312"/>
          <w:color w:val="000000"/>
          <w:sz w:val="32"/>
          <w:szCs w:val="32"/>
          <w:lang w:val="en-US"/>
        </w:rPr>
      </w:pPr>
    </w:p>
    <w:p>
      <w:pPr>
        <w:snapToGrid w:val="0"/>
        <w:spacing w:line="600" w:lineRule="exact"/>
        <w:textAlignment w:val="baseline"/>
        <w:rPr>
          <w:rFonts w:ascii="仿宋_GB2312" w:hAnsi="仿宋" w:eastAsia="仿宋_GB2312"/>
          <w:color w:val="000000"/>
          <w:sz w:val="32"/>
          <w:szCs w:val="32"/>
        </w:rPr>
      </w:pPr>
      <w:r>
        <w:rPr>
          <w:rFonts w:hint="eastAsia" w:ascii="仿宋_GB2312" w:hAnsi="仿宋" w:eastAsia="仿宋_GB2312" w:cs="仿宋_GB2312"/>
          <w:color w:val="000000"/>
          <w:sz w:val="32"/>
          <w:szCs w:val="32"/>
          <w:lang w:val="zh-CN"/>
        </w:rPr>
        <w:t xml:space="preserve">                 </w:t>
      </w: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lang w:val="zh-CN"/>
        </w:rPr>
        <w:t xml:space="preserve">   </w:t>
      </w: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lang w:val="zh-CN"/>
        </w:rPr>
        <w:t xml:space="preserve">     </w:t>
      </w:r>
    </w:p>
    <w:sectPr>
      <w:headerReference r:id="rId3" w:type="default"/>
      <w:footerReference r:id="rId4" w:type="default"/>
      <w:footerReference r:id="rId5" w:type="even"/>
      <w:pgSz w:w="11906" w:h="16838"/>
      <w:pgMar w:top="1701" w:right="1644" w:bottom="1474"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t xml:space="preserve"> </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72CD"/>
    <w:rsid w:val="000208B3"/>
    <w:rsid w:val="00022CAE"/>
    <w:rsid w:val="00043C70"/>
    <w:rsid w:val="00044519"/>
    <w:rsid w:val="00046999"/>
    <w:rsid w:val="00053BE9"/>
    <w:rsid w:val="00054CD8"/>
    <w:rsid w:val="00062696"/>
    <w:rsid w:val="00077D77"/>
    <w:rsid w:val="000906DC"/>
    <w:rsid w:val="000919AA"/>
    <w:rsid w:val="00095508"/>
    <w:rsid w:val="000A3175"/>
    <w:rsid w:val="000B0A56"/>
    <w:rsid w:val="000D3930"/>
    <w:rsid w:val="000D4372"/>
    <w:rsid w:val="000D6070"/>
    <w:rsid w:val="000E4047"/>
    <w:rsid w:val="000E41F7"/>
    <w:rsid w:val="000E4561"/>
    <w:rsid w:val="000F3EDB"/>
    <w:rsid w:val="001043B0"/>
    <w:rsid w:val="001059E3"/>
    <w:rsid w:val="00106CF1"/>
    <w:rsid w:val="00115C3C"/>
    <w:rsid w:val="0012379F"/>
    <w:rsid w:val="001250F0"/>
    <w:rsid w:val="00133C52"/>
    <w:rsid w:val="00134DD7"/>
    <w:rsid w:val="00143821"/>
    <w:rsid w:val="00146AEF"/>
    <w:rsid w:val="001551A7"/>
    <w:rsid w:val="001563D1"/>
    <w:rsid w:val="001647AE"/>
    <w:rsid w:val="00164BC5"/>
    <w:rsid w:val="00172A27"/>
    <w:rsid w:val="001A52DE"/>
    <w:rsid w:val="001B0A03"/>
    <w:rsid w:val="001B3F93"/>
    <w:rsid w:val="001C2D3D"/>
    <w:rsid w:val="001C2F62"/>
    <w:rsid w:val="001D6C0D"/>
    <w:rsid w:val="001D6DE1"/>
    <w:rsid w:val="001D7341"/>
    <w:rsid w:val="001E370C"/>
    <w:rsid w:val="001E52EA"/>
    <w:rsid w:val="00205DBE"/>
    <w:rsid w:val="0021131E"/>
    <w:rsid w:val="002131E8"/>
    <w:rsid w:val="00232BFF"/>
    <w:rsid w:val="00241539"/>
    <w:rsid w:val="00254E67"/>
    <w:rsid w:val="002614F7"/>
    <w:rsid w:val="00264AA7"/>
    <w:rsid w:val="00265EED"/>
    <w:rsid w:val="00266A7B"/>
    <w:rsid w:val="00266FFB"/>
    <w:rsid w:val="00270FC3"/>
    <w:rsid w:val="002748C4"/>
    <w:rsid w:val="00282869"/>
    <w:rsid w:val="00293543"/>
    <w:rsid w:val="00297EDA"/>
    <w:rsid w:val="002A0A67"/>
    <w:rsid w:val="002A3772"/>
    <w:rsid w:val="002B36DC"/>
    <w:rsid w:val="002C074A"/>
    <w:rsid w:val="002C1AC7"/>
    <w:rsid w:val="002C3203"/>
    <w:rsid w:val="002E3FC3"/>
    <w:rsid w:val="002E5EC0"/>
    <w:rsid w:val="002E76F3"/>
    <w:rsid w:val="002F0422"/>
    <w:rsid w:val="002F1801"/>
    <w:rsid w:val="002F56B5"/>
    <w:rsid w:val="0032235E"/>
    <w:rsid w:val="003242F2"/>
    <w:rsid w:val="00342072"/>
    <w:rsid w:val="00343D73"/>
    <w:rsid w:val="0034403A"/>
    <w:rsid w:val="00344384"/>
    <w:rsid w:val="003612A5"/>
    <w:rsid w:val="00375057"/>
    <w:rsid w:val="003760ED"/>
    <w:rsid w:val="003809FA"/>
    <w:rsid w:val="00386598"/>
    <w:rsid w:val="0039084A"/>
    <w:rsid w:val="003909A2"/>
    <w:rsid w:val="00391F05"/>
    <w:rsid w:val="003945C7"/>
    <w:rsid w:val="003978D5"/>
    <w:rsid w:val="00397F21"/>
    <w:rsid w:val="003A0092"/>
    <w:rsid w:val="003A2324"/>
    <w:rsid w:val="003A2AEE"/>
    <w:rsid w:val="003A507C"/>
    <w:rsid w:val="003A7091"/>
    <w:rsid w:val="003C3238"/>
    <w:rsid w:val="003C709E"/>
    <w:rsid w:val="003D6D86"/>
    <w:rsid w:val="003E1D3A"/>
    <w:rsid w:val="003E214E"/>
    <w:rsid w:val="003F41CD"/>
    <w:rsid w:val="003F7440"/>
    <w:rsid w:val="003F7D8D"/>
    <w:rsid w:val="0040106E"/>
    <w:rsid w:val="0041101E"/>
    <w:rsid w:val="004171EB"/>
    <w:rsid w:val="00417952"/>
    <w:rsid w:val="00430331"/>
    <w:rsid w:val="00432F30"/>
    <w:rsid w:val="0044342C"/>
    <w:rsid w:val="00453997"/>
    <w:rsid w:val="004608D8"/>
    <w:rsid w:val="00490009"/>
    <w:rsid w:val="00494B1F"/>
    <w:rsid w:val="00494DC8"/>
    <w:rsid w:val="00496A6F"/>
    <w:rsid w:val="00496D1B"/>
    <w:rsid w:val="004970F7"/>
    <w:rsid w:val="004A45BA"/>
    <w:rsid w:val="004A4CF5"/>
    <w:rsid w:val="004B33F1"/>
    <w:rsid w:val="004B3E81"/>
    <w:rsid w:val="004B4265"/>
    <w:rsid w:val="004B623F"/>
    <w:rsid w:val="004D34B2"/>
    <w:rsid w:val="004D3A82"/>
    <w:rsid w:val="004E1458"/>
    <w:rsid w:val="004E1EA1"/>
    <w:rsid w:val="004E52FC"/>
    <w:rsid w:val="004F47DA"/>
    <w:rsid w:val="004F799C"/>
    <w:rsid w:val="005016FA"/>
    <w:rsid w:val="00505303"/>
    <w:rsid w:val="00506FA1"/>
    <w:rsid w:val="005108F7"/>
    <w:rsid w:val="00511EDC"/>
    <w:rsid w:val="00517638"/>
    <w:rsid w:val="005209DF"/>
    <w:rsid w:val="005272C3"/>
    <w:rsid w:val="005353F4"/>
    <w:rsid w:val="00536E57"/>
    <w:rsid w:val="0054067C"/>
    <w:rsid w:val="00551306"/>
    <w:rsid w:val="00565905"/>
    <w:rsid w:val="00565C6B"/>
    <w:rsid w:val="005671F6"/>
    <w:rsid w:val="005856A6"/>
    <w:rsid w:val="005A42AF"/>
    <w:rsid w:val="005B45BF"/>
    <w:rsid w:val="005C1DEC"/>
    <w:rsid w:val="005C6F4F"/>
    <w:rsid w:val="005C7567"/>
    <w:rsid w:val="005D08C7"/>
    <w:rsid w:val="005D5823"/>
    <w:rsid w:val="005E018E"/>
    <w:rsid w:val="005E38D8"/>
    <w:rsid w:val="005F28F4"/>
    <w:rsid w:val="005F3F60"/>
    <w:rsid w:val="005F5C4C"/>
    <w:rsid w:val="00603136"/>
    <w:rsid w:val="00610F0B"/>
    <w:rsid w:val="006258B2"/>
    <w:rsid w:val="00632922"/>
    <w:rsid w:val="0067173D"/>
    <w:rsid w:val="006723D5"/>
    <w:rsid w:val="0067412D"/>
    <w:rsid w:val="00680034"/>
    <w:rsid w:val="00685679"/>
    <w:rsid w:val="0069085B"/>
    <w:rsid w:val="006910F7"/>
    <w:rsid w:val="006C0528"/>
    <w:rsid w:val="006C6113"/>
    <w:rsid w:val="006D4094"/>
    <w:rsid w:val="006D4A6A"/>
    <w:rsid w:val="006E0F8D"/>
    <w:rsid w:val="006E17F3"/>
    <w:rsid w:val="006F003D"/>
    <w:rsid w:val="007075D0"/>
    <w:rsid w:val="00707A91"/>
    <w:rsid w:val="007151D1"/>
    <w:rsid w:val="00715EB0"/>
    <w:rsid w:val="00726E52"/>
    <w:rsid w:val="00730E03"/>
    <w:rsid w:val="00735892"/>
    <w:rsid w:val="0073615A"/>
    <w:rsid w:val="0074285D"/>
    <w:rsid w:val="0074598B"/>
    <w:rsid w:val="007467E9"/>
    <w:rsid w:val="00747E5B"/>
    <w:rsid w:val="00751C3E"/>
    <w:rsid w:val="00753D03"/>
    <w:rsid w:val="00756A29"/>
    <w:rsid w:val="00757A63"/>
    <w:rsid w:val="00763B9F"/>
    <w:rsid w:val="00773847"/>
    <w:rsid w:val="00775500"/>
    <w:rsid w:val="00783ED3"/>
    <w:rsid w:val="00793CBD"/>
    <w:rsid w:val="007A0B9A"/>
    <w:rsid w:val="007A2CB7"/>
    <w:rsid w:val="007A6445"/>
    <w:rsid w:val="007B4420"/>
    <w:rsid w:val="007B573C"/>
    <w:rsid w:val="007C5158"/>
    <w:rsid w:val="007D0BB5"/>
    <w:rsid w:val="007D0D45"/>
    <w:rsid w:val="007E209A"/>
    <w:rsid w:val="007E219D"/>
    <w:rsid w:val="007E4A1E"/>
    <w:rsid w:val="007F0DBF"/>
    <w:rsid w:val="007F2508"/>
    <w:rsid w:val="007F5DDE"/>
    <w:rsid w:val="00805A1D"/>
    <w:rsid w:val="008124FB"/>
    <w:rsid w:val="00820395"/>
    <w:rsid w:val="00821623"/>
    <w:rsid w:val="008248D3"/>
    <w:rsid w:val="00834755"/>
    <w:rsid w:val="0083600A"/>
    <w:rsid w:val="00841445"/>
    <w:rsid w:val="00841E03"/>
    <w:rsid w:val="008501A4"/>
    <w:rsid w:val="008518E1"/>
    <w:rsid w:val="00853297"/>
    <w:rsid w:val="00862659"/>
    <w:rsid w:val="00863449"/>
    <w:rsid w:val="00864F3C"/>
    <w:rsid w:val="00873755"/>
    <w:rsid w:val="00876D59"/>
    <w:rsid w:val="00886F6B"/>
    <w:rsid w:val="00890F81"/>
    <w:rsid w:val="00892D45"/>
    <w:rsid w:val="0089364C"/>
    <w:rsid w:val="008A17B2"/>
    <w:rsid w:val="008A3A15"/>
    <w:rsid w:val="008A5BCD"/>
    <w:rsid w:val="008B0E82"/>
    <w:rsid w:val="008C3121"/>
    <w:rsid w:val="008D4538"/>
    <w:rsid w:val="008E1E76"/>
    <w:rsid w:val="008E2069"/>
    <w:rsid w:val="008F011F"/>
    <w:rsid w:val="008F033A"/>
    <w:rsid w:val="008F3E9F"/>
    <w:rsid w:val="008F6FF7"/>
    <w:rsid w:val="00905FC1"/>
    <w:rsid w:val="00913049"/>
    <w:rsid w:val="00920C99"/>
    <w:rsid w:val="009258EC"/>
    <w:rsid w:val="0092786C"/>
    <w:rsid w:val="009340EF"/>
    <w:rsid w:val="00934B42"/>
    <w:rsid w:val="009358E2"/>
    <w:rsid w:val="009367E8"/>
    <w:rsid w:val="0094051A"/>
    <w:rsid w:val="00951F05"/>
    <w:rsid w:val="00957726"/>
    <w:rsid w:val="00960BA3"/>
    <w:rsid w:val="009679A2"/>
    <w:rsid w:val="00970582"/>
    <w:rsid w:val="009730E7"/>
    <w:rsid w:val="00973B68"/>
    <w:rsid w:val="009838E9"/>
    <w:rsid w:val="00987189"/>
    <w:rsid w:val="00992913"/>
    <w:rsid w:val="00995B22"/>
    <w:rsid w:val="009C059E"/>
    <w:rsid w:val="009C07FE"/>
    <w:rsid w:val="009C38E9"/>
    <w:rsid w:val="009C3D09"/>
    <w:rsid w:val="009C5226"/>
    <w:rsid w:val="009C5D11"/>
    <w:rsid w:val="009C60C7"/>
    <w:rsid w:val="009C6658"/>
    <w:rsid w:val="009D6929"/>
    <w:rsid w:val="009E3F42"/>
    <w:rsid w:val="009F1E09"/>
    <w:rsid w:val="009F4284"/>
    <w:rsid w:val="00A00347"/>
    <w:rsid w:val="00A12612"/>
    <w:rsid w:val="00A16DFC"/>
    <w:rsid w:val="00A24252"/>
    <w:rsid w:val="00A260F7"/>
    <w:rsid w:val="00A26BBB"/>
    <w:rsid w:val="00A4019D"/>
    <w:rsid w:val="00A407C0"/>
    <w:rsid w:val="00A475AD"/>
    <w:rsid w:val="00A51458"/>
    <w:rsid w:val="00A51FE8"/>
    <w:rsid w:val="00A53C13"/>
    <w:rsid w:val="00A54165"/>
    <w:rsid w:val="00A5449F"/>
    <w:rsid w:val="00A566C3"/>
    <w:rsid w:val="00A56B08"/>
    <w:rsid w:val="00A63418"/>
    <w:rsid w:val="00A63CD3"/>
    <w:rsid w:val="00A7130B"/>
    <w:rsid w:val="00A83499"/>
    <w:rsid w:val="00A844A6"/>
    <w:rsid w:val="00A848A0"/>
    <w:rsid w:val="00A854D0"/>
    <w:rsid w:val="00A92FC9"/>
    <w:rsid w:val="00AA3D82"/>
    <w:rsid w:val="00AB7231"/>
    <w:rsid w:val="00AC2F29"/>
    <w:rsid w:val="00AC6FA0"/>
    <w:rsid w:val="00AC7B37"/>
    <w:rsid w:val="00AD38AF"/>
    <w:rsid w:val="00AD5280"/>
    <w:rsid w:val="00AE4822"/>
    <w:rsid w:val="00AF4AF9"/>
    <w:rsid w:val="00AF799E"/>
    <w:rsid w:val="00B12438"/>
    <w:rsid w:val="00B2201D"/>
    <w:rsid w:val="00B22EA0"/>
    <w:rsid w:val="00B34AAD"/>
    <w:rsid w:val="00B429B8"/>
    <w:rsid w:val="00B51452"/>
    <w:rsid w:val="00B53748"/>
    <w:rsid w:val="00B53857"/>
    <w:rsid w:val="00B55B83"/>
    <w:rsid w:val="00B61324"/>
    <w:rsid w:val="00B625F0"/>
    <w:rsid w:val="00B65CBA"/>
    <w:rsid w:val="00B75A64"/>
    <w:rsid w:val="00B800B0"/>
    <w:rsid w:val="00B81752"/>
    <w:rsid w:val="00B82AC5"/>
    <w:rsid w:val="00B85DDE"/>
    <w:rsid w:val="00B9186D"/>
    <w:rsid w:val="00BA3AD6"/>
    <w:rsid w:val="00BA6E30"/>
    <w:rsid w:val="00BC0871"/>
    <w:rsid w:val="00BC1406"/>
    <w:rsid w:val="00BC409E"/>
    <w:rsid w:val="00BC4643"/>
    <w:rsid w:val="00BC4E5F"/>
    <w:rsid w:val="00BD5E44"/>
    <w:rsid w:val="00BE082C"/>
    <w:rsid w:val="00BE3019"/>
    <w:rsid w:val="00BF05AD"/>
    <w:rsid w:val="00BF61D5"/>
    <w:rsid w:val="00C02CE5"/>
    <w:rsid w:val="00C07C48"/>
    <w:rsid w:val="00C2064B"/>
    <w:rsid w:val="00C21036"/>
    <w:rsid w:val="00C24778"/>
    <w:rsid w:val="00C40192"/>
    <w:rsid w:val="00C55887"/>
    <w:rsid w:val="00C56F9A"/>
    <w:rsid w:val="00C5722C"/>
    <w:rsid w:val="00C572E1"/>
    <w:rsid w:val="00C6400B"/>
    <w:rsid w:val="00C65B3E"/>
    <w:rsid w:val="00C7486B"/>
    <w:rsid w:val="00C74A9A"/>
    <w:rsid w:val="00C7793B"/>
    <w:rsid w:val="00C8168B"/>
    <w:rsid w:val="00C8690F"/>
    <w:rsid w:val="00C86C5D"/>
    <w:rsid w:val="00C916B2"/>
    <w:rsid w:val="00C931CA"/>
    <w:rsid w:val="00C95E61"/>
    <w:rsid w:val="00CA202A"/>
    <w:rsid w:val="00CA3B67"/>
    <w:rsid w:val="00CB229D"/>
    <w:rsid w:val="00CB5B42"/>
    <w:rsid w:val="00CD07E8"/>
    <w:rsid w:val="00CD4CCC"/>
    <w:rsid w:val="00CD66D1"/>
    <w:rsid w:val="00CD767F"/>
    <w:rsid w:val="00CF1235"/>
    <w:rsid w:val="00CF6162"/>
    <w:rsid w:val="00D065FA"/>
    <w:rsid w:val="00D223D4"/>
    <w:rsid w:val="00D26775"/>
    <w:rsid w:val="00D4203A"/>
    <w:rsid w:val="00D426A4"/>
    <w:rsid w:val="00D42F3E"/>
    <w:rsid w:val="00D451A0"/>
    <w:rsid w:val="00D47295"/>
    <w:rsid w:val="00D53374"/>
    <w:rsid w:val="00D60C18"/>
    <w:rsid w:val="00D64109"/>
    <w:rsid w:val="00D66B77"/>
    <w:rsid w:val="00D8098E"/>
    <w:rsid w:val="00D907AE"/>
    <w:rsid w:val="00DB0F0B"/>
    <w:rsid w:val="00DC5BCA"/>
    <w:rsid w:val="00DC7C1B"/>
    <w:rsid w:val="00DD1EE9"/>
    <w:rsid w:val="00DD4D63"/>
    <w:rsid w:val="00DD5A54"/>
    <w:rsid w:val="00DD75B5"/>
    <w:rsid w:val="00DE760A"/>
    <w:rsid w:val="00DF1948"/>
    <w:rsid w:val="00DF1A99"/>
    <w:rsid w:val="00E0096C"/>
    <w:rsid w:val="00E07B1A"/>
    <w:rsid w:val="00E14DDC"/>
    <w:rsid w:val="00E175A1"/>
    <w:rsid w:val="00E22F42"/>
    <w:rsid w:val="00E3470A"/>
    <w:rsid w:val="00E44062"/>
    <w:rsid w:val="00E534AB"/>
    <w:rsid w:val="00E76A89"/>
    <w:rsid w:val="00E77318"/>
    <w:rsid w:val="00E77F8A"/>
    <w:rsid w:val="00E805BC"/>
    <w:rsid w:val="00E849BF"/>
    <w:rsid w:val="00E93A79"/>
    <w:rsid w:val="00EA63E6"/>
    <w:rsid w:val="00EA7479"/>
    <w:rsid w:val="00EB304B"/>
    <w:rsid w:val="00EC4634"/>
    <w:rsid w:val="00EC7276"/>
    <w:rsid w:val="00ED1E40"/>
    <w:rsid w:val="00ED30FD"/>
    <w:rsid w:val="00ED59B9"/>
    <w:rsid w:val="00EE0235"/>
    <w:rsid w:val="00EE3BE6"/>
    <w:rsid w:val="00EE54AE"/>
    <w:rsid w:val="00EF4802"/>
    <w:rsid w:val="00F01B8B"/>
    <w:rsid w:val="00F055C8"/>
    <w:rsid w:val="00F0662B"/>
    <w:rsid w:val="00F1094B"/>
    <w:rsid w:val="00F11777"/>
    <w:rsid w:val="00F13AFA"/>
    <w:rsid w:val="00F26999"/>
    <w:rsid w:val="00F320BD"/>
    <w:rsid w:val="00F33F0E"/>
    <w:rsid w:val="00F36987"/>
    <w:rsid w:val="00F41731"/>
    <w:rsid w:val="00F52FC2"/>
    <w:rsid w:val="00F610A9"/>
    <w:rsid w:val="00F63DE1"/>
    <w:rsid w:val="00F80D75"/>
    <w:rsid w:val="00F8203B"/>
    <w:rsid w:val="00F90CFC"/>
    <w:rsid w:val="00F91DEA"/>
    <w:rsid w:val="00F95562"/>
    <w:rsid w:val="00FA3F21"/>
    <w:rsid w:val="00FA4A2B"/>
    <w:rsid w:val="00FC3769"/>
    <w:rsid w:val="00FC4ACA"/>
    <w:rsid w:val="00FC5ED1"/>
    <w:rsid w:val="00FD3178"/>
    <w:rsid w:val="00FD5932"/>
    <w:rsid w:val="00FE2C97"/>
    <w:rsid w:val="00FE2E64"/>
    <w:rsid w:val="00FE43B7"/>
    <w:rsid w:val="00FE6AB0"/>
    <w:rsid w:val="00FF583F"/>
    <w:rsid w:val="01444C23"/>
    <w:rsid w:val="024D68B1"/>
    <w:rsid w:val="02D214FE"/>
    <w:rsid w:val="043F7B39"/>
    <w:rsid w:val="049C69B5"/>
    <w:rsid w:val="058121BE"/>
    <w:rsid w:val="05910E8A"/>
    <w:rsid w:val="05B43A63"/>
    <w:rsid w:val="06485B04"/>
    <w:rsid w:val="0752415C"/>
    <w:rsid w:val="084878EF"/>
    <w:rsid w:val="085903E8"/>
    <w:rsid w:val="0A76233A"/>
    <w:rsid w:val="0D231BF4"/>
    <w:rsid w:val="0D965D55"/>
    <w:rsid w:val="12115C06"/>
    <w:rsid w:val="12AC0B2F"/>
    <w:rsid w:val="134B015B"/>
    <w:rsid w:val="135750B9"/>
    <w:rsid w:val="13944CE0"/>
    <w:rsid w:val="149D30F5"/>
    <w:rsid w:val="16C277E9"/>
    <w:rsid w:val="16C736A2"/>
    <w:rsid w:val="181547CF"/>
    <w:rsid w:val="1849013D"/>
    <w:rsid w:val="1854538D"/>
    <w:rsid w:val="18623FB7"/>
    <w:rsid w:val="191B6BC1"/>
    <w:rsid w:val="1AF9206C"/>
    <w:rsid w:val="1AFD2D33"/>
    <w:rsid w:val="21F633BE"/>
    <w:rsid w:val="22364C96"/>
    <w:rsid w:val="24977EBA"/>
    <w:rsid w:val="254524EC"/>
    <w:rsid w:val="27035D34"/>
    <w:rsid w:val="291E7D91"/>
    <w:rsid w:val="29817B0C"/>
    <w:rsid w:val="2A567EDB"/>
    <w:rsid w:val="2A993C15"/>
    <w:rsid w:val="2F5A5CC3"/>
    <w:rsid w:val="2F900769"/>
    <w:rsid w:val="2FC44B25"/>
    <w:rsid w:val="30C44EA8"/>
    <w:rsid w:val="31EF3F1D"/>
    <w:rsid w:val="31FF491D"/>
    <w:rsid w:val="32F41BAB"/>
    <w:rsid w:val="3313038A"/>
    <w:rsid w:val="33F95760"/>
    <w:rsid w:val="350837D9"/>
    <w:rsid w:val="3508389A"/>
    <w:rsid w:val="37BD09B3"/>
    <w:rsid w:val="380C756E"/>
    <w:rsid w:val="38E3154D"/>
    <w:rsid w:val="3ACA2A7C"/>
    <w:rsid w:val="3B9574DE"/>
    <w:rsid w:val="3CAC69A4"/>
    <w:rsid w:val="404F0D42"/>
    <w:rsid w:val="42A711AD"/>
    <w:rsid w:val="42AD1164"/>
    <w:rsid w:val="43BE554B"/>
    <w:rsid w:val="442F1269"/>
    <w:rsid w:val="45F05BBC"/>
    <w:rsid w:val="465E2831"/>
    <w:rsid w:val="48592450"/>
    <w:rsid w:val="50132C0E"/>
    <w:rsid w:val="51A00065"/>
    <w:rsid w:val="52F553D2"/>
    <w:rsid w:val="53236A4A"/>
    <w:rsid w:val="539B4A64"/>
    <w:rsid w:val="55832EBB"/>
    <w:rsid w:val="55E25389"/>
    <w:rsid w:val="56281E0F"/>
    <w:rsid w:val="57B277DD"/>
    <w:rsid w:val="584831EA"/>
    <w:rsid w:val="5FBF7CC4"/>
    <w:rsid w:val="61CE5E78"/>
    <w:rsid w:val="63824CC2"/>
    <w:rsid w:val="64C453AD"/>
    <w:rsid w:val="65985F09"/>
    <w:rsid w:val="666563CF"/>
    <w:rsid w:val="668B173E"/>
    <w:rsid w:val="67090FBC"/>
    <w:rsid w:val="684C660B"/>
    <w:rsid w:val="692F2C50"/>
    <w:rsid w:val="6A804210"/>
    <w:rsid w:val="6A9A3535"/>
    <w:rsid w:val="6B8B56D3"/>
    <w:rsid w:val="6F5E4A4D"/>
    <w:rsid w:val="6FBC351E"/>
    <w:rsid w:val="703F55D7"/>
    <w:rsid w:val="711820A2"/>
    <w:rsid w:val="72081357"/>
    <w:rsid w:val="720B5E24"/>
    <w:rsid w:val="7230318C"/>
    <w:rsid w:val="72FD4E87"/>
    <w:rsid w:val="73072E9E"/>
    <w:rsid w:val="754750AF"/>
    <w:rsid w:val="766E0363"/>
    <w:rsid w:val="768457C1"/>
    <w:rsid w:val="77986541"/>
    <w:rsid w:val="789B0B08"/>
    <w:rsid w:val="79B66626"/>
    <w:rsid w:val="7ADD2916"/>
    <w:rsid w:val="7C330293"/>
    <w:rsid w:val="7C9A0658"/>
    <w:rsid w:val="7D686D0D"/>
    <w:rsid w:val="7DD1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宋体" w:hAnsi="宋体" w:cs="宋体"/>
      <w:sz w:val="28"/>
      <w:szCs w:val="22"/>
      <w:lang w:val="zh-CN"/>
    </w:rPr>
  </w:style>
  <w:style w:type="paragraph" w:styleId="3">
    <w:name w:val="Document Map"/>
    <w:basedOn w:val="1"/>
    <w:semiHidden/>
    <w:qFormat/>
    <w:uiPriority w:val="0"/>
    <w:pPr>
      <w:shd w:val="clear" w:color="auto" w:fill="00008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Char Char"/>
    <w:basedOn w:val="3"/>
    <w:qFormat/>
    <w:uiPriority w:val="0"/>
    <w:pPr>
      <w:adjustRightInd w:val="0"/>
      <w:spacing w:line="436" w:lineRule="exact"/>
      <w:ind w:left="357"/>
      <w:jc w:val="left"/>
      <w:outlineLvl w:val="3"/>
    </w:pPr>
    <w:rPr>
      <w:rFonts w:ascii="Tahoma" w:hAnsi="Tahoma"/>
      <w:b/>
      <w:sz w:val="44"/>
    </w:rPr>
  </w:style>
  <w:style w:type="paragraph" w:customStyle="1" w:styleId="11">
    <w:name w:val="Char1"/>
    <w:basedOn w:val="1"/>
    <w:qFormat/>
    <w:uiPriority w:val="0"/>
    <w:pPr>
      <w:spacing w:line="360" w:lineRule="auto"/>
      <w:ind w:firstLine="200" w:firstLineChars="200"/>
    </w:pPr>
    <w:rPr>
      <w:rFonts w:ascii="宋体" w:cs="宋体"/>
      <w:sz w:val="24"/>
    </w:rPr>
  </w:style>
  <w:style w:type="paragraph" w:customStyle="1" w:styleId="12">
    <w:name w:val="1 Char"/>
    <w:basedOn w:val="1"/>
    <w:qFormat/>
    <w:uiPriority w:val="0"/>
    <w:rPr>
      <w:sz w:val="24"/>
    </w:rPr>
  </w:style>
  <w:style w:type="paragraph" w:customStyle="1" w:styleId="13">
    <w:name w:val="正文小四"/>
    <w:qFormat/>
    <w:uiPriority w:val="0"/>
    <w:pPr>
      <w:ind w:firstLine="150" w:firstLineChars="150"/>
    </w:pPr>
    <w:rPr>
      <w:rFonts w:ascii="宋体" w:hAnsi="Times New Roman" w:eastAsia="宋体" w:cs="Times New Roman"/>
      <w:kern w:val="2"/>
      <w:sz w:val="24"/>
      <w:szCs w:val="24"/>
      <w:lang w:val="en-US" w:eastAsia="zh-CN" w:bidi="ar-SA"/>
    </w:rPr>
  </w:style>
  <w:style w:type="paragraph" w:customStyle="1" w:styleId="14">
    <w:name w:val="永环书正文"/>
    <w:basedOn w:val="1"/>
    <w:qFormat/>
    <w:uiPriority w:val="0"/>
    <w:pPr>
      <w:spacing w:beforeLines="20" w:afterLines="20" w:line="360" w:lineRule="auto"/>
      <w:ind w:firstLine="200" w:firstLineChars="200"/>
    </w:pPr>
    <w:rPr>
      <w:sz w:val="24"/>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E9C73-4A6B-46D3-92B5-755FEAFD910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373</Words>
  <Characters>2130</Characters>
  <Lines>17</Lines>
  <Paragraphs>4</Paragraphs>
  <TotalTime>15</TotalTime>
  <ScaleCrop>false</ScaleCrop>
  <LinksUpToDate>false</LinksUpToDate>
  <CharactersWithSpaces>2499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2018-05-08T02:24:00Z</dcterms:created>
  <dc:creator>微软用户</dc:creator>
  <cp:lastModifiedBy>宝贝</cp:lastModifiedBy>
  <cp:lastPrinted>2022-03-11T03:32:58Z</cp:lastPrinted>
  <dcterms:modified xsi:type="dcterms:W3CDTF">2022-03-11T03:35:30Z</dcterms:modified>
  <dc:title>永环评[2012] 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D1FB2800760F48D3AA882B2A4A361018</vt:lpwstr>
  </property>
</Properties>
</file>