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7482D">
      <w:pPr>
        <w:pStyle w:val="2"/>
        <w:jc w:val="left"/>
        <w:rPr>
          <w:rFonts w:ascii="方正公文小标宋" w:eastAsia="方正公文小标宋"/>
          <w:b w:val="0"/>
          <w:sz w:val="84"/>
          <w:szCs w:val="84"/>
          <w:lang w:eastAsia="zh-CN"/>
        </w:rPr>
      </w:pPr>
    </w:p>
    <w:p w14:paraId="6C03FE2B">
      <w:pPr>
        <w:pStyle w:val="2"/>
        <w:jc w:val="left"/>
        <w:rPr>
          <w:rFonts w:ascii="方正公文小标宋" w:eastAsia="方正公文小标宋"/>
          <w:b w:val="0"/>
          <w:sz w:val="84"/>
          <w:szCs w:val="84"/>
          <w:lang w:eastAsia="zh-CN"/>
        </w:rPr>
      </w:pPr>
    </w:p>
    <w:p w14:paraId="56B97E0D">
      <w:pPr>
        <w:adjustRightInd/>
        <w:snapToGrid/>
        <w:spacing w:before="0" w:beforeLines="0" w:after="0" w:afterLines="0"/>
        <w:jc w:val="center"/>
        <w:rPr>
          <w:rFonts w:hint="eastAsia" w:ascii="Times New Roman" w:hAnsi="方正公文小标宋" w:eastAsia="方正公文小标宋"/>
          <w:b w:val="0"/>
          <w:bCs w:val="0"/>
          <w:snapToGrid/>
          <w:kern w:val="0"/>
          <w:sz w:val="84"/>
          <w:szCs w:val="84"/>
        </w:rPr>
      </w:pPr>
      <w:r>
        <w:rPr>
          <w:rFonts w:hint="eastAsia" w:ascii="Times New Roman" w:hAnsi="方正公文小标宋" w:eastAsia="方正公文小标宋"/>
          <w:b w:val="0"/>
          <w:bCs w:val="0"/>
          <w:snapToGrid/>
          <w:kern w:val="0"/>
          <w:sz w:val="84"/>
          <w:szCs w:val="84"/>
        </w:rPr>
        <w:t>湖南省永州市东安县白牙市镇</w:t>
      </w:r>
    </w:p>
    <w:p w14:paraId="06DC324F">
      <w:pPr>
        <w:adjustRightInd/>
        <w:snapToGrid/>
        <w:spacing w:before="0" w:beforeLines="0" w:after="0" w:afterLines="0"/>
        <w:jc w:val="center"/>
        <w:rPr>
          <w:rFonts w:hint="eastAsia" w:ascii="Times New Roman" w:hAnsi="方正公文小标宋" w:eastAsia="方正公文小标宋"/>
          <w:b w:val="0"/>
          <w:bCs w:val="0"/>
          <w:snapToGrid/>
          <w:kern w:val="0"/>
          <w:sz w:val="84"/>
          <w:szCs w:val="84"/>
        </w:rPr>
      </w:pPr>
      <w:r>
        <w:rPr>
          <w:rFonts w:hint="eastAsia" w:ascii="Times New Roman" w:hAnsi="方正公文小标宋" w:eastAsia="方正公文小标宋"/>
          <w:b w:val="0"/>
          <w:bCs w:val="0"/>
          <w:snapToGrid/>
          <w:kern w:val="0"/>
          <w:sz w:val="84"/>
          <w:szCs w:val="84"/>
        </w:rPr>
        <w:t>履行职责事项清单</w:t>
      </w:r>
    </w:p>
    <w:p w14:paraId="76F6D096">
      <w:pPr>
        <w:rPr>
          <w:rFonts w:ascii="方正公文小标宋" w:eastAsia="方正公文小标宋"/>
          <w:sz w:val="84"/>
          <w:szCs w:val="84"/>
          <w:lang w:eastAsia="zh-CN"/>
        </w:rPr>
      </w:pPr>
    </w:p>
    <w:p w14:paraId="3E71718A">
      <w:pPr>
        <w:rPr>
          <w:rFonts w:ascii="方正公文小标宋" w:eastAsia="方正公文小标宋"/>
          <w:sz w:val="84"/>
          <w:szCs w:val="84"/>
          <w:lang w:eastAsia="zh-CN"/>
        </w:rPr>
      </w:pPr>
    </w:p>
    <w:p w14:paraId="20AF4E9A">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3FAEF4D3">
      <w:pPr>
        <w:bidi w:val="0"/>
        <w:rPr>
          <w:rFonts w:ascii="Arial" w:hAnsi="Arial" w:eastAsia="Arial" w:cs="Arial"/>
          <w:snapToGrid w:val="0"/>
          <w:color w:val="000000"/>
          <w:kern w:val="0"/>
          <w:sz w:val="21"/>
          <w:szCs w:val="21"/>
          <w:lang w:val="en-US" w:eastAsia="en-US" w:bidi="ar-SA"/>
        </w:rPr>
      </w:pPr>
    </w:p>
    <w:p w14:paraId="545E73D2">
      <w:pPr>
        <w:bidi w:val="0"/>
        <w:rPr>
          <w:lang w:val="en-US" w:eastAsia="en-US"/>
        </w:rPr>
      </w:pPr>
    </w:p>
    <w:p w14:paraId="034698FD">
      <w:pPr>
        <w:tabs>
          <w:tab w:val="left" w:pos="9078"/>
        </w:tabs>
        <w:bidi w:val="0"/>
        <w:jc w:val="left"/>
        <w:rPr>
          <w:rFonts w:hint="eastAsia" w:eastAsia="宋体"/>
          <w:lang w:val="en-US" w:eastAsia="zh-CN"/>
        </w:rPr>
        <w:sectPr>
          <w:pgSz w:w="16837" w:h="11905" w:orient="landscape"/>
          <w:pgMar w:top="1418" w:right="1418" w:bottom="1418" w:left="1418" w:header="851" w:footer="907" w:gutter="0"/>
          <w:pgNumType w:fmt="decimal" w:start="1"/>
          <w:cols w:space="720" w:num="1"/>
          <w:docGrid w:linePitch="312" w:charSpace="0"/>
        </w:sectPr>
      </w:pPr>
    </w:p>
    <w:sdt>
      <w:sdtPr>
        <w:rPr>
          <w:rFonts w:hint="eastAsia" w:ascii="宋体" w:hAnsi="宋体" w:eastAsia="宋体" w:cs="宋体"/>
          <w:snapToGrid w:val="0"/>
          <w:color w:val="000000"/>
          <w:kern w:val="0"/>
          <w:sz w:val="44"/>
          <w:szCs w:val="44"/>
          <w:lang w:val="en-US" w:eastAsia="en-US" w:bidi="ar-SA"/>
        </w:rPr>
        <w:id w:val="147457221"/>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28855B40">
          <w:pPr>
            <w:spacing w:before="0" w:beforeLines="0" w:after="0" w:afterLines="0" w:line="240" w:lineRule="auto"/>
            <w:ind w:left="0" w:leftChars="0" w:right="0" w:rightChars="0" w:firstLine="0" w:firstLineChars="0"/>
            <w:jc w:val="center"/>
            <w:rPr>
              <w:rFonts w:hint="eastAsia" w:ascii="宋体" w:hAnsi="宋体" w:eastAsia="宋体" w:cs="宋体"/>
              <w:sz w:val="44"/>
              <w:szCs w:val="44"/>
            </w:rPr>
          </w:pPr>
          <w:r>
            <w:rPr>
              <w:rFonts w:hint="eastAsia" w:ascii="宋体" w:hAnsi="宋体" w:eastAsia="宋体" w:cs="宋体"/>
              <w:sz w:val="44"/>
              <w:szCs w:val="44"/>
            </w:rPr>
            <w:t>目</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录</w:t>
          </w:r>
        </w:p>
        <w:p w14:paraId="471DCEA9">
          <w:pPr>
            <w:pStyle w:val="2"/>
            <w:rPr>
              <w:rFonts w:hint="eastAsia"/>
            </w:rPr>
          </w:pPr>
        </w:p>
        <w:p w14:paraId="19CBA0D8">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_Toc12285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_Toc12285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54820FE">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_Toc12453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_Toc12453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567528A">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_Toc4400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_Toc4400 \h </w:instrText>
          </w:r>
          <w:r>
            <w:fldChar w:fldCharType="separate"/>
          </w:r>
          <w:r>
            <w:t>41</w:t>
          </w:r>
          <w:r>
            <w:fldChar w:fldCharType="end"/>
          </w:r>
          <w:r>
            <w:rPr>
              <w:rFonts w:ascii="Times New Roman" w:hAnsi="Times New Roman" w:eastAsia="方正小标宋_GBK" w:cs="Times New Roman"/>
              <w:color w:val="auto"/>
              <w:spacing w:val="7"/>
              <w:szCs w:val="44"/>
              <w:lang w:eastAsia="zh-CN"/>
            </w:rPr>
            <w:fldChar w:fldCharType="end"/>
          </w:r>
        </w:p>
        <w:p w14:paraId="4DA19AE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227F3EA">
      <w:pPr>
        <w:rPr>
          <w:lang w:eastAsia="zh-CN"/>
        </w:rPr>
      </w:pPr>
    </w:p>
    <w:p w14:paraId="6322DFFB">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bookmarkStart w:id="0" w:name="_Toc172077416"/>
      <w:bookmarkStart w:id="1" w:name="_Toc172077551"/>
      <w:bookmarkStart w:id="2" w:name="_Toc12285"/>
      <w:bookmarkStart w:id="3" w:name="_Toc172077949"/>
    </w:p>
    <w:p w14:paraId="3B60A6BD">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7A7A2450">
      <w:pPr>
        <w:rPr>
          <w:lang w:eastAsia="zh-CN"/>
        </w:rPr>
      </w:pPr>
    </w:p>
    <w:tbl>
      <w:tblPr>
        <w:tblStyle w:val="8"/>
        <w:tblW w:w="14045" w:type="dxa"/>
        <w:jc w:val="center"/>
        <w:tblLayout w:type="autofit"/>
        <w:tblCellMar>
          <w:top w:w="0" w:type="dxa"/>
          <w:left w:w="108" w:type="dxa"/>
          <w:bottom w:w="0" w:type="dxa"/>
          <w:right w:w="108" w:type="dxa"/>
        </w:tblCellMar>
      </w:tblPr>
      <w:tblGrid>
        <w:gridCol w:w="712"/>
        <w:gridCol w:w="13333"/>
      </w:tblGrid>
      <w:tr w14:paraId="39CF17F9">
        <w:tblPrEx>
          <w:tblCellMar>
            <w:top w:w="0" w:type="dxa"/>
            <w:left w:w="108" w:type="dxa"/>
            <w:bottom w:w="0" w:type="dxa"/>
            <w:right w:w="108" w:type="dxa"/>
          </w:tblCellMar>
        </w:tblPrEx>
        <w:trPr>
          <w:cantSplit/>
          <w:trHeight w:val="658" w:hRule="atLeast"/>
          <w:tblHeader/>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349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35D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1536CDE">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84D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14:paraId="47FF982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4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47F0D8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6FC4B8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8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1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907B55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5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4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1E6CF10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2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E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w:t>
            </w:r>
            <w:r>
              <w:rPr>
                <w:rFonts w:hint="eastAsia" w:ascii="Times New Roman" w:hAnsi="方正公文仿宋" w:eastAsia="方正公文仿宋"/>
                <w:b w:val="0"/>
                <w:bCs w:val="0"/>
                <w:kern w:val="0"/>
                <w:szCs w:val="21"/>
                <w:lang w:bidi="ar"/>
              </w:rPr>
              <w:t>+</w:t>
            </w:r>
            <w:r>
              <w:rPr>
                <w:rFonts w:hint="eastAsia" w:ascii="Times New Roman" w:hAnsi="方正公文仿宋" w:eastAsia="方正公文仿宋"/>
                <w:kern w:val="0"/>
                <w:szCs w:val="21"/>
                <w:lang w:bidi="ar"/>
              </w:rPr>
              <w:t>监督”工作，受理办理信访举报和问题线索。</w:t>
            </w:r>
          </w:p>
        </w:tc>
      </w:tr>
      <w:tr w14:paraId="04BC238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1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F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0CFAB7C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5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E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086A87D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B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6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6A05D5F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D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360FD82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D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9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4964D3A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7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B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66117E2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9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C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推进城市党建示范点建设，创建“十全十美”社区党建品牌，不断增强基层党组织政治功能和组织功能。</w:t>
            </w:r>
          </w:p>
        </w:tc>
      </w:tr>
      <w:tr w14:paraId="33F97E8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F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E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359FB268">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D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4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加强“两企三新”党建工作，推进城区“红色驿站”建设，擦亮红色党建品牌。</w:t>
            </w:r>
          </w:p>
        </w:tc>
      </w:tr>
      <w:tr w14:paraId="6237C57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7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A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7B11B5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4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E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0C4319B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7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C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48EF923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6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4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4E88993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9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9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51BBBB1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2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8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7D16DB7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D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0F9A1D6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D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26475EE5">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369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2AF68573">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8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1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3D6B1DC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0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6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052D145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2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E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74F6666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E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优化营商环境，支持服务县城工业园区建设，协调解决企业面临的水、电、路、网、气、地等方面的问题，调处涉企矛盾纠纷，积极开展代办事务，帮助对接市场，服务企业发展和项目建设。</w:t>
            </w:r>
          </w:p>
        </w:tc>
      </w:tr>
      <w:tr w14:paraId="6F97FA33">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7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5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3D3019A3">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5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4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大力发展东安鸡产业，打造国宴东安鸡品牌，配合做好东安鸡文化旅游中心建设工作。</w:t>
            </w:r>
          </w:p>
        </w:tc>
      </w:tr>
      <w:tr w14:paraId="6EF7A67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3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8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2B05B05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2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A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3C1520F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9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51BA5620">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505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50FDD29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F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6ED808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6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5D3BFB1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3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3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4B73C3E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E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D10B7D3">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5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4418DFD3">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2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A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6BCFED6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4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0B4E50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C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D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4A77E7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2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D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做好社区老年助餐点、充电桩建设前期选址和矛盾调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42F7405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F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5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6AE11EC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7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3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049136F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F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4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6254E7B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3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4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5F5869E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1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0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1AA60DB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1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负责城区廉租房补贴申请、登记、核实、上报、公示。</w:t>
            </w:r>
          </w:p>
        </w:tc>
      </w:tr>
      <w:tr w14:paraId="41E2DBB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48FDE0DB">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CDC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6AD05B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7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1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7CAFBC0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7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开展高铁站及周边铁路护路工作，加强铁路巡查及隐患排查，强化铁路安全宣传教育，普及铁路安全法律法规和铁路安全知识，提高公众铁路安全意识。</w:t>
            </w:r>
          </w:p>
        </w:tc>
      </w:tr>
      <w:tr w14:paraId="2442DDA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8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7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0E754DE3">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6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260F5CA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A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2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29BB40E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A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9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0E56EB8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B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9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4914525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2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E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14:paraId="319D347A">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346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BAEA1E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A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9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2B771488">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7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推进宥江桥-神仙桥“千万工程”示范区项目建设。</w:t>
            </w:r>
          </w:p>
        </w:tc>
      </w:tr>
      <w:tr w14:paraId="36F8A32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0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3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2EFCA9F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5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E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06DED1D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D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0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0769536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A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3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196DFDA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9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F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03C6478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D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4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6C37CCC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D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1BDD708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4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负责脱贫攻坚同乡村振兴有效衔接项目入库摸底、实地指导、项目验收、资料审核、资产移交及后续管理工作，审核经营性项目的利益分配。</w:t>
            </w:r>
          </w:p>
        </w:tc>
      </w:tr>
      <w:tr w14:paraId="118EBF0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5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2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7DA1EA8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7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7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40C8951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8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1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3957336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0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4A33076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8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E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2E34947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6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D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1AE8B612">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343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F8788F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9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8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4F8A0E5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3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D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6E8A8B7C">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7C8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07B8643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D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229225B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D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F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加强城市社区专职工作人员队伍建设和管理，推进城市社区专职工作者职业体系建设，完善管理考核体系，开展城市社区服务和协调工作。</w:t>
            </w:r>
          </w:p>
        </w:tc>
      </w:tr>
      <w:tr w14:paraId="5670538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7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7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58BD67C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B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村规民约，成立红白理事会、道德评议会、村民议事会、禁毒禁赌会，规范村（居）务公开，支持保障依法开展自治活动。</w:t>
            </w:r>
          </w:p>
        </w:tc>
      </w:tr>
      <w:tr w14:paraId="1F9F8E0E">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D3E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723F5C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4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2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依法成立镇人民调解委员会，统筹派出所、司法所、人民法庭等力量，开展人民调解工作。</w:t>
            </w:r>
          </w:p>
        </w:tc>
      </w:tr>
      <w:tr w14:paraId="1012BCF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F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7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B233AD4">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374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08D6B27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5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D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50FA33C8">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B96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000FA19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2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4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3BDFB06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C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0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462E214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C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5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53F3A00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B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E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13C6AF3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6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2F756FD9">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C2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3980875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F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7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4CCA652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1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0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53679C0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3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9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76A8822F">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EE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47A29DB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A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6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5DF81293">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9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3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062264E8">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9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2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508CEA8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1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D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123778B3">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29E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50CE285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9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A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3DBADD5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0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4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01FB297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3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6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1F29772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D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171F121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B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D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4AB5D27C">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257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57A520E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5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D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打造桐子山村产业兴村示范点，探索“农文旅”新样板融合创建，推动镇域经济发展。</w:t>
            </w:r>
          </w:p>
        </w:tc>
      </w:tr>
      <w:tr w14:paraId="2109CA48">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0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9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0A950C5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E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9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0507E2D0">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F8D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70084CF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8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5DC74100">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934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32839D6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E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6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4A5A6F44">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451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45AF68E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7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9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66B61C7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B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629778F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2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E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2662C91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C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7FA98EC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5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8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308B2AC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6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14:paraId="02E24D2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F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7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7F3D747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0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5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4D73AEE6">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24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061E1B00">
      <w:pPr>
        <w:rPr>
          <w:lang w:eastAsia="zh-CN"/>
        </w:rPr>
      </w:pPr>
    </w:p>
    <w:tbl>
      <w:tblPr>
        <w:tblStyle w:val="8"/>
        <w:tblW w:w="14045" w:type="dxa"/>
        <w:jc w:val="center"/>
        <w:tblLayout w:type="autofit"/>
        <w:tblCellMar>
          <w:top w:w="0" w:type="dxa"/>
          <w:left w:w="108" w:type="dxa"/>
          <w:bottom w:w="0" w:type="dxa"/>
          <w:right w:w="108" w:type="dxa"/>
        </w:tblCellMar>
      </w:tblPr>
      <w:tblGrid>
        <w:gridCol w:w="727"/>
        <w:gridCol w:w="1814"/>
        <w:gridCol w:w="1740"/>
        <w:gridCol w:w="4916"/>
        <w:gridCol w:w="4848"/>
      </w:tblGrid>
      <w:tr w14:paraId="05917E1C">
        <w:tblPrEx>
          <w:tblCellMar>
            <w:top w:w="0" w:type="dxa"/>
            <w:left w:w="108" w:type="dxa"/>
            <w:bottom w:w="0" w:type="dxa"/>
            <w:right w:w="108" w:type="dxa"/>
          </w:tblCellMar>
        </w:tblPrEx>
        <w:trPr>
          <w:cantSplit/>
          <w:trHeight w:val="632" w:hRule="atLeast"/>
          <w:tblHeader/>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C3F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FCE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789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B7D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227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FF03B99">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273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773E97E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9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4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7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D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57B67CDE">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F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C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C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7FA2D32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B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71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7654F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00F362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4AB40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5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C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09634F26">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0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3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5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C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7492C18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4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8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F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7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2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5DE33A9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F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1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4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2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C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4DD04EA7">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D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5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14:paraId="3193F277">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7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A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D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9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394C7A3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1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2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2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5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4B52746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F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5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9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D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11267B9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F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9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EB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46E3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9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0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742E2623">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0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C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6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D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47BF93A1">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5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8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1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4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0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49ECD561">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7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4883F55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7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1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D3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8BF0D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0E794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A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7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4889DD47">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3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9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19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BE8A0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966FA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4FBFE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C2DB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9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E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11B6E5E6">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E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C8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8771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7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E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7D23BEF0">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D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F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4847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E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5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16FD969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7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2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BC65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E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62B385A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3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选树和宣传工作。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0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6706">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p>
          <w:p w14:paraId="1FE56B9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F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78C706F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8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F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3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548A2959">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2B3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601E333">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C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7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F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4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2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626A260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3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E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D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5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22789066">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1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6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CE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0AD11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县市场监督管理局</w:t>
            </w:r>
          </w:p>
          <w:p w14:paraId="0BEB9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8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9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538C37E2">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D0A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A35F53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1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3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B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8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49A08C4B">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F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F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A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2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3.建设城区丧事集中办理服务点。</w:t>
            </w:r>
          </w:p>
        </w:tc>
      </w:tr>
      <w:tr w14:paraId="1D54B715">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7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D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1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B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F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0742120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C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9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2F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w:t>
            </w:r>
          </w:p>
          <w:p w14:paraId="01444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6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5E20440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3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6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D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7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40816B0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1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E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5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9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281C956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E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1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7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1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53043451">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E52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61ADDDC7">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3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7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92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971B5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9E9FF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6308F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35119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DC290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267F3D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0938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155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14:paraId="04575BC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E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5E45C3E5">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7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2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5A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w:t>
            </w:r>
          </w:p>
          <w:p w14:paraId="1B0B9C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59CA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54FE665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4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A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6E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B2B8B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5F36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C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F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1DF42D70">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E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2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98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4554D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55D805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7A72E8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1662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2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1.县委政法委负责常态化推进扫黑除恶斗争的组织协调；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0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1989673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F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1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C7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D16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0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2143CAE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E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7C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9A47C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40B372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36278A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2F9E7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A2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14:paraId="6355A16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14:paraId="3D60D40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380181F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B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A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30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56C11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43C0F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3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0900099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B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FA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w:t>
            </w:r>
          </w:p>
          <w:p w14:paraId="7E8065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62A833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153E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4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1E33FDB7">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C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E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679E814E">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3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D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33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w:t>
            </w:r>
          </w:p>
          <w:p w14:paraId="0B888E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2D5E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F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46910E85">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A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F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E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E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1BE64354">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6B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076682B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2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8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5A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5B1ED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A392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6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4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019C1A3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F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5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9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1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B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3.负责动物疫情排查、畜禽强制免疫与农作物病虫害防治的组织实施、防疫宣传、疫情报告与应急处置、病死动物无害化处理等工作（不包括在江河、湖泊、水库等水域发现的死亡畜禽）。</w:t>
            </w:r>
          </w:p>
        </w:tc>
      </w:tr>
      <w:tr w14:paraId="524415F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0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6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1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45D09B3A">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2ED9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2C2CB9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4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0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567A24B5">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7FA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4C55061B">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4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5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48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5F79B6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DF53A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5B8A3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14:paraId="294AF6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58578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C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1386806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5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6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1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县公安局（牵头）县农业农村局</w:t>
            </w:r>
          </w:p>
          <w:p w14:paraId="69F168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AF84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A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1.县公安局负责城市违章养犬的处理，捕杀狂犬、野犬，查处犬只扰民、放任犬只恐吓他人、纵犬伤人等违反治安管理的行为；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2.县农业农村局负责犬只免疫监管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按照便民原则设置犬只免疫</w:t>
            </w:r>
            <w:r>
              <w:rPr>
                <w:rFonts w:hint="eastAsia" w:ascii="Times New Roman" w:hAnsi="方正公文仿宋" w:eastAsia="方正公文仿宋"/>
                <w:kern w:val="0"/>
                <w:szCs w:val="21"/>
                <w:highlight w:val="none"/>
                <w:lang w:bidi="ar"/>
              </w:rPr>
              <w:t>点；负责犬只检疫，根据检疫申报依法对犬只出具检疫证明；建立犬只疫情监测网络，对犬只疫情进行监测</w:t>
            </w:r>
            <w:r>
              <w:rPr>
                <w:rFonts w:hint="eastAsia" w:ascii="Times New Roman" w:hAnsi="方正公文仿宋" w:eastAsia="方正公文仿宋"/>
                <w:kern w:val="0"/>
                <w:szCs w:val="21"/>
                <w:lang w:bidi="ar"/>
              </w:rPr>
              <w:t>；依法监督管理犬只诊疗、规模养殖等活动；依法审查和监督管理犬只留检场所的动物防疫条件执行情况；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3.县卫生健康局负责狂犬病等疾病的预防知识宣传；监测人患狂犬病等疫情；做好狂犬病病毒暴露者的预防接种及诊治工作；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4.县城市管理和综合执法局负责查处城市规划区内影响城市市容、环境卫生的养犬行为和违法占道进行犬只经营活动的行为；指导和监督公园、广场等公共场所设置犬只禁入标识。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E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2.负责养犬的管理，指导村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协助开展养犬管理工作，对违法养犬行为予以劝阻，并向有关行政管理部门报告；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以及居民住宅小区业主大会就养犬有关事项制定公约，并监督实施。</w:t>
            </w:r>
          </w:p>
        </w:tc>
      </w:tr>
      <w:tr w14:paraId="2B9A450E">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6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A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B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1DED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对物业服务质量进行监督管理；负责对物业招投标活动进行监督管理；对物业承接查验、物业服务企业退出交接活动进行指导和监督，处理物业管理中的投诉，对专项维修资金缴存、使用情况进行监督管理，对尚未划分物业管理区域并已投入使用的，会同乡镇征求业主意见后予以核定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2.县发展和改革局对已评定的商品住宅物业服务等级进行备案审查。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2.督促业主大会和业主委员会依法履行职责，调解物业管理纠纷，协调物业管理与社区建设关系；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5.对辖区小区物业服务企业运行情况进行年度评估，并将结果反馈至县住房和城乡建设局。</w:t>
            </w:r>
          </w:p>
        </w:tc>
      </w:tr>
      <w:tr w14:paraId="38DCF38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2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2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C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B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7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69A8D5F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E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C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4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3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629BFB93">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7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8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8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4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B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38E36FD1">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9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D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7FF58E28">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B2E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C2DBB3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7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2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06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015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5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8F9EDE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4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C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E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4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B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13756A8E">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032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4DA9EC1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8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C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8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F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375FB48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F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2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18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74A9C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0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4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5FA6ACE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9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2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B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5EA71D3C">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7D8A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1893F20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B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9C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7523F4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DEB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9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B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205CF27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B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0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C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13F8E0A6">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F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D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3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9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1A84E216">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F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C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0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D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8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0815EE8E">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4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6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1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3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8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2DDC663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B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A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6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7A4D239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C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7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4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2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B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4031A28E">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6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C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7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5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3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40909655">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79F0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808298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8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D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2.开展监管执法行动，查处生产销售“非标地膜”和不按规定回收地膜、农药包装废弃物等违法行为，建立县级工作台账，负责</w:t>
            </w:r>
            <w:r>
              <w:rPr>
                <w:rFonts w:hint="eastAsia" w:ascii="Times New Roman" w:hAnsi="方正公文仿宋" w:eastAsia="方正公文仿宋"/>
                <w:kern w:val="0"/>
                <w:szCs w:val="21"/>
                <w:lang w:val="en-US" w:eastAsia="zh-CN" w:bidi="ar"/>
              </w:rPr>
              <w:t>对</w:t>
            </w:r>
            <w:bookmarkStart w:id="12" w:name="_GoBack"/>
            <w:bookmarkEnd w:id="12"/>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2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453FD9F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2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C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5F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471F14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8A6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C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499C005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D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4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B0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46C4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9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6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A0A640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4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3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D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6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3E805DBC">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00A1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1CA9B097">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1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D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6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D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333FACDE">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0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9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B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E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E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46F2481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9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F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4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B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8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7CF237C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8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C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组织实施棚户区（老旧小区）改扩翻工作。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3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2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3.依法依规依程序拨付城镇棚户区（老旧小区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F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2DF7E381">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C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61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4E675A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9394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7A34A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C407E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012F0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1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2.及时制止违法建设和其他危害房屋安全的行为，指导村民委员会、居民委员会将农村住房建设自治管理内容纳入村规民约（居民公约）；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70A32271">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2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D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CD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p>
          <w:p w14:paraId="050DA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3.做好乡道、村道建设后期管理工作。</w:t>
            </w:r>
          </w:p>
        </w:tc>
      </w:tr>
      <w:tr w14:paraId="380443C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0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对规划区内存在安全隐患的屋顶棚架进行拆除。</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5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5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依法对安全隐患的屋顶棚架进行拆除。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6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组织开展规划区内存在安全隐患的屋顶棚架摸排工作并上报。</w:t>
            </w:r>
          </w:p>
        </w:tc>
      </w:tr>
      <w:tr w14:paraId="4D71198F">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75C6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786E4FE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1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0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3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D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6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14303170">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558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33B587E0">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9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91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4807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5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3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42EC062B">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079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7181483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2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A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4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9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770B8BE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6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8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A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0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14:paraId="7058C0C6">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8936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02B0F23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B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E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C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7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9AA4EB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0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A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59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54286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县住房和城乡建设局</w:t>
            </w:r>
          </w:p>
          <w:p w14:paraId="7EB84B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0838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县城市管理和综合执法局
</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0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681782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1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A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A0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4AADA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46C7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F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5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C7EFF5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4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E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22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3003C2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9C91B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C86A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E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0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A96C15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8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D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C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9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8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65480F89">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139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5CFC94A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2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3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E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14:paraId="134218F6">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4400"/>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09AF958A">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FD7A0F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14C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921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7CF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A43AF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81C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50CBD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2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6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329D3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5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B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F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51BEB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530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CF62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5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1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1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67684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C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D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A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3DD5D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9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D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1E18B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1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9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5E474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A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B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37DB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5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F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9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0096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0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C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74AC7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D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8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B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1C3BF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E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B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9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7A292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9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4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w:t>
            </w:r>
            <w:r>
              <w:rPr>
                <w:rFonts w:hint="eastAsia" w:ascii="Times New Roman" w:hAnsi="方正公文仿宋" w:eastAsia="方正公文仿宋"/>
                <w:kern w:val="0"/>
                <w:szCs w:val="21"/>
                <w:lang w:eastAsia="zh-CN" w:bidi="ar"/>
              </w:rPr>
              <w:t>总</w:t>
            </w:r>
            <w:r>
              <w:rPr>
                <w:rFonts w:hint="eastAsia" w:ascii="Times New Roman" w:hAnsi="方正公文仿宋" w:eastAsia="方正公文仿宋"/>
                <w:kern w:val="0"/>
                <w:szCs w:val="21"/>
                <w:lang w:bidi="ar"/>
              </w:rPr>
              <w:t>局东安</w:t>
            </w:r>
            <w:r>
              <w:rPr>
                <w:rFonts w:hint="eastAsia" w:ascii="Times New Roman" w:hAnsi="方正公文仿宋" w:eastAsia="方正公文仿宋"/>
                <w:kern w:val="0"/>
                <w:szCs w:val="21"/>
                <w:lang w:eastAsia="zh-CN" w:bidi="ar"/>
              </w:rPr>
              <w:t>监管</w:t>
            </w:r>
            <w:r>
              <w:rPr>
                <w:rFonts w:hint="eastAsia" w:ascii="Times New Roman" w:hAnsi="方正公文仿宋" w:eastAsia="方正公文仿宋"/>
                <w:kern w:val="0"/>
                <w:szCs w:val="21"/>
                <w:lang w:bidi="ar"/>
              </w:rPr>
              <w:t>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w:t>
            </w:r>
            <w:r>
              <w:rPr>
                <w:rFonts w:hint="eastAsia" w:ascii="Times New Roman" w:hAnsi="方正公文仿宋" w:eastAsia="方正公文仿宋"/>
                <w:kern w:val="0"/>
                <w:szCs w:val="21"/>
                <w:lang w:eastAsia="zh-CN" w:bidi="ar"/>
              </w:rPr>
              <w:t>总</w:t>
            </w:r>
            <w:r>
              <w:rPr>
                <w:rFonts w:hint="eastAsia" w:ascii="Times New Roman" w:hAnsi="方正公文仿宋" w:eastAsia="方正公文仿宋"/>
                <w:kern w:val="0"/>
                <w:szCs w:val="21"/>
                <w:lang w:bidi="ar"/>
              </w:rPr>
              <w:t>局东安</w:t>
            </w:r>
            <w:r>
              <w:rPr>
                <w:rFonts w:hint="eastAsia" w:ascii="Times New Roman" w:hAnsi="方正公文仿宋" w:eastAsia="方正公文仿宋"/>
                <w:kern w:val="0"/>
                <w:szCs w:val="21"/>
                <w:lang w:eastAsia="zh-CN" w:bidi="ar"/>
              </w:rPr>
              <w:t>监管</w:t>
            </w:r>
            <w:r>
              <w:rPr>
                <w:rFonts w:hint="eastAsia" w:ascii="Times New Roman" w:hAnsi="方正公文仿宋" w:eastAsia="方正公文仿宋"/>
                <w:kern w:val="0"/>
                <w:szCs w:val="21"/>
                <w:lang w:bidi="ar"/>
              </w:rPr>
              <w:t>支局依法依规处置。</w:t>
            </w:r>
          </w:p>
        </w:tc>
      </w:tr>
      <w:tr w14:paraId="77CB1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A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3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5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169090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1AB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578D0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E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2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73DD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0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0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A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0019B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A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09AEE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5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D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B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295D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D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D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D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65974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2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3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021A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C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6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7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EC17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0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工作方式：由退役军人事务局明确申请条件和材料，负责残疾等级评定的审核，强化监督管理。</w:t>
            </w:r>
          </w:p>
        </w:tc>
      </w:tr>
      <w:tr w14:paraId="13C601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7D0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33B5B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9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D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14CAD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0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6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33EDB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D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5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59324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3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7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EBA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E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0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5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2A21A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9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C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1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1E557F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9C7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3BF43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4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D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D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59D4C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F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E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1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2B197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B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4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D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6D86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7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B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0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1E843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4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F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F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6C5A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F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D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715606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B09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六、社会管理（11项）</w:t>
            </w:r>
          </w:p>
        </w:tc>
      </w:tr>
      <w:tr w14:paraId="2E76C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8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1D569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E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3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3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8DC0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F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6BAB8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0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A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15CE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A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1CCC0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0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5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D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3658B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0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0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9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工作方式：由县住房和城乡建设局进行公租房物业管理工作。</w:t>
            </w:r>
          </w:p>
        </w:tc>
      </w:tr>
      <w:tr w14:paraId="22AB4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A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D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0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76855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6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4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F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DF96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6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D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城市供水单位未制定城市供水水质突发事件应急预案的或者未按规定上报水质报表的处罚。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3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2C208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2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2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6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2234DF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CC5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EF5D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F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5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78E78D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DA4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125A7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D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7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D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303D3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3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4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4F6E9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7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6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24609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9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D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EF35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0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C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3C11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D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8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3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4DE46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9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4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7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17B1A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D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0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071BC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D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1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F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7D35A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2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B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343DB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5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D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6F3FE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2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E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9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49E0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F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B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2722A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3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F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7B8A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4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A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9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17CE9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C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A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2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4E7C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A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8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9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39B5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7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6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2DC1B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3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3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5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22957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3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B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B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3EB386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C0F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九、自然资源（22项）</w:t>
            </w:r>
          </w:p>
        </w:tc>
      </w:tr>
      <w:tr w14:paraId="622E1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8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3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C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6AA85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E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8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32D05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B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E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318DA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9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E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9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6A5C7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9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1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2C63B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D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8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A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080B5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3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4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7F20A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6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6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5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6ED7E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E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7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29998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B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19D99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D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1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6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53D65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7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E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6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116B8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2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城市小区维修基金的核查工作。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C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工作方式：由县住房和城乡建设局负责核查工作。</w:t>
            </w:r>
          </w:p>
        </w:tc>
      </w:tr>
      <w:tr w14:paraId="2C33E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B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0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2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工作方式：由县发展和改革局、县住房和城乡建设局按照职责分工做好相关工作。</w:t>
            </w:r>
          </w:p>
        </w:tc>
      </w:tr>
      <w:tr w14:paraId="06F39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1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2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1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045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A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F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339AF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C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3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3F92F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C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D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A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7CB79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8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C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6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7590F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C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8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15630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7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7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036C9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8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0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0F6123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CF3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77FB0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8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C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F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103E9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3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3ED89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C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2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25C23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9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C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4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5BB8D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5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A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2C71B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6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A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8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14532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4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C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8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226B5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D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8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A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79A76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6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E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3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090FB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7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1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1E0D9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D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33705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B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C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3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BA09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2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7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3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841A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5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6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A44B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9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D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9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D843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2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B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6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5076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4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9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9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489A4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6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4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D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77B9F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0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F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A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07ACE7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174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十一、城乡建设（11项）</w:t>
            </w:r>
          </w:p>
        </w:tc>
      </w:tr>
      <w:tr w14:paraId="7AF05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E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A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F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73CE8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3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6CE09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C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5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4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73A4D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6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1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22D43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C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1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0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58083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4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A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9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57C08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3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B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协调开发商向业委会、物业公司做好移交，及前期物业承接查验；对物业公司服务质量进行考评、对各小区物业费进行监管。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明确物业移交和承接查验有关依据，并监督进行资料移交等手续；建立物业公司服务质量考评指标体系，进行定期检查与不定期抽查，规范物业公司收费行为、收费项目标准、依据等，确保收费透明，建立物业费监管机制，要求物业公司定期公开物业费收支情况，确保费用合理使用。</w:t>
            </w:r>
          </w:p>
        </w:tc>
      </w:tr>
      <w:tr w14:paraId="323A0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D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F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F445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4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组织现场勘察，填写勘察意见；根据申请材料、勘察意见，作出准予或不予许可的决定；不予许可的，说明理由，并告知申请人依法享有申请行政复议或提起行政诉讼的权利。</w:t>
            </w:r>
          </w:p>
        </w:tc>
      </w:tr>
      <w:tr w14:paraId="5E776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0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A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6436D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7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D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4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128386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5B0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38075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7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0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2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51EB4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9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8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F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70D73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6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2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3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49D1A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3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F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1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48DAC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7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3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2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50855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50E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0AC33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7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3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8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270FE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3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B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C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669B89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BD2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2CE97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0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F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2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51D2E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7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E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7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41858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0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3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2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00C29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2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6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6F206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9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E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3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4E49D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3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9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8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B12A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C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2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E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C340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C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B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1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47F2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8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0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4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261E2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2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9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2466FA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086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3F532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C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747DA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C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5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010D9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9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2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4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3A522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E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0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5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2EEA0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7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8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FC25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7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1D184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D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A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63333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6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7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35699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B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B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9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61513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A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B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C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6CDDE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3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5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B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317B6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7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0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4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47A27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5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B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284AC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9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A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1B9DE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9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7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0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35F0C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2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0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D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31937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8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C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34C5EF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B1D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5C7B5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4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8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3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559EA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6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B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3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6438B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2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6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2DAE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B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F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9D9D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9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A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D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2455A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6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6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12790D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279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十七、综合政务（16项）</w:t>
            </w:r>
          </w:p>
        </w:tc>
      </w:tr>
      <w:tr w14:paraId="356C2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8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E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E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5AFCD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8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0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01320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F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B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18D07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3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0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7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1AA46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4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B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城市50平以上的商铺排查统计工作。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2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896D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0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E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525A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4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2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5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8B7B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E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9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C57D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0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4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6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8170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C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F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17CF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9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3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B9E3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3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E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1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A38B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E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D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30AA4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F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F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2818A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2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E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4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5C604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A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E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092D491F">
      <w:pPr>
        <w:pStyle w:val="3"/>
        <w:spacing w:before="0" w:after="0" w:line="240" w:lineRule="auto"/>
        <w:jc w:val="center"/>
        <w:rPr>
          <w:rFonts w:ascii="Times New Roman" w:hAnsi="Times New Roman" w:eastAsia="方正小标宋_GBK" w:cs="Times New Roman"/>
          <w:color w:val="auto"/>
          <w:spacing w:val="7"/>
          <w:lang w:eastAsia="zh-CN"/>
        </w:rPr>
      </w:pPr>
    </w:p>
    <w:p w14:paraId="5DC5D57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99B9">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90A1">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06A03">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606A03">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2678D"/>
    <w:multiLevelType w:val="singleLevel"/>
    <w:tmpl w:val="AE42678D"/>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DF7889F"/>
    <w:rsid w:val="11C6025A"/>
    <w:rsid w:val="14590F41"/>
    <w:rsid w:val="1ADD99EB"/>
    <w:rsid w:val="1BE32089"/>
    <w:rsid w:val="204D5FEA"/>
    <w:rsid w:val="23E35802"/>
    <w:rsid w:val="2CFB0540"/>
    <w:rsid w:val="2E66183F"/>
    <w:rsid w:val="2E7C61BE"/>
    <w:rsid w:val="363870C8"/>
    <w:rsid w:val="37FF6503"/>
    <w:rsid w:val="3A812118"/>
    <w:rsid w:val="3D8A4E0F"/>
    <w:rsid w:val="43B52AAF"/>
    <w:rsid w:val="49076C9C"/>
    <w:rsid w:val="49531994"/>
    <w:rsid w:val="4D0E5F69"/>
    <w:rsid w:val="4E5C41C2"/>
    <w:rsid w:val="50BF5446"/>
    <w:rsid w:val="513E788B"/>
    <w:rsid w:val="59083EE3"/>
    <w:rsid w:val="652B59C0"/>
    <w:rsid w:val="6695125A"/>
    <w:rsid w:val="6AD42215"/>
    <w:rsid w:val="6B7F60E2"/>
    <w:rsid w:val="6CAC609D"/>
    <w:rsid w:val="718C28F0"/>
    <w:rsid w:val="7B4C73D0"/>
    <w:rsid w:val="7DBFDEAA"/>
    <w:rsid w:val="7FD6D1F9"/>
    <w:rsid w:val="8F7DF65F"/>
    <w:rsid w:val="BE3FCFA3"/>
    <w:rsid w:val="E38BFD41"/>
    <w:rsid w:val="E7FB50B1"/>
    <w:rsid w:val="F29FB589"/>
    <w:rsid w:val="FFF5C99A"/>
    <w:rsid w:val="FFFBA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79</Words>
  <Characters>85</Characters>
  <Lines>1</Lines>
  <Paragraphs>1</Paragraphs>
  <TotalTime>89</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吴冬秋</cp:lastModifiedBy>
  <dcterms:modified xsi:type="dcterms:W3CDTF">2025-07-20T09:20:18Z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4BD60B0788374A668E340748A7E34CE4_12</vt:lpwstr>
  </property>
</Properties>
</file>