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湖南省永州市东安县川岩乡</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sectPr>
          <w:pgSz w:w="16837" w:h="11905" w:orient="landscape"/>
          <w:pgMar w:top="1418" w:right="1418" w:bottom="1418" w:left="1418" w:header="851" w:footer="907" w:gutter="0"/>
          <w:pgNumType w:fmt="decimal" w:start="1"/>
          <w:cols w:space="720" w:num="1"/>
          <w:docGrid w:linePitch="312" w:charSpace="0"/>
        </w:sectPr>
      </w:pPr>
    </w:p>
    <w:sdt>
      <w:sdtPr>
        <w:rPr>
          <w:rFonts w:ascii="宋体" w:hAnsi="宋体" w:eastAsia="宋体" w:cs="Arial"/>
          <w:snapToGrid w:val="0"/>
          <w:color w:val="000000"/>
          <w:kern w:val="0"/>
          <w:sz w:val="21"/>
          <w:szCs w:val="21"/>
          <w:lang w:val="en-US" w:eastAsia="en-US" w:bidi="ar-SA"/>
        </w:rPr>
        <w:id w:val="147470960"/>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目录</w:t>
          </w:r>
        </w:p>
        <w:p>
          <w:pPr>
            <w:pStyle w:val="2"/>
          </w:pP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_Toc28566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_Toc28566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_Toc22932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_Toc22932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_Toc28208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_Toc28208 \h </w:instrText>
          </w:r>
          <w:r>
            <w:fldChar w:fldCharType="separate"/>
          </w:r>
          <w:r>
            <w:t>40</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pPr>
        <w:rPr>
          <w:lang w:eastAsia="zh-CN"/>
        </w:rPr>
      </w:pPr>
    </w:p>
    <w:p>
      <w:pPr>
        <w:pStyle w:val="3"/>
        <w:spacing w:before="0" w:after="0" w:line="240" w:lineRule="auto"/>
        <w:jc w:val="center"/>
        <w:rPr>
          <w:rFonts w:ascii="Times New Roman" w:hAnsi="Times New Roman" w:eastAsia="方正公文小标宋" w:cs="Times New Roman"/>
          <w:b w:val="0"/>
          <w:lang w:eastAsia="zh-CN"/>
        </w:rPr>
        <w:sectPr>
          <w:footerReference r:id="rId3" w:type="default"/>
          <w:pgSz w:w="16837" w:h="11905" w:orient="landscape"/>
          <w:pgMar w:top="1418" w:right="1418" w:bottom="1418" w:left="1418" w:header="851" w:footer="907" w:gutter="0"/>
          <w:pgNumType w:fmt="decimal" w:start="1"/>
          <w:cols w:space="720" w:num="1"/>
          <w:docGrid w:linePitch="312" w:charSpace="0"/>
        </w:sectPr>
      </w:pPr>
      <w:bookmarkStart w:id="0" w:name="_Toc172077949"/>
      <w:bookmarkStart w:id="1" w:name="_Toc172077416"/>
      <w:bookmarkStart w:id="2" w:name="_Toc172077551"/>
      <w:bookmarkStart w:id="3" w:name="_Toc28566"/>
    </w:p>
    <w:p>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开展监督执纪执法，加强对干部职工遵守党章党规党纪、贯彻执行党的路线方针和政策决议情况的监督检查，做好“互联网+监督”工作，受理办理信访举报和问题线索。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加强和规范乡党校建设，抓好党员干部全员培训工作。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加强基层党组织建设，负责乡党委下辖党组织的成立、撤销与调整，组织实施换届选举工作，排查整顿软弱涣散基层党组织，开展主题党日活动，落实“三会一课”“双述双评”等制度，推进标准化规范化建设。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加强“两企三新”党建工作，擦亮红色党建品牌。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做好乡机关事业单位干部职工日常管理、教育培训、考核监督、评先评优、待遇保障、队伍建设、干部因私出国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管理工作和退休干部的管理服务工作。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负责乡村两级便民（党群）服务中心及活动场所的管理，规范党徽党旗的使用。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负责乡人大换届选举，按期召开乡人民代表大会，保障人大代表依法履行职责，组织乡人大代表开展调研、视察，加强乡人大代表履职平台建设，组织办理人大代表建议，推进新时代人大工作高质量发展。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制定全乡经济社会发展规划和年度计划并组织实施，推动经济社会高质量发展。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宣传分布式光伏发电政策，推进分布式光伏发电项目，做好乡内适宜建设场所的排查选址工作。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推动村级集体经济发展壮大，加强村级组织和村级集体经济组织的资金、资产、资源“三资”监督管理，做好“村账乡代管”、农村经营管理信息化工作。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推进社会信用体系建设，不断完善信用承诺制度，持续建设信用乡村。</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依托丰富竹林资源和产业加工基础，全面提升竹林生态功能和竹产品价值，加快以“以竹代塑”为导向的竹产业高质量发展，擦亮湖南省“楠竹之乡”名片。</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负责涉及乡人民政府的行政复议案件的答复工作和行政诉讼案件的应诉工作。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负责本乡法律顾问、公职律师日常管理工作，推进法律顾问和公职律师进乡村，提升公共法律服务水平，指导村做好法律服务等工作。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开展农、牧、渔、畜、禽的生产管理工作，发展生猪、油茶、橙类、优质水稻等特色产业，积极宣传并落实产业扶持政策。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负责脱贫攻坚同乡村振兴有效衔接项目入库摸底、实地指导、项目验收、资料审核、资产移交及后续管理工作，审核经营性项目的利益分配。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推进乡村绿化美化亮化，打造美丽乡村。</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加强基层政权建设，建立健全村民委员会、村务监督委员会，指导换届选举、补选工作。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加强基层治理，健全议事决策和监督机制，指导村制定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修订</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村规民约，成立红白理事会、道德评议会、禁毒禁赌会、村民议事会，规范村务公开，支持保障依法开展自治活动。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依法成立乡镇人民调解委员会，统筹派出所、司法所、人民法庭等力量，开展人民调解工作。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落实林长制，组织乡村林长宣传政策法规，普及森林资源知识，开展造林绿化和日常巡查，发现破坏森林资源的行为及时制止、上报。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做好“千年鸟道”保护工作，开展保护候鸟迁徙宣传，在候鸟迁徙期定期巡查候鸟重要迁徙通道、越冬地，发现违法行为及时制止、上报。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对未取得乡村建设规划许可证或未按乡村建设规划许可证建设，逾期不改正的，依法拆除违法建筑物。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度打造以上界头村杜鹃花海、乐子冲古吊脚楼、白牙水村十里画廊等为主的特色自然风光旅游线路，传承发扬东安武术黑虎拳、松江龙狮制作与表演等传统文化，保护豹虎岩戏台等古建筑，推进农文旅融合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负责乡机关日常运转，承担档案管理、公文处理、机关会务、印章管理等工作。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开展村民委员会财务审计和村“两委”班子成员任期经济责任审计，加强村级债务监管，防范化解村级债务风险。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负责上级督查交办事项的办理，承办“12345”政务服务便民热线等平台转办涉及本乡职权范围内的事项。</w:t>
            </w:r>
          </w:p>
        </w:tc>
      </w:tr>
    </w:tbl>
    <w:p>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2293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2.县委统一战线工作部负责党外代表人士的培养、选拔、推荐和考察工作，对“两代表一委员”候选人初步建议人选进行联合审查；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w:t>
            </w:r>
            <w:r>
              <w:rPr>
                <w:rFonts w:hint="eastAsia" w:ascii="Times New Roman" w:hAnsi="方正公文仿宋" w:eastAsia="方正公文仿宋"/>
                <w:kern w:val="0"/>
                <w:szCs w:val="21"/>
                <w:lang w:eastAsia="zh-CN" w:bidi="ar"/>
              </w:rPr>
              <w:t>（社区）</w:t>
            </w:r>
            <w:r>
              <w:rPr>
                <w:rFonts w:hint="eastAsia" w:ascii="Times New Roman" w:hAnsi="方正公文仿宋" w:eastAsia="方正公文仿宋"/>
                <w:kern w:val="0"/>
                <w:szCs w:val="21"/>
                <w:lang w:bidi="ar"/>
              </w:rPr>
              <w:t>党组织书记候选人预备人选现实表现材料。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w:t>
            </w:r>
            <w:r>
              <w:rPr>
                <w:rFonts w:hint="eastAsia" w:ascii="Times New Roman" w:hAnsi="方正公文仿宋" w:eastAsia="方正公文仿宋"/>
                <w:kern w:val="0"/>
                <w:szCs w:val="21"/>
                <w:lang w:eastAsia="zh-CN" w:bidi="ar"/>
              </w:rPr>
              <w:t>（社区）</w:t>
            </w:r>
            <w:r>
              <w:rPr>
                <w:rFonts w:hint="eastAsia" w:ascii="Times New Roman" w:hAnsi="方正公文仿宋" w:eastAsia="方正公文仿宋"/>
                <w:kern w:val="0"/>
                <w:szCs w:val="21"/>
                <w:lang w:bidi="ar"/>
              </w:rPr>
              <w:t>党组织书记基本情况备案表》、考核材料、学历（培训）材料、入党材料、表彰奖励材料、违纪违法材料、任免材料等相关材料并按规定上报。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1.整理本乡村</w:t>
            </w:r>
            <w:r>
              <w:rPr>
                <w:rFonts w:hint="eastAsia" w:ascii="Times New Roman" w:hAnsi="方正公文仿宋" w:eastAsia="方正公文仿宋"/>
                <w:kern w:val="0"/>
                <w:szCs w:val="21"/>
                <w:lang w:eastAsia="zh-CN" w:bidi="ar"/>
              </w:rPr>
              <w:t>（社区）</w:t>
            </w:r>
            <w:r>
              <w:rPr>
                <w:rFonts w:hint="eastAsia" w:ascii="Times New Roman" w:hAnsi="方正公文仿宋" w:eastAsia="方正公文仿宋"/>
                <w:kern w:val="0"/>
                <w:szCs w:val="21"/>
                <w:lang w:bidi="ar"/>
              </w:rPr>
              <w:t>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3.召开乡党委会议集体研究并提出人选使用意见；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2.负责对驻村第一书记及工作队员进行考勤等日常管理工作。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做好村级组织运转经费和党组织活动经费保障、村干部及正常离任村干部待遇审核相关工作。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做好农村党员远程教育工作</w:t>
            </w:r>
            <w:r>
              <w:rPr>
                <w:rFonts w:hint="eastAsia" w:ascii="Times New Roman" w:hAnsi="方正公文仿宋" w:eastAsia="方正公文仿宋"/>
                <w:kern w:val="0"/>
                <w:szCs w:val="21"/>
                <w:lang w:eastAsia="zh-CN" w:bidi="ar"/>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做好先进典型培育、选树和宣传工作</w:t>
            </w:r>
            <w:r>
              <w:rPr>
                <w:rFonts w:hint="eastAsia" w:ascii="Times New Roman" w:hAnsi="方正公文仿宋" w:eastAsia="方正公文仿宋"/>
                <w:kern w:val="0"/>
                <w:szCs w:val="21"/>
                <w:lang w:eastAsia="zh-CN" w:bidi="ar"/>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3.调处涉及乡内重点项目建设矛盾纠纷。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1.摸排、申报水库移民后期扶持项目。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1.县农业农村局会同有关部门组织开展新型农业经营主体申报和评审，督促监管项目实施主体严格按规定的用途使用；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2.指导和支持有条件的村设立慈善组织，做好村志愿者队伍建设。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1.摸排本乡户籍生活无着落流浪乞讨人员；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2.做好本乡户籍生活无着落流浪乞讨人员救助申请工作。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1.审批确定入住光荣院优抚对象，并做好相关监督工作。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1.受理进入光荣院集中供养的申请并上报。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w:t>
            </w:r>
            <w:r>
              <w:rPr>
                <w:rFonts w:hint="eastAsia" w:ascii="Times New Roman" w:hAnsi="方正公文仿宋" w:eastAsia="方正公文仿宋"/>
                <w:kern w:val="0"/>
                <w:szCs w:val="21"/>
                <w:lang w:eastAsia="zh-CN" w:bidi="ar"/>
              </w:rPr>
              <w:t>监督</w:t>
            </w:r>
            <w:r>
              <w:rPr>
                <w:rFonts w:hint="eastAsia" w:ascii="Times New Roman" w:hAnsi="方正公文仿宋" w:eastAsia="方正公文仿宋"/>
                <w:kern w:val="0"/>
                <w:szCs w:val="21"/>
                <w:lang w:bidi="ar"/>
              </w:rPr>
              <w:t>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w:t>
            </w:r>
            <w:r>
              <w:rPr>
                <w:rFonts w:hint="eastAsia" w:ascii="Times New Roman" w:hAnsi="方正公文仿宋" w:eastAsia="方正公文仿宋"/>
                <w:kern w:val="0"/>
                <w:szCs w:val="21"/>
                <w:lang w:eastAsia="zh-CN" w:bidi="ar"/>
              </w:rPr>
              <w:t>监督管理</w:t>
            </w:r>
            <w:r>
              <w:rPr>
                <w:rFonts w:hint="eastAsia" w:ascii="Times New Roman" w:hAnsi="方正公文仿宋" w:eastAsia="方正公文仿宋"/>
                <w:kern w:val="0"/>
                <w:szCs w:val="21"/>
                <w:lang w:bidi="ar"/>
              </w:rPr>
              <w:t>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防范打击性侵未成年人违法犯罪。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w:t>
            </w:r>
          </w:p>
          <w:p>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3.摸排留守儿童、单亲家庭儿童、困境儿童、有性侵前科和不良反映的中老年单身汉等特殊群体信息，建立工作台账，落实重点学生帮扶管理措施。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3.县人民检察院负责审查批捕起诉，监督诉讼，参与案件处置，提供法律指导；</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4.县人民政府办公室负责建立防范和处置非法集资工作机制，指导各有关部门按照规定和要求做好</w:t>
            </w:r>
            <w:r>
              <w:rPr>
                <w:rFonts w:hint="eastAsia" w:ascii="Times New Roman" w:hAnsi="方正公文仿宋" w:eastAsia="方正公文仿宋"/>
                <w:kern w:val="0"/>
                <w:szCs w:val="21"/>
                <w:lang w:eastAsia="zh-CN" w:bidi="ar"/>
              </w:rPr>
              <w:t>防范</w:t>
            </w:r>
            <w:r>
              <w:rPr>
                <w:rFonts w:hint="eastAsia" w:ascii="Times New Roman" w:hAnsi="方正公文仿宋" w:eastAsia="方正公文仿宋"/>
                <w:kern w:val="0"/>
                <w:szCs w:val="21"/>
                <w:lang w:bidi="ar"/>
              </w:rPr>
              <w:t>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做好流动人口摸排和政策宣传工作。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2.组织村做好扶持发展新型农村集体经济项目论证、评估、申报和实施工作。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3.负责动物疫情排查、畜禽强制免疫与农作物病虫害防治的组织实施、防疫宣传、疫情报告与应急处置、病死动物无害化处理（不包括在江河、湖泊、水库等水域发现的死亡畜禽）等工作。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2.组织村民委员会做好高标准农田建设后期维护管理工作。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共青团东安县委员会</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县妇女联合会</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5.共青团东安县委员会、县妇女联合会、县红十字会负责有针对性地开展预防溺水安全宣传教育和关爱行动，组织志愿者开展志愿服务。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增减挂钩</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w:t>
            </w:r>
            <w:r>
              <w:rPr>
                <w:rFonts w:hint="eastAsia" w:ascii="Times New Roman" w:hAnsi="方正公文仿宋" w:eastAsia="方正公文仿宋"/>
                <w:kern w:val="0"/>
                <w:szCs w:val="21"/>
                <w:lang w:eastAsia="zh-CN" w:bidi="ar"/>
              </w:rPr>
              <w:t>违</w:t>
            </w:r>
            <w:r>
              <w:rPr>
                <w:rFonts w:hint="eastAsia" w:ascii="Times New Roman" w:hAnsi="方正公文仿宋" w:eastAsia="方正公文仿宋"/>
                <w:kern w:val="0"/>
                <w:szCs w:val="21"/>
                <w:lang w:bidi="ar"/>
              </w:rPr>
              <w:t>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县自然资源局（牵头“非农化”）</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县农业农村局（牵头“非粮化”）</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2.开展监管执法行动，查处生产销售“非标地膜”和不按规定回收地膜、农药包装废弃物等违法行为；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3.建立县级工作台账；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w:t>
            </w:r>
            <w:r>
              <w:rPr>
                <w:rFonts w:hint="eastAsia" w:ascii="Times New Roman" w:hAnsi="方正公文仿宋" w:eastAsia="方正公文仿宋"/>
                <w:kern w:val="0"/>
                <w:szCs w:val="21"/>
                <w:lang w:eastAsia="zh-CN" w:bidi="ar"/>
              </w:rPr>
              <w:t>对</w:t>
            </w:r>
            <w:r>
              <w:rPr>
                <w:rFonts w:hint="eastAsia" w:ascii="Times New Roman" w:hAnsi="方正公文仿宋" w:eastAsia="方正公文仿宋"/>
                <w:kern w:val="0"/>
                <w:szCs w:val="21"/>
                <w:lang w:bidi="ar"/>
              </w:rPr>
              <w:t>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4.县委网信办负责加大网络巡查力度，及时清理整治网络涉渔违法信息。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市生态环境局东安分局（牵头）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组织实施集镇棚户区改扩翻工作。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1.开展集镇棚户区改造计划申报和审核；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3.依法依规依程序拨付集镇棚户区改造项目资金；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4.对集镇棚户区改造项目工作开展监督检查。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1.负责集镇棚户区改造项目的居民意见征集和项目申报；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w:t>
            </w:r>
            <w:r>
              <w:rPr>
                <w:rFonts w:hint="eastAsia" w:ascii="Times New Roman" w:hAnsi="方正公文仿宋" w:eastAsia="方正公文仿宋"/>
                <w:kern w:val="0"/>
                <w:szCs w:val="21"/>
                <w:lang w:eastAsia="zh-CN" w:bidi="ar"/>
              </w:rPr>
              <w:t>置</w:t>
            </w:r>
            <w:r>
              <w:rPr>
                <w:rFonts w:hint="eastAsia" w:ascii="Times New Roman" w:hAnsi="方正公文仿宋" w:eastAsia="方正公文仿宋"/>
                <w:kern w:val="0"/>
                <w:szCs w:val="21"/>
                <w:lang w:bidi="ar"/>
              </w:rPr>
              <w:t>围挡等措施进行封闭。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2.做好乡道、村道建设中的矛盾调处工作；3.做好乡道、村道建设后期管理工作。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w:t>
            </w:r>
            <w:r>
              <w:rPr>
                <w:rFonts w:hint="eastAsia" w:ascii="Times New Roman" w:hAnsi="方正公文仿宋" w:eastAsia="方正公文仿宋"/>
                <w:kern w:val="0"/>
                <w:szCs w:val="21"/>
                <w:lang w:eastAsia="zh-CN" w:bidi="ar"/>
              </w:rPr>
              <w:t>负责对</w:t>
            </w:r>
            <w:r>
              <w:rPr>
                <w:rFonts w:hint="eastAsia" w:ascii="Times New Roman" w:hAnsi="方正公文仿宋" w:eastAsia="方正公文仿宋"/>
                <w:kern w:val="0"/>
                <w:szCs w:val="21"/>
                <w:lang w:bidi="ar"/>
              </w:rPr>
              <w:t>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w:t>
            </w:r>
            <w:r>
              <w:rPr>
                <w:rFonts w:hint="eastAsia" w:ascii="Times New Roman" w:hAnsi="方正公文仿宋" w:eastAsia="方正公文仿宋"/>
                <w:kern w:val="0"/>
                <w:szCs w:val="21"/>
                <w:lang w:eastAsia="zh-CN" w:bidi="ar"/>
              </w:rPr>
              <w:t>社区</w:t>
            </w:r>
            <w:r>
              <w:rPr>
                <w:rFonts w:hint="eastAsia" w:ascii="Times New Roman" w:hAnsi="方正公文仿宋" w:eastAsia="方正公文仿宋"/>
                <w:kern w:val="0"/>
                <w:szCs w:val="21"/>
                <w:lang w:bidi="ar"/>
              </w:rPr>
              <w:t>防控工作。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tblPrEx>
          <w:tblCellMar>
            <w:top w:w="0" w:type="dxa"/>
            <w:left w:w="108" w:type="dxa"/>
            <w:bottom w:w="0" w:type="dxa"/>
            <w:right w:w="108" w:type="dxa"/>
          </w:tblCellMar>
        </w:tblPrEx>
        <w:trPr>
          <w:cantSplit/>
          <w:trHeight w:val="10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含防汛、抗旱、防台、防震、防雨雪冰冻、防地质灾害等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协调指导地方组织抢险救援队伍和调运抢险救援物资</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组织编制洪水干旱灾害防治规划及防护标准并指导实施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承担水情旱情监测预警工作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组织编制重要河流和重要水工程的防御洪水抗御旱灾调度应急及水量调度方案，按程序报批并组织实施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承担防御洪水应急抢险的技术支撑工作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指导干旱地区农业种植结构的调整，培育和推广应用耐</w:t>
            </w:r>
            <w:r>
              <w:rPr>
                <w:rFonts w:hint="eastAsia" w:ascii="Times New Roman" w:hAnsi="方正公文仿宋" w:eastAsia="方正公文仿宋"/>
                <w:kern w:val="0"/>
                <w:szCs w:val="21"/>
                <w:lang w:eastAsia="zh-CN" w:bidi="ar"/>
              </w:rPr>
              <w:t>旱</w:t>
            </w:r>
            <w:r>
              <w:rPr>
                <w:rFonts w:hint="eastAsia" w:ascii="Times New Roman" w:hAnsi="方正公文仿宋" w:eastAsia="方正公文仿宋"/>
                <w:kern w:val="0"/>
                <w:szCs w:val="21"/>
                <w:lang w:bidi="ar"/>
              </w:rPr>
              <w:t>品种，及时提供农业</w:t>
            </w:r>
            <w:r>
              <w:rPr>
                <w:rFonts w:hint="eastAsia" w:ascii="Times New Roman" w:hAnsi="方正公文仿宋" w:eastAsia="方正公文仿宋"/>
                <w:kern w:val="0"/>
                <w:szCs w:val="21"/>
                <w:lang w:eastAsia="zh-CN" w:bidi="ar"/>
              </w:rPr>
              <w:t>旱</w:t>
            </w:r>
            <w:r>
              <w:rPr>
                <w:rFonts w:hint="eastAsia" w:ascii="Times New Roman" w:hAnsi="方正公文仿宋" w:eastAsia="方正公文仿宋"/>
                <w:kern w:val="0"/>
                <w:szCs w:val="21"/>
                <w:lang w:bidi="ar"/>
              </w:rPr>
              <w:t>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30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50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协调解决青障处理工作中矛盾纠纷。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对生产经营者开展日常监督检查，组织专项检查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4.负责村民集体聚餐信息登记、风险提示，发现问题及时上报。</w:t>
            </w:r>
          </w:p>
        </w:tc>
      </w:tr>
    </w:tbl>
    <w:p>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28208"/>
      <w:bookmarkStart w:id="9" w:name="_Toc172077951"/>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p>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承接部门：国家金融监督管理总局东安监管支局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工作方式：由国家金融监督管理总局东安监管支局依法依规处置。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财政局分职责负责。</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承接部门：县退役军人服务局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工作方式：由退役军人服务局明确申请条件和材料，负责残疾等级评定的审核，强化监督管理。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工作方式：由县发展改革局、县住房和城乡建设局按照职责分工做好相关工作。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工作方式：由县自然资源局和县林业局根据职责分工负责争议案件处理。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村规划，接收并审核申请材料，进行实地核查，提出初审意见。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w:t>
            </w:r>
            <w:r>
              <w:rPr>
                <w:rFonts w:hint="eastAsia" w:ascii="Times New Roman" w:hAnsi="方正公文仿宋" w:eastAsia="方正公文仿宋"/>
                <w:kern w:val="0"/>
                <w:szCs w:val="21"/>
                <w:lang w:eastAsia="zh-CN" w:bidi="ar"/>
              </w:rPr>
              <w:t>规定</w:t>
            </w:r>
            <w:bookmarkStart w:id="12" w:name="_GoBack"/>
            <w:bookmarkEnd w:id="12"/>
            <w:r>
              <w:rPr>
                <w:rFonts w:hint="eastAsia" w:ascii="Times New Roman" w:hAnsi="方正公文仿宋" w:eastAsia="方正公文仿宋"/>
                <w:kern w:val="0"/>
                <w:szCs w:val="21"/>
                <w:lang w:bidi="ar"/>
              </w:rPr>
              <w:t>办理登记手续。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_GBK"/>
    <w:panose1 w:val="02000000000000000000"/>
    <w:charset w:val="86"/>
    <w:family w:val="auto"/>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A89117F"/>
    <w:rsid w:val="199D10C1"/>
    <w:rsid w:val="24340889"/>
    <w:rsid w:val="2FC5081B"/>
    <w:rsid w:val="3FB718B7"/>
    <w:rsid w:val="411C5661"/>
    <w:rsid w:val="44057CA0"/>
    <w:rsid w:val="53023B6D"/>
    <w:rsid w:val="76FE40E0"/>
    <w:rsid w:val="7CFFA99D"/>
    <w:rsid w:val="AEFDCF87"/>
    <w:rsid w:val="EFBF8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4951</Words>
  <Characters>5059</Characters>
  <Lines>1</Lines>
  <Paragraphs>1</Paragraphs>
  <TotalTime>7</TotalTime>
  <ScaleCrop>false</ScaleCrop>
  <LinksUpToDate>false</LinksUpToDate>
  <CharactersWithSpaces>5068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bianban</cp:lastModifiedBy>
  <dcterms:modified xsi:type="dcterms:W3CDTF">2025-07-17T16:10:08Z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eyJoZGlkIjoiNjE1NjcwMTYyMjBlYzgyNTJiMWZlNzFhM2FjMTJmZWEiLCJ1c2VySWQiOiI0ODY5NzYzIn0=</vt:lpwstr>
  </property>
  <property fmtid="{D5CDD505-2E9C-101B-9397-08002B2CF9AE}" pid="3" name="KSOProductBuildVer">
    <vt:lpwstr>2052-11.8.2.10125</vt:lpwstr>
  </property>
  <property fmtid="{D5CDD505-2E9C-101B-9397-08002B2CF9AE}" pid="4" name="ICV">
    <vt:lpwstr>A9D25602D86F48F89E69255B1FD1C7B6_12</vt:lpwstr>
  </property>
</Properties>
</file>