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湖南省永州市东安县紫溪市镇</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sectPr>
          <w:pgSz w:w="16837" w:h="11905" w:orient="landscape"/>
          <w:pgMar w:top="1418" w:right="1418" w:bottom="1418" w:left="1418" w:header="851" w:footer="907" w:gutter="0"/>
          <w:pgNumType w:fmt="decimal" w:start="1"/>
          <w:cols w:space="720" w:num="1"/>
          <w:docGrid w:linePitch="312" w:charSpace="0"/>
        </w:sectPr>
      </w:pPr>
    </w:p>
    <w:p>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pPr>
        <w:pStyle w:val="2"/>
      </w:pP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_Toc10825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_Toc10825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_Toc1727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_Toc1727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_Toc14969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_Toc14969 \h </w:instrText>
      </w:r>
      <w:r>
        <w:fldChar w:fldCharType="separate"/>
      </w:r>
      <w:r>
        <w:t>42</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rPr>
          <w:rFonts w:ascii="Times New Roman" w:hAnsi="Times New Roman" w:eastAsia="方正小标宋_GBK" w:cs="Times New Roman"/>
          <w:b/>
          <w:snapToGrid w:val="0"/>
          <w:color w:val="auto"/>
          <w:spacing w:val="7"/>
          <w:kern w:val="0"/>
          <w:sz w:val="32"/>
          <w:szCs w:val="44"/>
          <w:lang w:val="en-US" w:eastAsia="zh-CN" w:bidi="ar-SA"/>
        </w:rPr>
        <w:sectPr>
          <w:footerReference r:id="rId3" w:type="default"/>
          <w:pgSz w:w="16837" w:h="11905" w:orient="landscape"/>
          <w:pgMar w:top="1418" w:right="1418" w:bottom="1418" w:left="1418" w:header="851" w:footer="907" w:gutter="0"/>
          <w:pgNumType w:fmt="decimal" w:start="1"/>
          <w:cols w:space="720" w:num="1"/>
          <w:docGrid w:linePitch="312" w:charSpace="0"/>
        </w:sectPr>
      </w:pPr>
      <w:r>
        <w:rPr>
          <w:rFonts w:ascii="Times New Roman" w:hAnsi="Times New Roman" w:eastAsia="方正小标宋_GBK" w:cs="Times New Roman"/>
          <w:color w:val="auto"/>
          <w:spacing w:val="7"/>
          <w:szCs w:val="44"/>
          <w:lang w:eastAsia="zh-CN"/>
        </w:rPr>
        <w:fldChar w:fldCharType="end"/>
      </w:r>
    </w:p>
    <w:p>
      <w:pPr>
        <w:pStyle w:val="3"/>
        <w:spacing w:before="0" w:after="0" w:line="240" w:lineRule="auto"/>
        <w:jc w:val="center"/>
        <w:rPr>
          <w:rFonts w:ascii="Times New Roman" w:hAnsi="Times New Roman" w:eastAsia="方正公文小标宋" w:cs="Times New Roman"/>
          <w:b w:val="0"/>
          <w:lang w:eastAsia="zh-CN"/>
        </w:rPr>
      </w:pPr>
      <w:bookmarkStart w:id="0" w:name="_Toc10825"/>
      <w:bookmarkStart w:id="1" w:name="_Toc172077416"/>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开展监督执纪执法，加强对干部职工遵守党章党规党纪、贯彻执行党的路线方针和政策决议情况的监督检查，做好“互联网+监督”工作，受理办理信访举报和问题线索。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加强基层党组织建设，负责镇党委下辖党组织的成立、撤销与调整，组织实施换届选举工作，排查整顿软弱涣散基层党组织，开展主题党日活动，落实“三会一课”“双述双评”等制度，推进标准化规范化建设。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加强“两企三新”党建工作，擦亮红色党建品牌。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做好镇机关事业单位干部职工日常管理、教育培训、考核监督、评先评优、待遇保障、队伍建设、干部因私出国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管理工作和退休干部的管理服务工作。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负责镇村两级便民（党群）服务中心及活动场所的管理，规范党徽党旗的使用。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负责镇人大换届选举，按期召开镇人民代表大会，保障人大代表依法履行职责，组织镇人大代表开展调研、视察，加强镇人大代表履职平台建设，组织办理人大代表建议，推进新时代人大工作高质量发展。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宣传分布式光伏发电政策，推进分布式光伏发电项目，做好镇内适宜建设场所的排查选址工作。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推动村级集体经济发展壮大，加强村级组织和村级集体经济组织的资金、资产、资源“三资”监督管理，做好“村账镇代管”、农村经营管理信息化工作。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围绕创建农业产业强镇，大力发展“一主一特”（烤烟和特色果蔬）优势产业，实现产业品牌化、规模化；做优白云石加工产业集群，实现传统产业焕发新机，推动工业发展成为全镇经济发展的动力引擎。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推进社会信用体系建设，不断完善信用承诺制度，持续建设信用村镇。</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做好充电桩建设前期选址和矛盾调</w:t>
            </w:r>
            <w:r>
              <w:rPr>
                <w:rFonts w:hint="eastAsia" w:ascii="Times New Roman" w:hAnsi="方正公文仿宋" w:eastAsia="方正公文仿宋"/>
                <w:kern w:val="0"/>
                <w:szCs w:val="21"/>
                <w:lang w:eastAsia="zh-CN" w:bidi="ar"/>
              </w:rPr>
              <w:t>处</w:t>
            </w:r>
            <w:r>
              <w:rPr>
                <w:rFonts w:hint="eastAsia" w:ascii="Times New Roman" w:hAnsi="方正公文仿宋" w:eastAsia="方正公文仿宋"/>
                <w:kern w:val="0"/>
                <w:szCs w:val="21"/>
                <w:lang w:bidi="ar"/>
              </w:rPr>
              <w:t>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开展铁路护路工作，加强铁路巡查及隐患排查，强化铁路安全宣传教育，普及铁路安全法律法规和铁路安全知识，提高公众铁路安全意识。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负责涉及镇人民政府的行政复议案件的答复工作和行政诉讼案件的应诉工作。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负责本镇法律顾问、公职律师日常管理工作，推进法律顾问和公职律师进村（居），提升公共法律服务水平，指导村（居）做好法律服务等工作。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开展农、牧、渔、畜、禽的生产管理工作，发展生猪、油茶、橙类、优质水稻等特色产业，积极宣传并落实产业扶持政策。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负责脱贫攻坚和乡村振兴有效衔接项目入库摸底、实地指导、项目验收、资料审核、资产移交及后续管理工作，审核经营性项目的利益分配。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推进镇村绿化美化亮化，打造美丽乡村。</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加强基层政权建设，建立健全村（居）民委员会、村（居）务监督委员会，指导换届选举、补选工作。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加强基层治理，健全议事决策和监督机制，指导村（居）制定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修订</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村规民约，成立红白理事会、道德评议会、村民议事会、禁赌禁毒会，规范村（居）务公开，支持保障依法开展自治活动。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依法成立乡镇人民调解委员会，统筹派出所、司法所、人民法庭等力量，开展人民调解工作。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落实林长制，组织镇村林长宣传政策法规，普及森林资源知识，开展造林绿化和日常巡查，发现破坏森林资源的行为及时制止、上报。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做好“千年鸟道”保护工作，开展保护候鸟迁徙宣传，在候鸟迁徙期定期巡查候鸟重要迁徙通道、越冬地，发现违法行为及时制止、上报。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对未取得乡村建设规划许可证或未按乡村建设规划许可证建设，逾期不改正的，依法拆除违规建筑物。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开展调元渡口、渌埠头渡口水上交通安全日常巡查，发现安全隐患及时上报。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写好“千年古邑”文章，开展全域文化遗产资源普查、保护、非物质文化传承等工作，如龙舟文化等民俗文化、三国文化等历史文化。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绘就“醉美紫溪”画卷，推动文旅融合发展，以沉香寺、广利桥、吴公塔和高岩湖等景点为依托，着力打造塘高观光带、湘江第一湾观光带等微旅游线路。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负责镇机关日常运转，承担档案管理、公文处理、机关会务、印章管理等工作。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开展村（居）民委员会财务审计和村（居）“两委”班子成员任期经济责任审计，加强村级债务监管，防范化解村级债务风险。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负责上级督查交办事项的办理，承办“12345”政务服务便民热线等平台转办涉及本镇职权范围内的事项。</w:t>
            </w:r>
          </w:p>
        </w:tc>
      </w:tr>
    </w:tbl>
    <w:p>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7"/>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2.县委统战部负责党外代表人士的培养、选拔、推荐和考察工作，对“两代表一委员”候选人初步建议人选进行联合审查；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w:t>
            </w:r>
            <w:r>
              <w:rPr>
                <w:rFonts w:hint="eastAsia" w:ascii="Times New Roman" w:hAnsi="方正公文仿宋" w:eastAsia="方正公文仿宋"/>
                <w:kern w:val="0"/>
                <w:szCs w:val="21"/>
                <w:lang w:eastAsia="zh-CN" w:bidi="ar"/>
              </w:rPr>
              <w:t>（社区）</w:t>
            </w:r>
            <w:r>
              <w:rPr>
                <w:rFonts w:hint="eastAsia" w:ascii="Times New Roman" w:hAnsi="方正公文仿宋" w:eastAsia="方正公文仿宋"/>
                <w:kern w:val="0"/>
                <w:szCs w:val="21"/>
                <w:lang w:bidi="ar"/>
              </w:rPr>
              <w:t>党组织书记候选人预备人选现实表现材料。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按照“一人一档”要求，收集《村（社区）党组织书记基本情况备案表》、考核材料、学历（培训）材料、入党材料、表彰奖励材料、违纪违法材料、任免材料等相关材料并按规定上报。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1.整理本镇村（社区）党组织书记档案，审核合格后移交县干部档案信息中心统一管理；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3.召开镇党委会议集体研究并提出人选使用意见；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做好村级组织运转经费和党组织活动经费保障、村（社区）干部及正常离任村（社区）干部待遇审核相关工作。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3.调处涉及镇内重点项目建设矛盾纠纷。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县市场监督管理局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2.指导和支持有条件的村（居）设立慈善组织，做好村（居）志愿者队伍建设。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2.做好本镇户籍生活无着落流浪乞讨人员救助申请工作。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县水利局（牵头）县卫生健康局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审批确定入住光荣院优抚对象，并做好相关监管工作。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 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                                    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县公安局（牵头）县委政法委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3.加强涉诈高危人员的思想教育和管控工作。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w:t>
            </w:r>
          </w:p>
          <w:p>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3.摸排留守儿童、单亲家庭儿童、困境儿童、有性侵前科和不良反映的中年单身汉等特殊群体信息，建立工作台账，落实重点学生帮扶管理措施。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县人民检察院           县人民政府办公室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                          3.县人民检察院负责审查批捕起诉，监督诉讼，参与案件处置，提供法律指导；                            4.县人民政府办公室负责建立防范和处置非法集资工作机制，指导各有关部门按照规定和要求做好</w:t>
            </w:r>
            <w:r>
              <w:rPr>
                <w:rFonts w:hint="eastAsia" w:ascii="Times New Roman" w:hAnsi="方正公文仿宋" w:eastAsia="方正公文仿宋"/>
                <w:kern w:val="0"/>
                <w:szCs w:val="21"/>
                <w:lang w:eastAsia="zh-CN" w:bidi="ar"/>
              </w:rPr>
              <w:t>防范</w:t>
            </w:r>
            <w:r>
              <w:rPr>
                <w:rFonts w:hint="eastAsia" w:ascii="Times New Roman" w:hAnsi="方正公文仿宋" w:eastAsia="方正公文仿宋"/>
                <w:kern w:val="0"/>
                <w:szCs w:val="21"/>
                <w:lang w:bidi="ar"/>
              </w:rPr>
              <w:t>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2.摸排收集参与非法集资人员信息，上报非法集资线索；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3.做好受损群体思想疏导。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r>
              <w:rPr>
                <w:rFonts w:hint="eastAsia" w:ascii="Times New Roman" w:hAnsi="方正公文仿宋" w:eastAsia="方正公文仿宋"/>
                <w:kern w:val="0"/>
                <w:szCs w:val="21"/>
                <w:lang w:bidi="ar"/>
              </w:rPr>
              <w:br w:type="textWrapping"/>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县教育局（牵头）县人民法院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县教育局负责建立健全并落实校园安全管理规章制度，制订校园安全</w:t>
            </w:r>
          </w:p>
          <w:p>
            <w:pPr>
              <w:widowControl/>
              <w:numPr>
                <w:ilvl w:val="0"/>
                <w:numId w:val="2"/>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县公安局（牵头）县教育局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1.统计上报有意愿申报及实施扶持发展新型农村集体经济项目的村（居）名单；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2.组织村（居）做好扶持发展新型农村集体经济项目论证、评估、申报和实施工作。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3.负责动物疫情排查、畜禽强制免疫与农作物病虫害防治的组织实施、防疫宣传、疫情报告与应急处理置、病死动物无害化处理（不包括在江河、湖泊、水库等水域发现的死亡畜禽）等工作。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2.组织村（居）民委员会做好高标准农田建设后期维护管理工作。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2.督促各村（居）保持村居环境卫生整洁；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县水利局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共青团东安县委员会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县妇女联合会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5.共青团东安县委员会、县妇女联合会、县红十字会负责有针对性地开展预防溺水安全宣传教育和关爱行动，组织志愿者开展志愿服务。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1.对村（居）受理的高龄补贴、百岁长寿老人保健费申请材料进行核实、初审，并将初审结果报县民政局；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增减挂钩</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w:t>
            </w:r>
            <w:r>
              <w:rPr>
                <w:rFonts w:hint="eastAsia" w:ascii="Times New Roman" w:hAnsi="方正公文仿宋" w:eastAsia="方正公文仿宋"/>
                <w:kern w:val="0"/>
                <w:szCs w:val="21"/>
                <w:lang w:eastAsia="zh-CN" w:bidi="ar"/>
              </w:rPr>
              <w:t>违</w:t>
            </w:r>
            <w:r>
              <w:rPr>
                <w:rFonts w:hint="eastAsia" w:ascii="Times New Roman" w:hAnsi="方正公文仿宋" w:eastAsia="方正公文仿宋"/>
                <w:kern w:val="0"/>
                <w:szCs w:val="21"/>
                <w:lang w:bidi="ar"/>
              </w:rPr>
              <w:t>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制定土地利用总体规划，负责受理和审查农村村民住宅用地的农转用资料，并报县人民政府审批。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县自然资源局（牵头“非农化”）
县农业农村局（牵头“非粮化”）</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2.开展监管执法行动，查处生产销售“非标地膜”和不按规定回收地膜、农药包装废弃物等违法行为；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3.建立县级工作台账；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w:t>
            </w:r>
            <w:r>
              <w:rPr>
                <w:rFonts w:hint="eastAsia" w:ascii="Times New Roman" w:hAnsi="方正公文仿宋" w:eastAsia="方正公文仿宋"/>
                <w:kern w:val="0"/>
                <w:szCs w:val="21"/>
                <w:lang w:eastAsia="zh-CN" w:bidi="ar"/>
              </w:rPr>
              <w:t>对</w:t>
            </w:r>
            <w:r>
              <w:rPr>
                <w:rFonts w:hint="eastAsia" w:ascii="Times New Roman" w:hAnsi="方正公文仿宋" w:eastAsia="方正公文仿宋"/>
                <w:kern w:val="0"/>
                <w:szCs w:val="21"/>
                <w:lang w:bidi="ar"/>
              </w:rPr>
              <w:t>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w:t>
            </w:r>
            <w:bookmarkStart w:id="12" w:name="_GoBack"/>
            <w:bookmarkEnd w:id="12"/>
            <w:r>
              <w:rPr>
                <w:rFonts w:hint="default" w:ascii="Times New Roman" w:hAnsi="方正公文仿宋" w:eastAsia="方正公文仿宋"/>
                <w:kern w:val="0"/>
                <w:szCs w:val="21"/>
                <w:lang w:val="en" w:bidi="ar"/>
              </w:rPr>
              <w:t>秸秆</w:t>
            </w:r>
            <w:r>
              <w:rPr>
                <w:rFonts w:hint="eastAsia" w:ascii="Times New Roman" w:hAnsi="方正公文仿宋" w:eastAsia="方正公文仿宋"/>
                <w:kern w:val="0"/>
                <w:szCs w:val="21"/>
                <w:lang w:bidi="ar"/>
              </w:rPr>
              <w:t>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w:t>
            </w:r>
            <w:r>
              <w:rPr>
                <w:rFonts w:hint="default" w:ascii="Times New Roman" w:hAnsi="方正公文仿宋" w:eastAsia="方正公文仿宋"/>
                <w:kern w:val="0"/>
                <w:szCs w:val="21"/>
                <w:lang w:val="en" w:bidi="ar"/>
              </w:rPr>
              <w:t>秸秆</w:t>
            </w:r>
            <w:r>
              <w:rPr>
                <w:rFonts w:hint="eastAsia" w:ascii="Times New Roman" w:hAnsi="方正公文仿宋" w:eastAsia="方正公文仿宋"/>
                <w:kern w:val="0"/>
                <w:szCs w:val="21"/>
                <w:lang w:bidi="ar"/>
              </w:rPr>
              <w:t>工作方案，统筹指导和监督管理全县露天焚烧</w:t>
            </w:r>
            <w:r>
              <w:rPr>
                <w:rFonts w:hint="default" w:ascii="Times New Roman" w:hAnsi="方正公文仿宋" w:eastAsia="方正公文仿宋"/>
                <w:kern w:val="0"/>
                <w:szCs w:val="21"/>
                <w:lang w:val="en" w:bidi="ar"/>
              </w:rPr>
              <w:t>秸秆</w:t>
            </w:r>
            <w:r>
              <w:rPr>
                <w:rFonts w:hint="eastAsia" w:ascii="Times New Roman" w:hAnsi="方正公文仿宋" w:eastAsia="方正公文仿宋"/>
                <w:kern w:val="0"/>
                <w:szCs w:val="21"/>
                <w:lang w:bidi="ar"/>
              </w:rPr>
              <w:t>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组织实施棚户区改扩翻工作。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1.开展集镇棚户区改造计划申报和审核；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3.依法依规依程序拨付集镇棚户区改造项目资金；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4.对集镇棚户区改造项目工作开展监督检查。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1.负责集镇棚户区改造项目的居民意见征集和项目申报；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w:t>
            </w:r>
            <w:r>
              <w:rPr>
                <w:rFonts w:hint="eastAsia" w:ascii="Times New Roman" w:hAnsi="方正公文仿宋" w:eastAsia="方正公文仿宋"/>
                <w:kern w:val="0"/>
                <w:szCs w:val="21"/>
                <w:lang w:eastAsia="zh-CN" w:bidi="ar"/>
              </w:rPr>
              <w:t>置</w:t>
            </w:r>
            <w:r>
              <w:rPr>
                <w:rFonts w:hint="eastAsia" w:ascii="Times New Roman" w:hAnsi="方正公文仿宋" w:eastAsia="方正公文仿宋"/>
                <w:kern w:val="0"/>
                <w:szCs w:val="21"/>
                <w:lang w:bidi="ar"/>
              </w:rPr>
              <w:t>围挡等措施进行封闭。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                                3.做好乡道、村道建设后期管理工作。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w:t>
            </w:r>
            <w:r>
              <w:rPr>
                <w:rFonts w:hint="eastAsia" w:ascii="Times New Roman" w:hAnsi="方正公文仿宋" w:eastAsia="方正公文仿宋"/>
                <w:kern w:val="0"/>
                <w:szCs w:val="21"/>
                <w:lang w:eastAsia="zh-CN" w:bidi="ar"/>
              </w:rPr>
              <w:t>负责对</w:t>
            </w:r>
            <w:r>
              <w:rPr>
                <w:rFonts w:hint="eastAsia" w:ascii="Times New Roman" w:hAnsi="方正公文仿宋" w:eastAsia="方正公文仿宋"/>
                <w:kern w:val="0"/>
                <w:szCs w:val="21"/>
                <w:lang w:bidi="ar"/>
              </w:rPr>
              <w:t>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3.做好社区防控工作。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tblPrEx>
          <w:tblCellMar>
            <w:top w:w="0" w:type="dxa"/>
            <w:left w:w="108" w:type="dxa"/>
            <w:bottom w:w="0" w:type="dxa"/>
            <w:right w:w="108" w:type="dxa"/>
          </w:tblCellMar>
        </w:tblPrEx>
        <w:trPr>
          <w:cantSplit/>
          <w:trHeight w:val="72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72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含防汛、抗旱、防台、防震、防雨雪冰冻、防地质灾害等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编制洪水干旱灾害防治规划及防护标准并指导实施；承担水情旱情监测预警工作；组织编制重要河流和重要水工程的防御洪水抗御旱灾调度应急及水量调度方案，按程序报批并组织实施；承担防御洪水应急抢险的技术支撑工作；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指导干旱地区农业种植结构的调整，培育和推广应用耐旱品种，及时提供农业</w:t>
            </w:r>
            <w:r>
              <w:rPr>
                <w:rFonts w:hint="eastAsia" w:ascii="Times New Roman" w:hAnsi="方正公文仿宋" w:eastAsia="方正公文仿宋"/>
                <w:kern w:val="0"/>
                <w:szCs w:val="21"/>
                <w:lang w:eastAsia="zh-CN" w:bidi="ar"/>
              </w:rPr>
              <w:t>旱</w:t>
            </w:r>
            <w:r>
              <w:rPr>
                <w:rFonts w:hint="eastAsia" w:ascii="Times New Roman" w:hAnsi="方正公文仿宋" w:eastAsia="方正公文仿宋"/>
                <w:kern w:val="0"/>
                <w:szCs w:val="21"/>
                <w:lang w:bidi="ar"/>
              </w:rPr>
              <w:t>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协调解决青障处理工作中的矛盾纠纷。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4.负责村</w:t>
            </w:r>
            <w:r>
              <w:rPr>
                <w:rFonts w:hint="eastAsia" w:ascii="Times New Roman" w:hAnsi="方正公文仿宋" w:eastAsia="方正公文仿宋"/>
                <w:kern w:val="0"/>
                <w:szCs w:val="21"/>
                <w:lang w:eastAsia="zh-CN" w:bidi="ar"/>
              </w:rPr>
              <w:t>（居）民</w:t>
            </w:r>
            <w:r>
              <w:rPr>
                <w:rFonts w:hint="eastAsia" w:ascii="Times New Roman" w:hAnsi="方正公文仿宋" w:eastAsia="方正公文仿宋"/>
                <w:kern w:val="0"/>
                <w:szCs w:val="21"/>
                <w:lang w:bidi="ar"/>
              </w:rPr>
              <w:t>集体聚餐信息登记、风险提示，发现问题及时上报。</w:t>
            </w:r>
          </w:p>
        </w:tc>
      </w:tr>
    </w:tbl>
    <w:p>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4969"/>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p>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承接部门：国家金融监督管理总局东安监管支局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工作方式：由国家金融监督管理总局东安监管支局依法依规处置。</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财政局分职责负责。</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工作方式：由退役军人服务局明确申请条件和材料，负责残疾等级评定的审核，强化监督管理。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工作方式：由县发展改革局、县住房和城乡建设局按照职责分工做好相关工作。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工作方式：由县自然资源局和县林业局根据职责分工负责争议案件处理。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村规划，接收并审核申请材料，进行实地核查，提出初审意见。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w:t>
            </w:r>
            <w:r>
              <w:rPr>
                <w:rFonts w:hint="eastAsia" w:ascii="Times New Roman" w:hAnsi="方正公文仿宋" w:eastAsia="方正公文仿宋"/>
                <w:kern w:val="0"/>
                <w:szCs w:val="21"/>
                <w:lang w:eastAsia="zh-CN" w:bidi="ar"/>
              </w:rPr>
              <w:t>规定</w:t>
            </w:r>
            <w:r>
              <w:rPr>
                <w:rFonts w:hint="eastAsia" w:ascii="Times New Roman" w:hAnsi="方正公文仿宋" w:eastAsia="方正公文仿宋"/>
                <w:kern w:val="0"/>
                <w:szCs w:val="21"/>
                <w:lang w:bidi="ar"/>
              </w:rPr>
              <w:t>办理登记手续。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_GBK"/>
    <w:panose1 w:val="02000000000000000000"/>
    <w:charset w:val="86"/>
    <w:family w:val="auto"/>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jc w:val="center"/>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69661"/>
    <w:multiLevelType w:val="singleLevel"/>
    <w:tmpl w:val="CE769661"/>
    <w:lvl w:ilvl="0" w:tentative="0">
      <w:start w:val="1"/>
      <w:numFmt w:val="decimal"/>
      <w:lvlText w:val="%1."/>
      <w:lvlJc w:val="left"/>
      <w:pPr>
        <w:tabs>
          <w:tab w:val="left" w:pos="312"/>
        </w:tabs>
      </w:pPr>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3675EC4"/>
    <w:rsid w:val="0AFD8523"/>
    <w:rsid w:val="1CC625F1"/>
    <w:rsid w:val="1F4D548D"/>
    <w:rsid w:val="274B3264"/>
    <w:rsid w:val="28A805C2"/>
    <w:rsid w:val="293A2F8C"/>
    <w:rsid w:val="341643B9"/>
    <w:rsid w:val="37BD6A95"/>
    <w:rsid w:val="3A8355DB"/>
    <w:rsid w:val="449A0F4E"/>
    <w:rsid w:val="48B14AB8"/>
    <w:rsid w:val="4F6F19B6"/>
    <w:rsid w:val="5977C26A"/>
    <w:rsid w:val="5F7D50EC"/>
    <w:rsid w:val="652D5D1F"/>
    <w:rsid w:val="728409EC"/>
    <w:rsid w:val="7A566F50"/>
    <w:rsid w:val="F7FAE4FD"/>
    <w:rsid w:val="FDE3691F"/>
    <w:rsid w:val="FF5A1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79</Words>
  <Characters>85</Characters>
  <Lines>1</Lines>
  <Paragraphs>1</Paragraphs>
  <TotalTime>7</TotalTime>
  <ScaleCrop>false</ScaleCrop>
  <LinksUpToDate>false</LinksUpToDate>
  <CharactersWithSpaces>90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bianban</cp:lastModifiedBy>
  <dcterms:modified xsi:type="dcterms:W3CDTF">2025-08-12T09:31:13Z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eyJoZGlkIjoiYzIzNjhjZjkxMjg2OGJjOTQ0NThhNzBhOGI4YTVmYWYiLCJ1c2VySWQiOiIxMjM5NTAxNDE5In0=</vt:lpwstr>
  </property>
  <property fmtid="{D5CDD505-2E9C-101B-9397-08002B2CF9AE}" pid="3" name="KSOProductBuildVer">
    <vt:lpwstr>2052-11.8.2.10125</vt:lpwstr>
  </property>
  <property fmtid="{D5CDD505-2E9C-101B-9397-08002B2CF9AE}" pid="4" name="ICV">
    <vt:lpwstr>9B67B95EBEAE4F85A763C2D3DBC66DED_12</vt:lpwstr>
  </property>
</Properties>
</file>