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880"/>
        <w:jc w:val="center"/>
        <w:rPr>
          <w:rFonts w:eastAsia="方正小标宋_GBK" w:cs="Times New Roman"/>
          <w:sz w:val="44"/>
          <w:szCs w:val="44"/>
        </w:rPr>
      </w:pPr>
    </w:p>
    <w:p>
      <w:pPr>
        <w:spacing w:line="360" w:lineRule="auto"/>
        <w:ind w:firstLine="560"/>
        <w:rPr>
          <w:rFonts w:cs="Times New Roman"/>
          <w:sz w:val="28"/>
        </w:rPr>
      </w:pPr>
    </w:p>
    <w:p>
      <w:pPr>
        <w:adjustRightInd w:val="0"/>
        <w:snapToGrid w:val="0"/>
        <w:spacing w:line="360" w:lineRule="auto"/>
        <w:ind w:firstLine="0" w:firstLineChars="0"/>
        <w:jc w:val="center"/>
        <w:rPr>
          <w:rFonts w:ascii="黑体" w:hAnsi="黑体" w:eastAsia="黑体" w:cs="Times New Roman"/>
          <w:b/>
          <w:color w:val="000000"/>
          <w:sz w:val="44"/>
          <w:szCs w:val="44"/>
        </w:rPr>
      </w:pPr>
      <w:r>
        <w:rPr>
          <w:rFonts w:ascii="黑体" w:hAnsi="黑体" w:eastAsia="黑体" w:cs="Times New Roman"/>
          <w:b/>
          <w:color w:val="000000"/>
          <w:sz w:val="44"/>
          <w:szCs w:val="44"/>
        </w:rPr>
        <w:t>湖南省</w:t>
      </w:r>
      <w:r>
        <w:rPr>
          <w:rFonts w:hint="eastAsia" w:ascii="黑体" w:hAnsi="黑体" w:eastAsia="黑体" w:cs="Times New Roman"/>
          <w:b/>
          <w:color w:val="000000"/>
          <w:sz w:val="44"/>
          <w:szCs w:val="44"/>
        </w:rPr>
        <w:t>东安县</w:t>
      </w:r>
    </w:p>
    <w:p>
      <w:pPr>
        <w:adjustRightInd w:val="0"/>
        <w:snapToGrid w:val="0"/>
        <w:spacing w:line="360" w:lineRule="auto"/>
        <w:ind w:firstLine="0" w:firstLineChars="0"/>
        <w:jc w:val="center"/>
        <w:rPr>
          <w:rFonts w:ascii="黑体" w:hAnsi="黑体" w:eastAsia="黑体" w:cs="Times New Roman"/>
          <w:b/>
          <w:color w:val="000000"/>
          <w:sz w:val="44"/>
          <w:szCs w:val="44"/>
        </w:rPr>
      </w:pPr>
      <w:r>
        <w:rPr>
          <w:rFonts w:hint="eastAsia" w:ascii="黑体" w:hAnsi="黑体" w:eastAsia="黑体" w:cs="Times New Roman"/>
          <w:b/>
          <w:color w:val="000000"/>
          <w:sz w:val="44"/>
          <w:szCs w:val="44"/>
        </w:rPr>
        <w:t>大中型及重点小型水利工程</w:t>
      </w:r>
    </w:p>
    <w:p>
      <w:pPr>
        <w:adjustRightInd w:val="0"/>
        <w:snapToGrid w:val="0"/>
        <w:spacing w:line="360" w:lineRule="auto"/>
        <w:ind w:firstLine="0" w:firstLineChars="0"/>
        <w:jc w:val="center"/>
        <w:rPr>
          <w:rFonts w:ascii="黑体" w:hAnsi="黑体" w:eastAsia="黑体" w:cs="Times New Roman"/>
          <w:b/>
          <w:color w:val="000000"/>
          <w:sz w:val="44"/>
          <w:szCs w:val="44"/>
        </w:rPr>
      </w:pPr>
      <w:r>
        <w:rPr>
          <w:rFonts w:hint="eastAsia" w:ascii="黑体" w:hAnsi="黑体" w:eastAsia="黑体" w:cs="Times New Roman"/>
          <w:b/>
          <w:color w:val="000000"/>
          <w:sz w:val="44"/>
          <w:szCs w:val="44"/>
        </w:rPr>
        <w:t>管理与保护范围划界方案</w:t>
      </w:r>
    </w:p>
    <w:p>
      <w:pPr>
        <w:spacing w:line="240" w:lineRule="auto"/>
        <w:ind w:firstLine="0" w:firstLineChars="0"/>
        <w:jc w:val="center"/>
        <w:rPr>
          <w:rFonts w:eastAsia="宋体" w:cs="Times New Roman"/>
          <w:sz w:val="36"/>
          <w:szCs w:val="36"/>
        </w:rPr>
      </w:pPr>
    </w:p>
    <w:p>
      <w:pPr>
        <w:spacing w:line="240" w:lineRule="auto"/>
        <w:ind w:firstLine="0" w:firstLineChars="0"/>
        <w:jc w:val="center"/>
        <w:rPr>
          <w:rFonts w:eastAsia="宋体" w:cs="Times New Roman"/>
          <w:sz w:val="36"/>
          <w:szCs w:val="36"/>
        </w:rPr>
      </w:pPr>
    </w:p>
    <w:p>
      <w:pPr>
        <w:spacing w:line="240" w:lineRule="auto"/>
        <w:ind w:firstLine="0" w:firstLineChars="0"/>
        <w:jc w:val="center"/>
        <w:rPr>
          <w:rFonts w:eastAsia="宋体" w:cs="Times New Roman"/>
          <w:sz w:val="36"/>
          <w:szCs w:val="36"/>
        </w:rPr>
      </w:pPr>
    </w:p>
    <w:p>
      <w:pPr>
        <w:spacing w:line="240" w:lineRule="auto"/>
        <w:ind w:firstLine="0" w:firstLineChars="0"/>
        <w:jc w:val="center"/>
        <w:rPr>
          <w:rFonts w:eastAsia="宋体" w:cs="Times New Roman"/>
          <w:sz w:val="36"/>
          <w:szCs w:val="36"/>
        </w:rPr>
      </w:pPr>
    </w:p>
    <w:p>
      <w:pPr>
        <w:spacing w:line="240" w:lineRule="auto"/>
        <w:ind w:firstLine="0" w:firstLineChars="0"/>
        <w:jc w:val="center"/>
        <w:rPr>
          <w:rFonts w:eastAsia="宋体" w:cs="Times New Roman"/>
          <w:sz w:val="36"/>
          <w:szCs w:val="36"/>
        </w:rPr>
      </w:pPr>
    </w:p>
    <w:p>
      <w:pPr>
        <w:spacing w:line="240" w:lineRule="auto"/>
        <w:ind w:firstLine="0" w:firstLineChars="0"/>
        <w:jc w:val="center"/>
        <w:rPr>
          <w:rFonts w:eastAsia="宋体" w:cs="Times New Roman"/>
          <w:sz w:val="36"/>
          <w:szCs w:val="36"/>
        </w:rPr>
      </w:pPr>
    </w:p>
    <w:p>
      <w:pPr>
        <w:adjustRightInd w:val="0"/>
        <w:snapToGrid w:val="0"/>
        <w:spacing w:line="360" w:lineRule="auto"/>
        <w:ind w:left="640" w:leftChars="200" w:firstLine="1600" w:firstLineChars="500"/>
        <w:rPr>
          <w:rFonts w:ascii="宋体" w:hAnsi="宋体" w:eastAsia="宋体" w:cs="Times New Roman"/>
          <w:color w:val="000000"/>
          <w:szCs w:val="32"/>
        </w:rPr>
      </w:pPr>
      <w:r>
        <w:rPr>
          <w:rFonts w:ascii="宋体" w:hAnsi="宋体" w:eastAsia="宋体" w:cs="Times New Roman"/>
          <w:color w:val="000000"/>
          <w:szCs w:val="32"/>
        </w:rPr>
        <w:t>批准单位：</w:t>
      </w:r>
      <w:r>
        <w:rPr>
          <w:rFonts w:hint="eastAsia" w:ascii="宋体" w:hAnsi="宋体" w:eastAsia="宋体" w:cs="Times New Roman"/>
          <w:color w:val="000000"/>
          <w:szCs w:val="32"/>
        </w:rPr>
        <w:t>东安县</w:t>
      </w:r>
      <w:r>
        <w:rPr>
          <w:rFonts w:ascii="宋体" w:hAnsi="宋体" w:eastAsia="宋体" w:cs="Times New Roman"/>
          <w:color w:val="000000"/>
          <w:szCs w:val="32"/>
        </w:rPr>
        <w:t>人民政府</w:t>
      </w:r>
    </w:p>
    <w:p>
      <w:pPr>
        <w:adjustRightInd w:val="0"/>
        <w:snapToGrid w:val="0"/>
        <w:spacing w:line="360" w:lineRule="auto"/>
        <w:ind w:left="640" w:leftChars="200" w:firstLine="1600" w:firstLineChars="500"/>
        <w:rPr>
          <w:rFonts w:ascii="宋体" w:hAnsi="宋体" w:eastAsia="宋体" w:cs="Times New Roman"/>
          <w:color w:val="000000"/>
          <w:szCs w:val="32"/>
        </w:rPr>
      </w:pPr>
      <w:r>
        <w:rPr>
          <w:rFonts w:ascii="宋体" w:hAnsi="宋体" w:eastAsia="宋体" w:cs="Times New Roman"/>
          <w:color w:val="000000"/>
          <w:szCs w:val="32"/>
        </w:rPr>
        <w:t>审核单位：</w:t>
      </w:r>
      <w:r>
        <w:rPr>
          <w:rFonts w:hint="eastAsia" w:ascii="宋体" w:hAnsi="宋体" w:eastAsia="宋体" w:cs="Times New Roman"/>
          <w:color w:val="000000"/>
          <w:szCs w:val="32"/>
        </w:rPr>
        <w:t>永州市</w:t>
      </w:r>
      <w:r>
        <w:rPr>
          <w:rFonts w:ascii="宋体" w:hAnsi="宋体" w:eastAsia="宋体" w:cs="Times New Roman"/>
          <w:color w:val="000000"/>
          <w:szCs w:val="32"/>
        </w:rPr>
        <w:t>水利</w:t>
      </w:r>
      <w:r>
        <w:rPr>
          <w:rFonts w:hint="eastAsia" w:ascii="宋体" w:hAnsi="宋体" w:eastAsia="宋体" w:cs="Times New Roman"/>
          <w:color w:val="000000"/>
          <w:szCs w:val="32"/>
        </w:rPr>
        <w:t>局</w:t>
      </w:r>
    </w:p>
    <w:p>
      <w:pPr>
        <w:adjustRightInd w:val="0"/>
        <w:snapToGrid w:val="0"/>
        <w:spacing w:line="360" w:lineRule="auto"/>
        <w:ind w:left="640" w:leftChars="200" w:firstLine="3200" w:firstLineChars="1000"/>
        <w:rPr>
          <w:rFonts w:ascii="宋体" w:hAnsi="宋体" w:eastAsia="宋体" w:cs="Times New Roman"/>
          <w:color w:val="000000"/>
          <w:szCs w:val="32"/>
        </w:rPr>
      </w:pPr>
      <w:r>
        <w:rPr>
          <w:rFonts w:hint="eastAsia" w:ascii="宋体" w:hAnsi="宋体" w:eastAsia="宋体" w:cs="Times New Roman"/>
          <w:color w:val="000000"/>
          <w:szCs w:val="32"/>
        </w:rPr>
        <w:t>永州市自然资源和规划局</w:t>
      </w:r>
    </w:p>
    <w:p>
      <w:pPr>
        <w:adjustRightInd w:val="0"/>
        <w:snapToGrid w:val="0"/>
        <w:spacing w:line="360" w:lineRule="auto"/>
        <w:ind w:left="640" w:leftChars="200" w:firstLine="1600" w:firstLineChars="500"/>
        <w:rPr>
          <w:rFonts w:ascii="宋体" w:hAnsi="宋体" w:eastAsia="宋体" w:cs="Times New Roman"/>
          <w:color w:val="000000"/>
          <w:szCs w:val="32"/>
        </w:rPr>
      </w:pPr>
      <w:r>
        <w:rPr>
          <w:rFonts w:hint="eastAsia" w:ascii="宋体" w:hAnsi="宋体" w:eastAsia="宋体" w:cs="Times New Roman"/>
          <w:color w:val="000000"/>
          <w:szCs w:val="32"/>
        </w:rPr>
        <w:t>审查单位：东安县</w:t>
      </w:r>
      <w:r>
        <w:rPr>
          <w:rFonts w:ascii="宋体" w:hAnsi="宋体" w:eastAsia="宋体" w:cs="Times New Roman"/>
          <w:color w:val="000000"/>
          <w:szCs w:val="32"/>
        </w:rPr>
        <w:t>水利局</w:t>
      </w:r>
    </w:p>
    <w:p>
      <w:pPr>
        <w:adjustRightInd w:val="0"/>
        <w:snapToGrid w:val="0"/>
        <w:spacing w:line="360" w:lineRule="auto"/>
        <w:ind w:left="640" w:leftChars="200" w:firstLine="3200" w:firstLineChars="1000"/>
        <w:rPr>
          <w:rFonts w:ascii="宋体" w:hAnsi="宋体" w:eastAsia="宋体" w:cs="Times New Roman"/>
          <w:color w:val="000000"/>
          <w:szCs w:val="32"/>
        </w:rPr>
      </w:pPr>
      <w:r>
        <w:rPr>
          <w:rFonts w:hint="eastAsia" w:ascii="宋体" w:hAnsi="宋体" w:eastAsia="宋体" w:cs="Times New Roman"/>
          <w:color w:val="000000"/>
          <w:szCs w:val="32"/>
        </w:rPr>
        <w:t>东安县</w:t>
      </w:r>
      <w:r>
        <w:rPr>
          <w:rFonts w:ascii="宋体" w:hAnsi="宋体" w:eastAsia="宋体" w:cs="Times New Roman"/>
          <w:color w:val="000000"/>
          <w:szCs w:val="32"/>
        </w:rPr>
        <w:t>自然资源局</w:t>
      </w:r>
    </w:p>
    <w:p>
      <w:pPr>
        <w:adjustRightInd w:val="0"/>
        <w:snapToGrid w:val="0"/>
        <w:spacing w:line="360" w:lineRule="auto"/>
        <w:ind w:left="640" w:leftChars="200" w:firstLine="1600" w:firstLineChars="500"/>
        <w:rPr>
          <w:rFonts w:ascii="宋体" w:hAnsi="宋体" w:eastAsia="宋体" w:cs="Times New Roman"/>
          <w:color w:val="000000"/>
          <w:szCs w:val="32"/>
        </w:rPr>
      </w:pPr>
    </w:p>
    <w:p>
      <w:pPr>
        <w:adjustRightInd w:val="0"/>
        <w:snapToGrid w:val="0"/>
        <w:spacing w:line="360" w:lineRule="auto"/>
        <w:ind w:left="640" w:leftChars="200" w:firstLine="1600" w:firstLineChars="500"/>
        <w:rPr>
          <w:rFonts w:ascii="宋体" w:hAnsi="宋体" w:eastAsia="宋体" w:cs="Times New Roman"/>
          <w:color w:val="000000"/>
          <w:szCs w:val="32"/>
        </w:rPr>
      </w:pPr>
      <w:r>
        <w:rPr>
          <w:rFonts w:ascii="宋体" w:hAnsi="宋体" w:eastAsia="宋体" w:cs="Times New Roman"/>
          <w:color w:val="000000"/>
          <w:szCs w:val="32"/>
        </w:rPr>
        <w:t>编制单位：湖南省第二测绘院</w:t>
      </w:r>
    </w:p>
    <w:p>
      <w:pPr>
        <w:adjustRightInd w:val="0"/>
        <w:snapToGrid w:val="0"/>
        <w:spacing w:line="360" w:lineRule="auto"/>
        <w:ind w:left="640" w:leftChars="200" w:firstLine="2880" w:firstLineChars="900"/>
        <w:rPr>
          <w:rFonts w:ascii="宋体" w:hAnsi="宋体" w:eastAsia="宋体" w:cs="Times New Roman"/>
          <w:color w:val="000000"/>
          <w:szCs w:val="32"/>
        </w:rPr>
      </w:pPr>
    </w:p>
    <w:p>
      <w:pPr>
        <w:adjustRightInd w:val="0"/>
        <w:snapToGrid w:val="0"/>
        <w:spacing w:line="360" w:lineRule="auto"/>
        <w:ind w:left="640" w:leftChars="200" w:firstLine="2880" w:firstLineChars="900"/>
        <w:rPr>
          <w:rFonts w:ascii="宋体" w:hAnsi="宋体" w:eastAsia="宋体" w:cs="Times New Roman"/>
          <w:color w:val="000000"/>
          <w:szCs w:val="32"/>
        </w:rPr>
      </w:pPr>
      <w:r>
        <w:rPr>
          <w:rFonts w:ascii="宋体" w:hAnsi="宋体" w:eastAsia="宋体" w:cs="Times New Roman"/>
          <w:color w:val="000000"/>
          <w:szCs w:val="32"/>
        </w:rPr>
        <w:t>二〇二</w:t>
      </w:r>
      <w:r>
        <w:rPr>
          <w:rFonts w:hint="eastAsia" w:ascii="宋体" w:hAnsi="宋体" w:eastAsia="宋体" w:cs="Times New Roman"/>
          <w:color w:val="000000"/>
          <w:szCs w:val="32"/>
        </w:rPr>
        <w:t>一</w:t>
      </w:r>
      <w:r>
        <w:rPr>
          <w:rFonts w:ascii="宋体" w:hAnsi="宋体" w:eastAsia="宋体" w:cs="Times New Roman"/>
          <w:color w:val="000000"/>
          <w:szCs w:val="32"/>
        </w:rPr>
        <w:t>年</w:t>
      </w:r>
      <w:r>
        <w:rPr>
          <w:rFonts w:hint="eastAsia" w:ascii="宋体" w:hAnsi="宋体" w:eastAsia="宋体" w:cs="Times New Roman"/>
          <w:color w:val="000000"/>
          <w:szCs w:val="32"/>
        </w:rPr>
        <w:t>四</w:t>
      </w:r>
      <w:r>
        <w:rPr>
          <w:rFonts w:ascii="宋体" w:hAnsi="宋体" w:eastAsia="宋体" w:cs="Times New Roman"/>
          <w:color w:val="000000"/>
          <w:szCs w:val="32"/>
        </w:rPr>
        <w:t>月</w:t>
      </w:r>
    </w:p>
    <w:p>
      <w:pPr>
        <w:adjustRightInd w:val="0"/>
        <w:snapToGrid w:val="0"/>
        <w:spacing w:line="360" w:lineRule="auto"/>
        <w:ind w:firstLine="0" w:firstLineChars="0"/>
        <w:jc w:val="center"/>
        <w:rPr>
          <w:rFonts w:ascii="宋体" w:hAnsi="宋体" w:eastAsia="宋体" w:cs="Times New Roman"/>
          <w:color w:val="000000"/>
          <w:szCs w:val="32"/>
        </w:rPr>
      </w:pPr>
      <w:r>
        <w:rPr>
          <w:rFonts w:ascii="宋体" w:hAnsi="宋体" w:eastAsia="宋体" w:cs="Times New Roman"/>
          <w:color w:val="000000"/>
          <w:szCs w:val="32"/>
        </w:rPr>
        <w:drawing>
          <wp:inline distT="0" distB="0" distL="0" distR="0">
            <wp:extent cx="5688330" cy="8087360"/>
            <wp:effectExtent l="0" t="0" r="762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88330" cy="8087360"/>
                    </a:xfrm>
                    <a:prstGeom prst="rect">
                      <a:avLst/>
                    </a:prstGeom>
                  </pic:spPr>
                </pic:pic>
              </a:graphicData>
            </a:graphic>
          </wp:inline>
        </w:drawing>
      </w:r>
    </w:p>
    <w:p>
      <w:pPr>
        <w:adjustRightInd w:val="0"/>
        <w:snapToGrid w:val="0"/>
        <w:spacing w:line="360" w:lineRule="auto"/>
        <w:ind w:left="640" w:leftChars="200" w:firstLine="2880" w:firstLineChars="900"/>
        <w:rPr>
          <w:rFonts w:ascii="宋体" w:hAnsi="宋体" w:eastAsia="宋体" w:cs="Times New Roman"/>
          <w:color w:val="000000"/>
          <w:szCs w:val="32"/>
        </w:rPr>
      </w:pPr>
    </w:p>
    <w:sdt>
      <w:sdtPr>
        <w:rPr>
          <w:rFonts w:cs="Times New Roman"/>
          <w:szCs w:val="32"/>
          <w:lang w:val="zh-CN"/>
        </w:rPr>
        <w:id w:val="-1011522906"/>
        <w:docPartObj>
          <w:docPartGallery w:val="Table of Contents"/>
          <w:docPartUnique/>
        </w:docPartObj>
      </w:sdtPr>
      <w:sdtEndPr>
        <w:rPr>
          <w:rFonts w:cs="Times New Roman"/>
          <w:szCs w:val="32"/>
          <w:lang w:val="zh-CN"/>
        </w:rPr>
      </w:sdtEndPr>
      <w:sdtContent>
        <w:p>
          <w:pPr>
            <w:spacing w:line="240" w:lineRule="auto"/>
            <w:ind w:firstLine="0" w:firstLineChars="0"/>
            <w:jc w:val="center"/>
          </w:pPr>
          <w:bookmarkStart w:id="0" w:name="_Toc4461"/>
          <w:bookmarkStart w:id="1" w:name="_Toc5519"/>
          <w:r>
            <w:rPr>
              <w:rFonts w:hint="eastAsia" w:ascii="黑体" w:hAnsi="黑体" w:eastAsia="黑体" w:cs="黑体"/>
              <w:szCs w:val="32"/>
            </w:rPr>
            <w:t>目  录</w:t>
          </w:r>
        </w:p>
        <w:p>
          <w:pPr>
            <w:pStyle w:val="13"/>
            <w:tabs>
              <w:tab w:val="right" w:leader="hyphen" w:pos="8958"/>
            </w:tabs>
            <w:ind w:firstLine="0" w:firstLineChars="0"/>
          </w:pPr>
          <w:r>
            <w:rPr>
              <w:rStyle w:val="27"/>
              <w:rFonts w:hint="eastAsia"/>
            </w:rPr>
            <w:fldChar w:fldCharType="begin"/>
          </w:r>
          <w:r>
            <w:rPr>
              <w:rStyle w:val="27"/>
              <w:rFonts w:hint="eastAsia" w:cs="Times New Roman"/>
              <w:szCs w:val="32"/>
            </w:rPr>
            <w:instrText xml:space="preserve"> TOC \o "1-2" \h \z \u </w:instrText>
          </w:r>
          <w:r>
            <w:rPr>
              <w:rStyle w:val="27"/>
              <w:rFonts w:hint="eastAsia"/>
            </w:rPr>
            <w:fldChar w:fldCharType="separate"/>
          </w:r>
          <w:r>
            <w:fldChar w:fldCharType="begin"/>
          </w:r>
          <w:r>
            <w:instrText xml:space="preserve"> HYPERLINK \l "_Toc29313" </w:instrText>
          </w:r>
          <w:r>
            <w:fldChar w:fldCharType="separate"/>
          </w:r>
          <w:r>
            <w:t>1 绪论</w:t>
          </w:r>
          <w:r>
            <w:tab/>
          </w:r>
          <w:r>
            <w:fldChar w:fldCharType="begin"/>
          </w:r>
          <w:r>
            <w:instrText xml:space="preserve"> PAGEREF _Toc29313 </w:instrText>
          </w:r>
          <w:r>
            <w:fldChar w:fldCharType="separate"/>
          </w:r>
          <w:r>
            <w:t>4</w:t>
          </w:r>
          <w:r>
            <w:fldChar w:fldCharType="end"/>
          </w:r>
          <w:r>
            <w:fldChar w:fldCharType="end"/>
          </w:r>
        </w:p>
        <w:p>
          <w:pPr>
            <w:pStyle w:val="14"/>
            <w:tabs>
              <w:tab w:val="right" w:leader="hyphen" w:pos="8958"/>
            </w:tabs>
            <w:ind w:left="640" w:firstLine="0" w:firstLineChars="0"/>
          </w:pPr>
          <w:r>
            <w:fldChar w:fldCharType="begin"/>
          </w:r>
          <w:r>
            <w:instrText xml:space="preserve"> HYPERLINK \l "_Toc3595" </w:instrText>
          </w:r>
          <w:r>
            <w:fldChar w:fldCharType="separate"/>
          </w:r>
          <w:r>
            <w:t>1.1</w:t>
          </w:r>
          <w:r>
            <w:rPr>
              <w:rFonts w:hint="eastAsia"/>
            </w:rPr>
            <w:t>东安县</w:t>
          </w:r>
          <w:r>
            <w:t>基本情况</w:t>
          </w:r>
          <w:r>
            <w:tab/>
          </w:r>
          <w:r>
            <w:fldChar w:fldCharType="begin"/>
          </w:r>
          <w:r>
            <w:instrText xml:space="preserve"> PAGEREF _Toc3595 </w:instrText>
          </w:r>
          <w:r>
            <w:fldChar w:fldCharType="separate"/>
          </w:r>
          <w:r>
            <w:t>5</w:t>
          </w:r>
          <w:r>
            <w:fldChar w:fldCharType="end"/>
          </w:r>
          <w:r>
            <w:fldChar w:fldCharType="end"/>
          </w:r>
        </w:p>
        <w:p>
          <w:pPr>
            <w:pStyle w:val="14"/>
            <w:tabs>
              <w:tab w:val="right" w:leader="hyphen" w:pos="8958"/>
            </w:tabs>
            <w:ind w:left="640" w:firstLine="0" w:firstLineChars="0"/>
          </w:pPr>
          <w:r>
            <w:fldChar w:fldCharType="begin"/>
          </w:r>
          <w:r>
            <w:instrText xml:space="preserve"> HYPERLINK \l "_Toc13658" </w:instrText>
          </w:r>
          <w:r>
            <w:fldChar w:fldCharType="separate"/>
          </w:r>
          <w:r>
            <w:t>1.2划界依据</w:t>
          </w:r>
          <w:r>
            <w:tab/>
          </w:r>
          <w:r>
            <w:fldChar w:fldCharType="begin"/>
          </w:r>
          <w:r>
            <w:instrText xml:space="preserve"> PAGEREF _Toc13658 </w:instrText>
          </w:r>
          <w:r>
            <w:fldChar w:fldCharType="separate"/>
          </w:r>
          <w:r>
            <w:t>5</w:t>
          </w:r>
          <w:r>
            <w:fldChar w:fldCharType="end"/>
          </w:r>
          <w:r>
            <w:fldChar w:fldCharType="end"/>
          </w:r>
        </w:p>
        <w:p>
          <w:pPr>
            <w:pStyle w:val="14"/>
            <w:tabs>
              <w:tab w:val="right" w:leader="hyphen" w:pos="8958"/>
            </w:tabs>
            <w:ind w:left="640" w:firstLine="0" w:firstLineChars="0"/>
          </w:pPr>
          <w:r>
            <w:fldChar w:fldCharType="begin"/>
          </w:r>
          <w:r>
            <w:instrText xml:space="preserve"> HYPERLINK \l "_Toc30549" </w:instrText>
          </w:r>
          <w:r>
            <w:fldChar w:fldCharType="separate"/>
          </w:r>
          <w:r>
            <w:t>1.</w:t>
          </w:r>
          <w:r>
            <w:rPr>
              <w:rFonts w:hint="eastAsia"/>
            </w:rPr>
            <w:t>3</w:t>
          </w:r>
          <w:r>
            <w:t xml:space="preserve"> 划界成果</w:t>
          </w:r>
          <w:r>
            <w:tab/>
          </w:r>
          <w:r>
            <w:fldChar w:fldCharType="begin"/>
          </w:r>
          <w:r>
            <w:instrText xml:space="preserve"> PAGEREF _Toc30549 </w:instrText>
          </w:r>
          <w:r>
            <w:fldChar w:fldCharType="separate"/>
          </w:r>
          <w:r>
            <w:t>9</w:t>
          </w:r>
          <w:r>
            <w:fldChar w:fldCharType="end"/>
          </w:r>
          <w:r>
            <w:fldChar w:fldCharType="end"/>
          </w:r>
        </w:p>
        <w:p>
          <w:pPr>
            <w:pStyle w:val="13"/>
            <w:tabs>
              <w:tab w:val="right" w:leader="hyphen" w:pos="8958"/>
            </w:tabs>
            <w:ind w:firstLine="0" w:firstLineChars="0"/>
          </w:pPr>
          <w:r>
            <w:fldChar w:fldCharType="begin"/>
          </w:r>
          <w:r>
            <w:instrText xml:space="preserve"> HYPERLINK \l "_Toc22686" </w:instrText>
          </w:r>
          <w:r>
            <w:fldChar w:fldCharType="separate"/>
          </w:r>
          <w:r>
            <w:t>2水利工程基本情况</w:t>
          </w:r>
          <w:r>
            <w:tab/>
          </w:r>
          <w:r>
            <w:fldChar w:fldCharType="begin"/>
          </w:r>
          <w:r>
            <w:instrText xml:space="preserve"> PAGEREF _Toc22686 </w:instrText>
          </w:r>
          <w:r>
            <w:fldChar w:fldCharType="separate"/>
          </w:r>
          <w:r>
            <w:t>11</w:t>
          </w:r>
          <w:r>
            <w:fldChar w:fldCharType="end"/>
          </w:r>
          <w:r>
            <w:fldChar w:fldCharType="end"/>
          </w:r>
        </w:p>
        <w:p>
          <w:pPr>
            <w:pStyle w:val="14"/>
            <w:tabs>
              <w:tab w:val="right" w:leader="hyphen" w:pos="8958"/>
            </w:tabs>
            <w:ind w:left="640" w:firstLine="0" w:firstLineChars="0"/>
          </w:pPr>
          <w:r>
            <w:fldChar w:fldCharType="begin"/>
          </w:r>
          <w:r>
            <w:instrText xml:space="preserve"> HYPERLINK \l "_Toc4676" </w:instrText>
          </w:r>
          <w:r>
            <w:fldChar w:fldCharType="separate"/>
          </w:r>
          <w:r>
            <w:t>2.1水利工程分布情况</w:t>
          </w:r>
          <w:r>
            <w:tab/>
          </w:r>
          <w:r>
            <w:fldChar w:fldCharType="begin"/>
          </w:r>
          <w:r>
            <w:instrText xml:space="preserve"> PAGEREF _Toc4676 </w:instrText>
          </w:r>
          <w:r>
            <w:fldChar w:fldCharType="separate"/>
          </w:r>
          <w:r>
            <w:t>11</w:t>
          </w:r>
          <w:r>
            <w:fldChar w:fldCharType="end"/>
          </w:r>
          <w:r>
            <w:fldChar w:fldCharType="end"/>
          </w:r>
        </w:p>
        <w:p>
          <w:pPr>
            <w:pStyle w:val="14"/>
            <w:tabs>
              <w:tab w:val="right" w:leader="hyphen" w:pos="8958"/>
            </w:tabs>
            <w:ind w:left="640" w:firstLine="0" w:firstLineChars="0"/>
          </w:pPr>
          <w:r>
            <w:fldChar w:fldCharType="begin"/>
          </w:r>
          <w:r>
            <w:instrText xml:space="preserve"> HYPERLINK \l "_Toc4933" </w:instrText>
          </w:r>
          <w:r>
            <w:fldChar w:fldCharType="separate"/>
          </w:r>
          <w:r>
            <w:t>2.</w:t>
          </w:r>
          <w:r>
            <w:rPr>
              <w:rFonts w:hint="eastAsia"/>
            </w:rPr>
            <w:t>2 水库基本信息</w:t>
          </w:r>
          <w:r>
            <w:tab/>
          </w:r>
          <w:r>
            <w:fldChar w:fldCharType="begin"/>
          </w:r>
          <w:r>
            <w:instrText xml:space="preserve"> PAGEREF _Toc4933 </w:instrText>
          </w:r>
          <w:r>
            <w:fldChar w:fldCharType="separate"/>
          </w:r>
          <w:r>
            <w:t>14</w:t>
          </w:r>
          <w:r>
            <w:fldChar w:fldCharType="end"/>
          </w:r>
          <w:r>
            <w:fldChar w:fldCharType="end"/>
          </w:r>
        </w:p>
        <w:p>
          <w:pPr>
            <w:pStyle w:val="13"/>
            <w:tabs>
              <w:tab w:val="right" w:leader="hyphen" w:pos="8958"/>
            </w:tabs>
            <w:ind w:firstLine="0" w:firstLineChars="0"/>
          </w:pPr>
          <w:r>
            <w:fldChar w:fldCharType="begin"/>
          </w:r>
          <w:r>
            <w:instrText xml:space="preserve"> HYPERLINK \l "_Toc29464" </w:instrText>
          </w:r>
          <w:r>
            <w:fldChar w:fldCharType="separate"/>
          </w:r>
          <w:r>
            <w:rPr>
              <w:rFonts w:hint="eastAsia"/>
            </w:rPr>
            <w:t>3</w:t>
          </w:r>
          <w:r>
            <w:t xml:space="preserve"> 管理与保护范围线标绘</w:t>
          </w:r>
          <w:r>
            <w:tab/>
          </w:r>
          <w:r>
            <w:fldChar w:fldCharType="begin"/>
          </w:r>
          <w:r>
            <w:instrText xml:space="preserve"> PAGEREF _Toc29464 </w:instrText>
          </w:r>
          <w:r>
            <w:fldChar w:fldCharType="separate"/>
          </w:r>
          <w:r>
            <w:t>26</w:t>
          </w:r>
          <w:r>
            <w:fldChar w:fldCharType="end"/>
          </w:r>
          <w:r>
            <w:fldChar w:fldCharType="end"/>
          </w:r>
        </w:p>
        <w:p>
          <w:pPr>
            <w:pStyle w:val="14"/>
            <w:tabs>
              <w:tab w:val="right" w:leader="hyphen" w:pos="8958"/>
            </w:tabs>
            <w:ind w:left="640" w:firstLine="0" w:firstLineChars="0"/>
          </w:pPr>
          <w:r>
            <w:fldChar w:fldCharType="begin"/>
          </w:r>
          <w:r>
            <w:instrText xml:space="preserve"> HYPERLINK \l "_Toc9485" </w:instrText>
          </w:r>
          <w:r>
            <w:fldChar w:fldCharType="separate"/>
          </w:r>
          <w:r>
            <w:rPr>
              <w:rFonts w:hint="eastAsia"/>
            </w:rPr>
            <w:t>3</w:t>
          </w:r>
          <w:r>
            <w:t>.1 库区设计洪水位线分析计算</w:t>
          </w:r>
          <w:r>
            <w:tab/>
          </w:r>
          <w:r>
            <w:fldChar w:fldCharType="begin"/>
          </w:r>
          <w:r>
            <w:instrText xml:space="preserve"> PAGEREF _Toc9485 </w:instrText>
          </w:r>
          <w:r>
            <w:fldChar w:fldCharType="separate"/>
          </w:r>
          <w:r>
            <w:t>29</w:t>
          </w:r>
          <w:r>
            <w:fldChar w:fldCharType="end"/>
          </w:r>
          <w:r>
            <w:fldChar w:fldCharType="end"/>
          </w:r>
        </w:p>
        <w:p>
          <w:pPr>
            <w:pStyle w:val="14"/>
            <w:tabs>
              <w:tab w:val="right" w:leader="hyphen" w:pos="8958"/>
            </w:tabs>
            <w:ind w:left="640" w:firstLine="0" w:firstLineChars="0"/>
          </w:pPr>
          <w:r>
            <w:fldChar w:fldCharType="begin"/>
          </w:r>
          <w:r>
            <w:instrText xml:space="preserve"> HYPERLINK \l "_Toc27920" </w:instrText>
          </w:r>
          <w:r>
            <w:fldChar w:fldCharType="separate"/>
          </w:r>
          <w:r>
            <w:rPr>
              <w:rFonts w:hint="eastAsia"/>
            </w:rPr>
            <w:t>3.2</w:t>
          </w:r>
          <w:r>
            <w:t xml:space="preserve"> 管理</w:t>
          </w:r>
          <w:r>
            <w:rPr>
              <w:rFonts w:hint="eastAsia"/>
            </w:rPr>
            <w:t>与保护</w:t>
          </w:r>
          <w:r>
            <w:t>范围线标绘</w:t>
          </w:r>
          <w:r>
            <w:tab/>
          </w:r>
          <w:r>
            <w:fldChar w:fldCharType="begin"/>
          </w:r>
          <w:r>
            <w:instrText xml:space="preserve"> PAGEREF _Toc27920 </w:instrText>
          </w:r>
          <w:r>
            <w:fldChar w:fldCharType="separate"/>
          </w:r>
          <w:r>
            <w:t>31</w:t>
          </w:r>
          <w:r>
            <w:fldChar w:fldCharType="end"/>
          </w:r>
          <w:r>
            <w:fldChar w:fldCharType="end"/>
          </w:r>
        </w:p>
        <w:p>
          <w:pPr>
            <w:pStyle w:val="14"/>
            <w:tabs>
              <w:tab w:val="right" w:leader="hyphen" w:pos="8958"/>
            </w:tabs>
            <w:ind w:left="640" w:firstLine="0" w:firstLineChars="0"/>
          </w:pPr>
          <w:r>
            <w:fldChar w:fldCharType="begin"/>
          </w:r>
          <w:r>
            <w:instrText xml:space="preserve"> HYPERLINK \l "_Toc17613" </w:instrText>
          </w:r>
          <w:r>
            <w:fldChar w:fldCharType="separate"/>
          </w:r>
          <w:r>
            <w:rPr>
              <w:rFonts w:hint="eastAsia"/>
            </w:rPr>
            <w:t>3</w:t>
          </w:r>
          <w:r>
            <w:t>.</w:t>
          </w:r>
          <w:r>
            <w:rPr>
              <w:rFonts w:hint="eastAsia"/>
            </w:rPr>
            <w:t>3</w:t>
          </w:r>
          <w:r>
            <w:t xml:space="preserve"> 电子桩和电子告示牌布设</w:t>
          </w:r>
          <w:r>
            <w:tab/>
          </w:r>
          <w:r>
            <w:fldChar w:fldCharType="begin"/>
          </w:r>
          <w:r>
            <w:instrText xml:space="preserve"> PAGEREF _Toc17613 </w:instrText>
          </w:r>
          <w:r>
            <w:fldChar w:fldCharType="separate"/>
          </w:r>
          <w:r>
            <w:t>55</w:t>
          </w:r>
          <w:r>
            <w:fldChar w:fldCharType="end"/>
          </w:r>
          <w:r>
            <w:fldChar w:fldCharType="end"/>
          </w:r>
        </w:p>
        <w:p>
          <w:pPr>
            <w:pStyle w:val="13"/>
            <w:tabs>
              <w:tab w:val="right" w:leader="hyphen" w:pos="8958"/>
            </w:tabs>
            <w:ind w:firstLine="0" w:firstLineChars="0"/>
          </w:pPr>
          <w:r>
            <w:fldChar w:fldCharType="begin"/>
          </w:r>
          <w:r>
            <w:instrText xml:space="preserve"> HYPERLINK \l "_Toc4600" </w:instrText>
          </w:r>
          <w:r>
            <w:fldChar w:fldCharType="separate"/>
          </w:r>
          <w:r>
            <w:rPr>
              <w:rFonts w:hint="eastAsia"/>
            </w:rPr>
            <w:t>4</w:t>
          </w:r>
          <w:r>
            <w:t xml:space="preserve"> 管理与保护范围线核实勘定</w:t>
          </w:r>
          <w:r>
            <w:tab/>
          </w:r>
          <w:r>
            <w:fldChar w:fldCharType="begin"/>
          </w:r>
          <w:r>
            <w:instrText xml:space="preserve"> PAGEREF _Toc4600 </w:instrText>
          </w:r>
          <w:r>
            <w:fldChar w:fldCharType="separate"/>
          </w:r>
          <w:r>
            <w:t>64</w:t>
          </w:r>
          <w:r>
            <w:fldChar w:fldCharType="end"/>
          </w:r>
          <w:r>
            <w:fldChar w:fldCharType="end"/>
          </w:r>
        </w:p>
        <w:p>
          <w:pPr>
            <w:ind w:firstLine="640"/>
            <w:jc w:val="center"/>
            <w:rPr>
              <w:rFonts w:eastAsia="黑体" w:cs="Times New Roman"/>
              <w:b/>
              <w:szCs w:val="32"/>
            </w:rPr>
          </w:pPr>
          <w:r>
            <w:rPr>
              <w:rFonts w:hint="eastAsia" w:cs="Times New Roman"/>
              <w:szCs w:val="32"/>
            </w:rPr>
            <w:fldChar w:fldCharType="end"/>
          </w:r>
        </w:p>
      </w:sdtContent>
    </w:sdt>
    <w:bookmarkEnd w:id="0"/>
    <w:bookmarkEnd w:id="1"/>
    <w:p>
      <w:pPr>
        <w:ind w:firstLine="643"/>
        <w:jc w:val="center"/>
        <w:rPr>
          <w:rFonts w:eastAsia="黑体" w:cs="Times New Roman"/>
          <w:b/>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871" w:right="1474" w:bottom="1701" w:left="1474" w:header="851" w:footer="1361" w:gutter="0"/>
          <w:pgNumType w:fmt="lowerRoman" w:start="1"/>
          <w:cols w:space="425" w:num="1"/>
          <w:docGrid w:type="lines" w:linePitch="312" w:charSpace="0"/>
        </w:sectPr>
      </w:pPr>
    </w:p>
    <w:p>
      <w:pPr>
        <w:pStyle w:val="2"/>
      </w:pPr>
      <w:bookmarkStart w:id="2" w:name="_Toc29313"/>
      <w:bookmarkStart w:id="3" w:name="_Toc25931"/>
      <w:r>
        <w:t>1 绪论</w:t>
      </w:r>
      <w:bookmarkEnd w:id="2"/>
      <w:bookmarkEnd w:id="3"/>
    </w:p>
    <w:p>
      <w:pPr>
        <w:ind w:firstLine="640"/>
      </w:pPr>
      <w:r>
        <w:t>水利工程管理与保护范围划定工作是根据《中华人民共和国水法》、《湖南省实施＜中华人民共和国水法＞办法》的有关规定和《水利部关于开展河湖管理和水利工程管理与保护范围划定工作的通知》（水建管〔2014〕285号）、《水利部关于加快推进水利工程管理与保护范围划定工作的通知》（水运管〔2018〕339号）文件的精神</w:t>
      </w:r>
      <w:r>
        <w:rPr>
          <w:rFonts w:hint="eastAsia"/>
        </w:rPr>
        <w:t>和“依法依规、因地制宜、尊重历史、符合实际”的工作原则</w:t>
      </w:r>
      <w:r>
        <w:t>，开展的一项河湖生态空间管控基础工作，同时也是我省水利基础设施空间布局规划这一重大项目前期工作的主要内容。</w:t>
      </w:r>
    </w:p>
    <w:p>
      <w:pPr>
        <w:ind w:firstLine="640"/>
      </w:pPr>
      <w:r>
        <w:rPr>
          <w:rFonts w:hint="eastAsia"/>
        </w:rPr>
        <w:t>划界的</w:t>
      </w:r>
      <w:r>
        <w:t>目的是建立范围明确、权属清晰、责任落实的水利工程管理保护责任体系，实现水利工程有效管理，支撑和促进经济社会可持续发展。依法划定水利工程管理与保护范围是“水利工程补短板，水利行业强监管”的基础工作，是确保水利工程安全和效益充分发挥的重要抓手，是水利行业扭转“重建轻管”局面的关键一环，是水利基础设施实现有效空间管控的必然途径，是全力保障我省水安全的战略举措，对水利行业的长远发展具有重大意义。</w:t>
      </w:r>
    </w:p>
    <w:p>
      <w:pPr>
        <w:widowControl/>
        <w:spacing w:line="240" w:lineRule="auto"/>
        <w:ind w:firstLine="0" w:firstLineChars="0"/>
        <w:jc w:val="left"/>
        <w:rPr>
          <w:rFonts w:eastAsia="黑体" w:cstheme="majorBidi"/>
          <w:b/>
          <w:bCs/>
          <w:sz w:val="28"/>
          <w:szCs w:val="28"/>
        </w:rPr>
      </w:pPr>
      <w:r>
        <w:rPr>
          <w:rFonts w:eastAsia="黑体"/>
          <w:sz w:val="28"/>
          <w:szCs w:val="28"/>
        </w:rPr>
        <w:br w:type="page"/>
      </w:r>
    </w:p>
    <w:p>
      <w:pPr>
        <w:pStyle w:val="3"/>
        <w:ind w:firstLine="643"/>
      </w:pPr>
      <w:bookmarkStart w:id="4" w:name="_Toc47612114"/>
      <w:bookmarkStart w:id="5" w:name="_Toc23794"/>
      <w:bookmarkStart w:id="6" w:name="_Toc3595"/>
      <w:r>
        <w:t>1.1</w:t>
      </w:r>
      <w:r>
        <w:rPr>
          <w:rFonts w:hint="eastAsia"/>
        </w:rPr>
        <w:t>东安县</w:t>
      </w:r>
      <w:r>
        <w:t>基本情况</w:t>
      </w:r>
      <w:bookmarkEnd w:id="4"/>
      <w:bookmarkEnd w:id="5"/>
      <w:bookmarkEnd w:id="6"/>
    </w:p>
    <w:p>
      <w:pPr>
        <w:ind w:firstLine="640"/>
      </w:pPr>
      <w:bookmarkStart w:id="7" w:name="_Toc7625"/>
      <w:bookmarkStart w:id="8" w:name="_Toc13658"/>
      <w:bookmarkStart w:id="9" w:name="_Toc14333"/>
      <w:r>
        <w:rPr>
          <w:rFonts w:hint="eastAsia"/>
        </w:rPr>
        <w:t>东安县位于湖南省西南部，湘江上游，隶属湖南省永州市；属中亚热带季风湿润气候区，四季分明。东南及东边分别连永州市零陵区和永州市冷水滩区，西南接广西桂林全州县，西靠邵阳新宁县，北临邵阳邵阴县与衡阳祁东县。东安县全县总面积2219平方千米，截至2018年，东安县辖13个镇、2个乡；户籍人口64.65万人，常住人口57.85万人。</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东安县境处南岭山地向湘中丘陵过渡带，为越城岭向零祁盆地过渡区。其地势西北高，东南低，西部及西北部为中山，东北部为中山、丘陵带，越城岭山脉逶迤延伸，围成天然屏障；东南部及中部为岗地丘陵，彼起此伏，散布众多峡谷小盆地。境山交错，河网密布，平原狭小；整个地质断裂岩溶发育，地貌类型多。</w:t>
      </w:r>
    </w:p>
    <w:p>
      <w:pPr>
        <w:ind w:firstLine="640"/>
        <w:rPr>
          <w:rFonts w:cs="Times New Roman"/>
        </w:rPr>
      </w:pPr>
      <w:r>
        <w:rPr>
          <w:rFonts w:hint="eastAsia" w:cs="Times New Roman"/>
        </w:rPr>
        <w:t>东安县境内有大小河流191条，其中5千米以上长度的大小河流有45条，总长1300千米，分属湘江、资江两大水系，以湘江为主，主要河流有湘江、芦洪江、紫水河、石期河等。</w:t>
      </w:r>
    </w:p>
    <w:p>
      <w:pPr>
        <w:ind w:firstLine="640"/>
        <w:rPr>
          <w:rFonts w:cs="Times New Roman"/>
        </w:rPr>
      </w:pPr>
      <w:r>
        <w:rPr>
          <w:rFonts w:hint="eastAsia" w:cs="Times New Roman"/>
        </w:rPr>
        <w:t>紫水河发源于舜皇山高挂岭洋禾坪，流经大庙口、紫溪、白牙市、井头圩等乡镇，于大江口乡大江口村汇入湘江。紫水河全长72千米，落差1550多米，坡降11%，多年径流量在7亿立方米左右，平均流量约24立方米/秒。</w:t>
      </w:r>
    </w:p>
    <w:p>
      <w:pPr>
        <w:ind w:firstLine="640"/>
        <w:rPr>
          <w:rFonts w:cs="Times New Roman"/>
        </w:rPr>
      </w:pPr>
      <w:r>
        <w:rPr>
          <w:rFonts w:hint="eastAsia" w:cs="Times New Roman"/>
        </w:rPr>
        <w:t>石期河又名东湘河，湘江一级支流，由大石江和马子江汇合而成。大石江源出广西壮族自治区灌阳的山谷中。马子江源出广西壮族自治区全州县东山瑶族自治乡的黄腊洞，两条支流在两河口汇合，经东湘桥，在零陵的下东边进入东安县境，于石期市镇入湘江，在东安县境流程17.8千米，流域面积90.87平方千米。多年平均径流量6.99亿立方米，多年平均流量22.151秒立方米。</w:t>
      </w:r>
    </w:p>
    <w:p>
      <w:pPr>
        <w:ind w:firstLine="640"/>
        <w:rPr>
          <w:rFonts w:cs="Times New Roman"/>
        </w:rPr>
      </w:pPr>
      <w:r>
        <w:rPr>
          <w:rFonts w:hint="eastAsia" w:cs="Times New Roman"/>
        </w:rPr>
        <w:t>芦洪江古名应水，湘江一级支流。主干发源于东安、邵阳两县之分水岭黄花山东麓，即东安县大盛镇的栗木冲，途经新圩江、伍家桥、芦洪市、端桥铺等乡镇，于端桥铺车游村出县于高溪市镇附近入湘江。在东安境内流程62.87千米，流域面积899.302平方千米。多年平均流量6.278亿立方米，多年平均流量3.026秒立方米。以流经地地名取名。</w:t>
      </w:r>
    </w:p>
    <w:p>
      <w:pPr>
        <w:ind w:firstLine="640"/>
        <w:rPr>
          <w:rFonts w:cs="Times New Roman"/>
        </w:rPr>
      </w:pPr>
      <w:r>
        <w:rPr>
          <w:rFonts w:hint="eastAsia" w:cs="Times New Roman"/>
        </w:rPr>
        <w:t>东安县境地处中亚热带季风湿润气候区，光照充足，雨量充沛，温暖湿润，四季分明，南北气候差异明显；春夏多雨，秋冬有干旱；年平均气温17．8℃，年降水量平均在1180~1490毫米之间。</w:t>
      </w:r>
    </w:p>
    <w:p>
      <w:pPr>
        <w:pStyle w:val="3"/>
        <w:ind w:firstLine="643"/>
      </w:pPr>
      <w:r>
        <w:t>1.2划界依据</w:t>
      </w:r>
      <w:bookmarkEnd w:id="7"/>
      <w:bookmarkEnd w:id="8"/>
      <w:bookmarkEnd w:id="9"/>
    </w:p>
    <w:p>
      <w:pPr>
        <w:pStyle w:val="4"/>
        <w:ind w:firstLine="640"/>
      </w:pPr>
      <w:bookmarkStart w:id="10" w:name="_Toc9955"/>
      <w:bookmarkStart w:id="11" w:name="_Toc60738482"/>
      <w:r>
        <w:t>1.2.1法律法规</w:t>
      </w:r>
      <w:bookmarkEnd w:id="10"/>
      <w:bookmarkEnd w:id="11"/>
    </w:p>
    <w:p>
      <w:pPr>
        <w:ind w:firstLine="640"/>
      </w:pPr>
      <w:r>
        <w:t>（1）《中华人民共和国水法》（2016 年修正）</w:t>
      </w:r>
    </w:p>
    <w:p>
      <w:pPr>
        <w:ind w:firstLine="640"/>
      </w:pPr>
      <w:r>
        <w:t>（2）《中华人民共和国防洪法》（2016 年修正）</w:t>
      </w:r>
    </w:p>
    <w:p>
      <w:pPr>
        <w:ind w:firstLine="640"/>
      </w:pPr>
      <w:r>
        <w:t>（3）《中华人民共和国土地管理法》（2019 年修正）</w:t>
      </w:r>
    </w:p>
    <w:p>
      <w:pPr>
        <w:ind w:firstLine="640"/>
      </w:pPr>
      <w:r>
        <w:t>（4）《中华人民共和国河道管理条例》（2018 年修正）</w:t>
      </w:r>
    </w:p>
    <w:p>
      <w:pPr>
        <w:ind w:firstLine="640"/>
      </w:pPr>
      <w:r>
        <w:t>（5）《地图管理条例》（2015 年）</w:t>
      </w:r>
    </w:p>
    <w:p>
      <w:pPr>
        <w:ind w:firstLine="640"/>
      </w:pPr>
      <w:r>
        <w:t>（</w:t>
      </w:r>
      <w:r>
        <w:rPr>
          <w:rFonts w:hint="eastAsia"/>
        </w:rPr>
        <w:t>6</w:t>
      </w:r>
      <w:r>
        <w:t>）《湖南省实施＜中华人民共和国水法＞办法》（2012 年修订）</w:t>
      </w:r>
    </w:p>
    <w:p>
      <w:pPr>
        <w:ind w:firstLine="640"/>
      </w:pPr>
      <w:r>
        <w:t>（</w:t>
      </w:r>
      <w:r>
        <w:rPr>
          <w:rFonts w:hint="eastAsia"/>
        </w:rPr>
        <w:t>7</w:t>
      </w:r>
      <w:r>
        <w:t>）《湖南省实施＜中华人民共和国防洪法＞办法》（2018年修订）</w:t>
      </w:r>
    </w:p>
    <w:p>
      <w:pPr>
        <w:ind w:firstLine="640"/>
      </w:pPr>
      <w:r>
        <w:t>（</w:t>
      </w:r>
      <w:r>
        <w:rPr>
          <w:rFonts w:hint="eastAsia"/>
        </w:rPr>
        <w:t>8</w:t>
      </w:r>
      <w:r>
        <w:t>）《湖南省实施＜中华人民共和国土地管理法＞办法》（2016 年修正本）</w:t>
      </w:r>
    </w:p>
    <w:p>
      <w:pPr>
        <w:pStyle w:val="4"/>
        <w:ind w:firstLine="640"/>
      </w:pPr>
      <w:r>
        <w:t>1.2.2政策文件</w:t>
      </w:r>
    </w:p>
    <w:p>
      <w:pPr>
        <w:ind w:firstLine="640"/>
      </w:pPr>
      <w:r>
        <w:t>（1）《关于水利水电工程建设用地有关问题的通知》（国土资发</w:t>
      </w:r>
      <w:r>
        <w:rPr>
          <w:rFonts w:hint="eastAsia"/>
        </w:rPr>
        <w:t xml:space="preserve"> </w:t>
      </w:r>
      <w:r>
        <w:t>[2001]355号）</w:t>
      </w:r>
    </w:p>
    <w:p>
      <w:pPr>
        <w:ind w:firstLine="640"/>
      </w:pPr>
      <w:r>
        <w:t>（2）《水利部关于深化水利改革的意见》（水规计 [2014]48号）</w:t>
      </w:r>
    </w:p>
    <w:p>
      <w:pPr>
        <w:ind w:firstLine="640"/>
      </w:pPr>
      <w:r>
        <w:t>（3）《关于加强河湖管理工作的指导意见》（水建管 [2014]76号）</w:t>
      </w:r>
    </w:p>
    <w:p>
      <w:pPr>
        <w:ind w:firstLine="640"/>
      </w:pPr>
      <w:r>
        <w:t>（4）《水利部关于开展河湖管理范围和水利工程管理与保护范围划定工作的通知》（水建管 [2014]285号）</w:t>
      </w:r>
    </w:p>
    <w:p>
      <w:pPr>
        <w:ind w:firstLine="640"/>
      </w:pPr>
      <w:r>
        <w:t>（5）《关于加快推进水利工程管理与保护范围划定工作的通知》（水运管 [2018]339号）</w:t>
      </w:r>
    </w:p>
    <w:p>
      <w:pPr>
        <w:ind w:firstLine="640"/>
      </w:pPr>
      <w:r>
        <w:rPr>
          <w:rFonts w:hint="eastAsia"/>
        </w:rPr>
        <w:t>（6）《关于做好全省水利工程管理与保护范围划定工作的通知》（湘水发 [2020]8号）</w:t>
      </w:r>
    </w:p>
    <w:p>
      <w:pPr>
        <w:ind w:firstLine="640"/>
      </w:pPr>
      <w:r>
        <w:rPr>
          <w:rFonts w:hint="eastAsia"/>
        </w:rPr>
        <w:t>（7）《关于加快推进全省水利工程管理与保护范围划定工作的通知》（湘水办函 [2020]213号）</w:t>
      </w:r>
    </w:p>
    <w:p>
      <w:pPr>
        <w:pStyle w:val="4"/>
        <w:ind w:firstLine="640"/>
      </w:pPr>
      <w:r>
        <w:t>1.2.3规程规范</w:t>
      </w:r>
    </w:p>
    <w:p>
      <w:pPr>
        <w:ind w:firstLine="640"/>
      </w:pPr>
      <w:r>
        <w:t>（1）《防洪标准》（GB 50201-2014）</w:t>
      </w:r>
    </w:p>
    <w:p>
      <w:pPr>
        <w:ind w:firstLine="640"/>
      </w:pPr>
      <w:r>
        <w:t>（2）《水库工程管理设计规范》（SL 106-2017）</w:t>
      </w:r>
    </w:p>
    <w:p>
      <w:pPr>
        <w:ind w:firstLine="640"/>
      </w:pPr>
      <w:r>
        <w:t>（3）《水闸设计规范》（SL 265-2016）</w:t>
      </w:r>
    </w:p>
    <w:p>
      <w:pPr>
        <w:ind w:firstLine="640"/>
      </w:pPr>
      <w:r>
        <w:t xml:space="preserve">（4）《堤防工程管理设计规范》（SL </w:t>
      </w:r>
      <w:r>
        <w:rPr>
          <w:rFonts w:hint="eastAsia"/>
        </w:rPr>
        <w:t>/T</w:t>
      </w:r>
      <w:r>
        <w:t>171-</w:t>
      </w:r>
      <w:r>
        <w:rPr>
          <w:rFonts w:hint="eastAsia"/>
        </w:rPr>
        <w:t>2020</w:t>
      </w:r>
      <w:r>
        <w:t>）</w:t>
      </w:r>
    </w:p>
    <w:p>
      <w:pPr>
        <w:ind w:firstLine="640"/>
      </w:pPr>
      <w:r>
        <w:t>（5）《堤防工程设计规范》（GB 50286-20</w:t>
      </w:r>
      <w:r>
        <w:rPr>
          <w:rFonts w:hint="eastAsia"/>
        </w:rPr>
        <w:t>20</w:t>
      </w:r>
      <w:r>
        <w:t>）</w:t>
      </w:r>
    </w:p>
    <w:p>
      <w:pPr>
        <w:ind w:firstLine="640"/>
      </w:pPr>
      <w:r>
        <w:t>（6）《泵站设计规范》（GB/T 50265-2010）</w:t>
      </w:r>
    </w:p>
    <w:p>
      <w:pPr>
        <w:ind w:firstLine="640"/>
      </w:pPr>
      <w:r>
        <w:t>（7）《灌溉与排水工程设计标准》（GB 52088-2018）</w:t>
      </w:r>
    </w:p>
    <w:p>
      <w:pPr>
        <w:ind w:firstLine="640"/>
      </w:pPr>
      <w:r>
        <w:t>（8）《蓄滞洪区设计规范》（GB 50773-2012）</w:t>
      </w:r>
    </w:p>
    <w:p>
      <w:pPr>
        <w:ind w:firstLine="640"/>
      </w:pPr>
      <w:r>
        <w:t>（9）《调水工程设计指南》（SL 430-2008）</w:t>
      </w:r>
    </w:p>
    <w:p>
      <w:pPr>
        <w:ind w:firstLine="640"/>
      </w:pPr>
      <w:r>
        <w:t>（10）《水利水电工程等级划分及洪水标准》（SL 252-2017）</w:t>
      </w:r>
    </w:p>
    <w:p>
      <w:pPr>
        <w:ind w:firstLine="640"/>
      </w:pPr>
      <w:r>
        <w:t>（11）《水利水电工程设计洪水计算规范》（SL 44-2006）</w:t>
      </w:r>
    </w:p>
    <w:p>
      <w:pPr>
        <w:ind w:firstLine="640"/>
      </w:pPr>
      <w:r>
        <w:t>（12）《水利水电工程建设征地移民安置规划设计规范》（SL</w:t>
      </w:r>
      <w:r>
        <w:rPr>
          <w:rFonts w:hint="eastAsia"/>
        </w:rPr>
        <w:t xml:space="preserve"> </w:t>
      </w:r>
      <w:r>
        <w:t>290-2009）</w:t>
      </w:r>
    </w:p>
    <w:p>
      <w:pPr>
        <w:ind w:firstLine="640"/>
      </w:pPr>
      <w:r>
        <w:t>（13）《水利水电工程测量规范》（SL 197-2013）</w:t>
      </w:r>
    </w:p>
    <w:p>
      <w:pPr>
        <w:ind w:firstLine="640"/>
      </w:pPr>
      <w:r>
        <w:t>（1</w:t>
      </w:r>
      <w:r>
        <w:rPr>
          <w:rFonts w:hint="eastAsia"/>
        </w:rPr>
        <w:t>4</w:t>
      </w:r>
      <w:r>
        <w:t>）《1:500 1:1000 1:2000 地形图航空摄影测量内业规范》（GB/T 7930-2008）</w:t>
      </w:r>
    </w:p>
    <w:p>
      <w:pPr>
        <w:ind w:firstLine="640"/>
      </w:pPr>
      <w:r>
        <w:t>（1</w:t>
      </w:r>
      <w:r>
        <w:rPr>
          <w:rFonts w:hint="eastAsia"/>
        </w:rPr>
        <w:t>5</w:t>
      </w:r>
      <w:r>
        <w:t>）《1:500 1:1000 1:2000 地形图航空摄影测量外业规范》（GB／T 7931-2008）</w:t>
      </w:r>
    </w:p>
    <w:p>
      <w:pPr>
        <w:ind w:firstLine="640"/>
      </w:pPr>
      <w:r>
        <w:t>（1</w:t>
      </w:r>
      <w:r>
        <w:rPr>
          <w:rFonts w:hint="eastAsia"/>
        </w:rPr>
        <w:t>6</w:t>
      </w:r>
      <w:r>
        <w:t>）《国家基本比例尺地形图图式第1部分：1:500 1:1000 1:2000 地形图图式》（GB/T 20257.1-2017）</w:t>
      </w:r>
    </w:p>
    <w:p>
      <w:pPr>
        <w:ind w:firstLine="640"/>
      </w:pPr>
      <w:r>
        <w:t>（1</w:t>
      </w:r>
      <w:r>
        <w:rPr>
          <w:rFonts w:hint="eastAsia"/>
        </w:rPr>
        <w:t>7</w:t>
      </w:r>
      <w:r>
        <w:t>）《基础地理信息要素分类与代码》（GB/T 13923-2006）</w:t>
      </w:r>
    </w:p>
    <w:p>
      <w:pPr>
        <w:ind w:firstLine="640"/>
      </w:pPr>
      <w:r>
        <w:t>（1</w:t>
      </w:r>
      <w:r>
        <w:rPr>
          <w:rFonts w:hint="eastAsia"/>
        </w:rPr>
        <w:t>8</w:t>
      </w:r>
      <w:r>
        <w:t>）《全球定位系统实时动态测量（RTK）技术规范》（CH/T2009-2010）</w:t>
      </w:r>
    </w:p>
    <w:p>
      <w:pPr>
        <w:ind w:firstLine="640"/>
      </w:pPr>
      <w:r>
        <w:t>（1</w:t>
      </w:r>
      <w:r>
        <w:rPr>
          <w:rFonts w:hint="eastAsia"/>
        </w:rPr>
        <w:t>9</w:t>
      </w:r>
      <w:r>
        <w:t>）《测绘成果质量检查与验收》（GB/T 24356-2009）</w:t>
      </w:r>
    </w:p>
    <w:p>
      <w:pPr>
        <w:ind w:firstLine="640"/>
      </w:pPr>
      <w:r>
        <w:t>（</w:t>
      </w:r>
      <w:r>
        <w:rPr>
          <w:rFonts w:hint="eastAsia"/>
        </w:rPr>
        <w:t>20</w:t>
      </w:r>
      <w:r>
        <w:t>）《湖南省水利工程管理与保护范围划界工作指南</w:t>
      </w:r>
      <w:r>
        <w:rPr>
          <w:rFonts w:hint="eastAsia"/>
        </w:rPr>
        <w:t>（试行）</w:t>
      </w:r>
      <w:r>
        <w:t>》</w:t>
      </w:r>
      <w:r>
        <w:rPr>
          <w:rFonts w:hint="eastAsia"/>
        </w:rPr>
        <w:t>（湘水办函 [2020]227号）</w:t>
      </w:r>
    </w:p>
    <w:p>
      <w:pPr>
        <w:pStyle w:val="3"/>
        <w:ind w:firstLine="643"/>
      </w:pPr>
      <w:bookmarkStart w:id="12" w:name="_Toc30549"/>
      <w:bookmarkStart w:id="13" w:name="_Toc28567"/>
      <w:r>
        <w:t>1.</w:t>
      </w:r>
      <w:r>
        <w:rPr>
          <w:rFonts w:hint="eastAsia"/>
        </w:rPr>
        <w:t>3</w:t>
      </w:r>
      <w:r>
        <w:t xml:space="preserve"> 划界成果</w:t>
      </w:r>
      <w:bookmarkEnd w:id="12"/>
      <w:bookmarkEnd w:id="13"/>
    </w:p>
    <w:p>
      <w:pPr>
        <w:ind w:firstLine="640"/>
      </w:pPr>
      <w:r>
        <w:rPr>
          <w:rFonts w:hint="eastAsia"/>
        </w:rPr>
        <w:t>东安县大中型及重点小型水利工程</w:t>
      </w:r>
      <w:r>
        <w:t>管理与保护范围</w:t>
      </w:r>
      <w:r>
        <w:rPr>
          <w:rFonts w:hint="eastAsia"/>
        </w:rPr>
        <w:t>划界成果主要包括文字报告、数据库、图件和表格成果等，相关成果的坐标系统均采用</w:t>
      </w:r>
      <w:r>
        <w:t>2000</w:t>
      </w:r>
      <w:r>
        <w:rPr>
          <w:rFonts w:hint="eastAsia"/>
        </w:rPr>
        <w:t>国家大地坐</w:t>
      </w:r>
      <w:r>
        <w:t>标</w:t>
      </w:r>
      <w:r>
        <w:rPr>
          <w:rFonts w:hint="eastAsia"/>
        </w:rPr>
        <w:t>系、</w:t>
      </w:r>
      <w:r>
        <w:t>高斯</w:t>
      </w:r>
      <w:r>
        <w:rPr>
          <w:rFonts w:hint="eastAsia"/>
        </w:rPr>
        <w:t>-克</w:t>
      </w:r>
      <w:r>
        <w:t>吕格投影</w:t>
      </w:r>
      <w:r>
        <w:rPr>
          <w:rFonts w:hint="eastAsia"/>
        </w:rPr>
        <w:t>，</w:t>
      </w:r>
      <w:r>
        <w:t>标准</w:t>
      </w:r>
      <w:r>
        <w:rPr>
          <w:rFonts w:hint="eastAsia"/>
        </w:rPr>
        <w:t>3度分</w:t>
      </w:r>
      <w:r>
        <w:t>带，中</w:t>
      </w:r>
      <w:r>
        <w:rPr>
          <w:rFonts w:hint="eastAsia"/>
        </w:rPr>
        <w:t>央</w:t>
      </w:r>
      <w:r>
        <w:t>经线</w:t>
      </w:r>
      <w:r>
        <w:rPr>
          <w:rFonts w:hint="eastAsia"/>
        </w:rPr>
        <w:t>111度</w:t>
      </w:r>
      <w:r>
        <w:t>。</w:t>
      </w:r>
      <w:r>
        <w:rPr>
          <w:rFonts w:hint="eastAsia"/>
        </w:rPr>
        <w:t>主要成果内容如下：</w:t>
      </w:r>
    </w:p>
    <w:p>
      <w:pPr>
        <w:pStyle w:val="4"/>
        <w:ind w:firstLine="640"/>
      </w:pPr>
      <w:bookmarkStart w:id="14" w:name="_Toc60738484"/>
      <w:bookmarkStart w:id="15" w:name="_Toc31718"/>
      <w:r>
        <w:rPr>
          <w:rFonts w:hint="eastAsia"/>
        </w:rPr>
        <w:t>1</w:t>
      </w:r>
      <w:r>
        <w:t>.</w:t>
      </w:r>
      <w:r>
        <w:rPr>
          <w:rFonts w:hint="eastAsia"/>
        </w:rPr>
        <w:t>3</w:t>
      </w:r>
      <w:r>
        <w:t xml:space="preserve">.1 </w:t>
      </w:r>
      <w:r>
        <w:rPr>
          <w:rFonts w:hint="eastAsia"/>
        </w:rPr>
        <w:t>文字报告</w:t>
      </w:r>
      <w:bookmarkEnd w:id="14"/>
      <w:bookmarkEnd w:id="15"/>
    </w:p>
    <w:p>
      <w:pPr>
        <w:ind w:firstLine="640"/>
      </w:pPr>
      <w:r>
        <w:rPr>
          <w:rFonts w:hint="eastAsia"/>
        </w:rPr>
        <w:t>《湖南省东安县大中型及重点小</w:t>
      </w:r>
      <w:r>
        <w:t>型水利工程管理与保护范围</w:t>
      </w:r>
      <w:r>
        <w:rPr>
          <w:rFonts w:hint="eastAsia"/>
        </w:rPr>
        <w:t>划界</w:t>
      </w:r>
      <w:r>
        <w:t>方案</w:t>
      </w:r>
      <w:r>
        <w:rPr>
          <w:rFonts w:hint="eastAsia"/>
        </w:rPr>
        <w:t>》。</w:t>
      </w:r>
    </w:p>
    <w:p>
      <w:pPr>
        <w:pStyle w:val="4"/>
        <w:ind w:firstLine="640"/>
      </w:pPr>
      <w:bookmarkStart w:id="16" w:name="_Toc60738485"/>
      <w:bookmarkStart w:id="17" w:name="_Toc11370"/>
      <w:r>
        <w:rPr>
          <w:rFonts w:hint="eastAsia"/>
        </w:rPr>
        <w:t>1</w:t>
      </w:r>
      <w:r>
        <w:t>.</w:t>
      </w:r>
      <w:r>
        <w:rPr>
          <w:rFonts w:hint="eastAsia"/>
        </w:rPr>
        <w:t>3</w:t>
      </w:r>
      <w:r>
        <w:t xml:space="preserve">.2 </w:t>
      </w:r>
      <w:r>
        <w:rPr>
          <w:rFonts w:hint="eastAsia"/>
        </w:rPr>
        <w:t>数据库</w:t>
      </w:r>
      <w:bookmarkEnd w:id="16"/>
      <w:bookmarkEnd w:id="17"/>
    </w:p>
    <w:p>
      <w:pPr>
        <w:ind w:firstLine="640"/>
      </w:pPr>
      <w:r>
        <w:rPr>
          <w:rFonts w:hint="eastAsia"/>
        </w:rPr>
        <w:t>东安县大中型及重点小型</w:t>
      </w:r>
      <w:r>
        <w:t>水利工程管理与保护范围划界</w:t>
      </w:r>
      <w:r>
        <w:rPr>
          <w:rFonts w:hint="eastAsia"/>
        </w:rPr>
        <w:t>成果数据库，格式为G</w:t>
      </w:r>
      <w:r>
        <w:t>DB</w:t>
      </w:r>
      <w:r>
        <w:rPr>
          <w:rFonts w:hint="eastAsia"/>
        </w:rPr>
        <w:t>。</w:t>
      </w:r>
    </w:p>
    <w:p>
      <w:pPr>
        <w:pStyle w:val="4"/>
        <w:ind w:firstLine="640"/>
      </w:pPr>
      <w:bookmarkStart w:id="18" w:name="_Toc60738486"/>
      <w:bookmarkStart w:id="19" w:name="_Toc16507"/>
      <w:r>
        <w:rPr>
          <w:rFonts w:hint="eastAsia"/>
        </w:rPr>
        <w:t>1.3.3 图件成果</w:t>
      </w:r>
      <w:bookmarkEnd w:id="18"/>
      <w:bookmarkEnd w:id="19"/>
    </w:p>
    <w:p>
      <w:pPr>
        <w:ind w:firstLine="640"/>
      </w:pPr>
      <w:r>
        <w:rPr>
          <w:rFonts w:hint="eastAsia"/>
        </w:rPr>
        <w:t>东安县</w:t>
      </w:r>
      <w:r>
        <w:t>1</w:t>
      </w:r>
      <w:r>
        <w:rPr>
          <w:rFonts w:hint="eastAsia"/>
        </w:rPr>
        <w:t>个灌区、2个水闸、3个泵站和</w:t>
      </w:r>
      <w:r>
        <w:t>26</w:t>
      </w:r>
      <w:r>
        <w:rPr>
          <w:rFonts w:hint="eastAsia"/>
        </w:rPr>
        <w:t>个水库工程管理与保护范围划定成果图</w:t>
      </w:r>
      <w:r>
        <w:t>199</w:t>
      </w:r>
      <w:r>
        <w:rPr>
          <w:rFonts w:hint="eastAsia"/>
        </w:rPr>
        <w:t>幅。成果图件采用A3分幅，各</w:t>
      </w:r>
      <w:r>
        <w:t>水利</w:t>
      </w:r>
      <w:r>
        <w:rPr>
          <w:rFonts w:hint="eastAsia"/>
        </w:rPr>
        <w:t>工程划</w:t>
      </w:r>
      <w:r>
        <w:t>定成果图件</w:t>
      </w:r>
      <w:r>
        <w:rPr>
          <w:rFonts w:hint="eastAsia"/>
        </w:rPr>
        <w:t>依据</w:t>
      </w:r>
      <w:r>
        <w:t>其</w:t>
      </w:r>
      <w:r>
        <w:rPr>
          <w:rFonts w:hint="eastAsia"/>
        </w:rPr>
        <w:t>空间范围采用1</w:t>
      </w:r>
      <w:r>
        <w:t>:</w:t>
      </w:r>
      <w:r>
        <w:rPr>
          <w:rFonts w:hint="eastAsia"/>
        </w:rPr>
        <w:t>1</w:t>
      </w:r>
      <w:r>
        <w:t>000</w:t>
      </w:r>
      <w:r>
        <w:rPr>
          <w:rFonts w:hint="eastAsia"/>
        </w:rPr>
        <w:t>~1:2000</w:t>
      </w:r>
      <w:r>
        <w:t>比例尺</w:t>
      </w:r>
      <w:r>
        <w:rPr>
          <w:rFonts w:hint="eastAsia"/>
        </w:rPr>
        <w:t>，成果图件电子格式为PDF。</w:t>
      </w:r>
    </w:p>
    <w:p>
      <w:pPr>
        <w:pStyle w:val="4"/>
        <w:ind w:firstLine="640"/>
      </w:pPr>
      <w:bookmarkStart w:id="20" w:name="_Toc60738487"/>
      <w:bookmarkStart w:id="21" w:name="_Toc24991"/>
      <w:r>
        <w:rPr>
          <w:rFonts w:hint="eastAsia"/>
        </w:rPr>
        <w:t>1</w:t>
      </w:r>
      <w:r>
        <w:t xml:space="preserve">.3.4 </w:t>
      </w:r>
      <w:r>
        <w:rPr>
          <w:rFonts w:hint="eastAsia"/>
        </w:rPr>
        <w:t>表格成果</w:t>
      </w:r>
      <w:bookmarkEnd w:id="20"/>
      <w:bookmarkEnd w:id="21"/>
    </w:p>
    <w:p>
      <w:pPr>
        <w:ind w:firstLine="640"/>
      </w:pPr>
      <w:r>
        <w:rPr>
          <w:rFonts w:hint="eastAsia"/>
        </w:rPr>
        <w:t>包括各水利工程管理范围电子界桩成果表、电子告示牌成果表，及保护范围电子界桩成果表、电子告示牌成果表。上述表格记录了各电子界桩、电子告示牌的坐标系统、高程系统、编号、所在位置（地名）、</w:t>
      </w:r>
      <w:r>
        <w:t>x</w:t>
      </w:r>
      <w:r>
        <w:rPr>
          <w:rFonts w:hint="eastAsia"/>
        </w:rPr>
        <w:t>坐标、y坐标及高程等信息，涉及电子界桩</w:t>
      </w:r>
      <w:r>
        <w:t>3365</w:t>
      </w:r>
      <w:r>
        <w:rPr>
          <w:rFonts w:hint="eastAsia"/>
        </w:rPr>
        <w:t>个，电子告示牌</w:t>
      </w:r>
      <w:r>
        <w:t>186</w:t>
      </w:r>
      <w:r>
        <w:rPr>
          <w:rFonts w:hint="eastAsia"/>
        </w:rPr>
        <w:t>个。</w:t>
      </w:r>
    </w:p>
    <w:p>
      <w:pPr>
        <w:pStyle w:val="4"/>
        <w:ind w:firstLine="640"/>
      </w:pPr>
      <w:bookmarkStart w:id="22" w:name="_Toc15262"/>
      <w:bookmarkStart w:id="23" w:name="_Toc60738488"/>
      <w:r>
        <w:rPr>
          <w:rFonts w:hint="eastAsia"/>
        </w:rPr>
        <w:t>1</w:t>
      </w:r>
      <w:r>
        <w:t xml:space="preserve">.3.5 </w:t>
      </w:r>
      <w:r>
        <w:rPr>
          <w:rFonts w:hint="eastAsia"/>
        </w:rPr>
        <w:t>其它成果</w:t>
      </w:r>
      <w:bookmarkEnd w:id="22"/>
      <w:bookmarkEnd w:id="23"/>
    </w:p>
    <w:p>
      <w:pPr>
        <w:ind w:firstLine="640"/>
      </w:pPr>
      <w:r>
        <w:rPr>
          <w:rFonts w:hint="eastAsia"/>
        </w:rPr>
        <w:t>主要包括记录划界工作过程的各类照片资料、收集的各类基础资料等。</w:t>
      </w:r>
    </w:p>
    <w:p>
      <w:pPr>
        <w:pStyle w:val="2"/>
      </w:pPr>
      <w:bookmarkStart w:id="24" w:name="_Toc13579"/>
      <w:bookmarkStart w:id="25" w:name="_Toc22686"/>
      <w:r>
        <w:t>2水利工程基本情况</w:t>
      </w:r>
      <w:bookmarkEnd w:id="24"/>
      <w:bookmarkEnd w:id="25"/>
    </w:p>
    <w:p>
      <w:pPr>
        <w:pStyle w:val="3"/>
        <w:ind w:firstLine="643"/>
      </w:pPr>
      <w:bookmarkStart w:id="26" w:name="_Toc13170"/>
      <w:bookmarkStart w:id="27" w:name="_Toc4676"/>
      <w:r>
        <w:t>2.1水利工程分布情况</w:t>
      </w:r>
      <w:bookmarkEnd w:id="26"/>
      <w:bookmarkEnd w:id="27"/>
    </w:p>
    <w:p>
      <w:pPr>
        <w:ind w:firstLine="640"/>
      </w:pPr>
      <w:r>
        <w:rPr>
          <w:rFonts w:hint="eastAsia"/>
        </w:rPr>
        <w:t>本次东安县水利工程管理范围与保护范围划定对象共计32处，名录清单见表2-1，水利工程分布情况见图2-1。</w:t>
      </w:r>
    </w:p>
    <w:p>
      <w:pPr>
        <w:pStyle w:val="89"/>
        <w:ind w:firstLine="420"/>
        <w:rPr>
          <w:sz w:val="21"/>
          <w:szCs w:val="21"/>
        </w:rPr>
      </w:pPr>
      <w:r>
        <w:rPr>
          <w:sz w:val="21"/>
          <w:szCs w:val="21"/>
        </w:rPr>
        <w:t>表2-1</w:t>
      </w:r>
      <w:r>
        <w:rPr>
          <w:rFonts w:hint="eastAsia"/>
          <w:sz w:val="21"/>
          <w:szCs w:val="21"/>
        </w:rPr>
        <w:t>东安</w:t>
      </w:r>
      <w:r>
        <w:rPr>
          <w:sz w:val="21"/>
          <w:szCs w:val="21"/>
        </w:rPr>
        <w:t>县大中型和</w:t>
      </w:r>
      <w:r>
        <w:rPr>
          <w:rFonts w:hint="eastAsia"/>
          <w:sz w:val="21"/>
          <w:szCs w:val="21"/>
        </w:rPr>
        <w:t>重点小型水利工程</w:t>
      </w:r>
      <w:r>
        <w:rPr>
          <w:sz w:val="21"/>
          <w:szCs w:val="21"/>
        </w:rPr>
        <w:t>名录清单</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3402"/>
        <w:gridCol w:w="2218"/>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9" w:type="pct"/>
            <w:shd w:val="clear" w:color="auto" w:fill="auto"/>
            <w:vAlign w:val="center"/>
          </w:tcPr>
          <w:p>
            <w:pPr>
              <w:widowControl/>
              <w:spacing w:line="240" w:lineRule="auto"/>
              <w:ind w:firstLine="0" w:firstLineChars="0"/>
              <w:jc w:val="center"/>
              <w:rPr>
                <w:rFonts w:ascii="黑体" w:hAnsi="黑体" w:eastAsia="黑体" w:cs="Times New Roman"/>
                <w:b/>
                <w:bCs/>
                <w:color w:val="000000"/>
                <w:kern w:val="0"/>
                <w:sz w:val="22"/>
              </w:rPr>
            </w:pPr>
            <w:r>
              <w:rPr>
                <w:rFonts w:ascii="黑体" w:hAnsi="黑体" w:eastAsia="黑体" w:cs="Times New Roman"/>
                <w:b/>
                <w:bCs/>
                <w:color w:val="000000"/>
                <w:kern w:val="0"/>
                <w:sz w:val="22"/>
              </w:rPr>
              <w:t>序号</w:t>
            </w:r>
          </w:p>
        </w:tc>
        <w:tc>
          <w:tcPr>
            <w:tcW w:w="1854" w:type="pct"/>
            <w:shd w:val="clear" w:color="auto" w:fill="auto"/>
            <w:vAlign w:val="center"/>
          </w:tcPr>
          <w:p>
            <w:pPr>
              <w:widowControl/>
              <w:spacing w:line="240" w:lineRule="auto"/>
              <w:ind w:firstLine="0" w:firstLineChars="0"/>
              <w:jc w:val="center"/>
              <w:rPr>
                <w:rFonts w:ascii="黑体" w:hAnsi="黑体" w:eastAsia="黑体" w:cs="Times New Roman"/>
                <w:b/>
                <w:bCs/>
                <w:color w:val="000000"/>
                <w:kern w:val="0"/>
                <w:sz w:val="22"/>
              </w:rPr>
            </w:pPr>
            <w:r>
              <w:rPr>
                <w:rFonts w:ascii="黑体" w:hAnsi="黑体" w:eastAsia="黑体" w:cs="Times New Roman"/>
                <w:b/>
                <w:bCs/>
                <w:color w:val="000000"/>
                <w:kern w:val="0"/>
                <w:sz w:val="22"/>
              </w:rPr>
              <w:t>水利工程名称</w:t>
            </w:r>
          </w:p>
        </w:tc>
        <w:tc>
          <w:tcPr>
            <w:tcW w:w="1209" w:type="pct"/>
            <w:shd w:val="clear" w:color="auto" w:fill="auto"/>
            <w:vAlign w:val="center"/>
          </w:tcPr>
          <w:p>
            <w:pPr>
              <w:widowControl/>
              <w:spacing w:line="240" w:lineRule="auto"/>
              <w:ind w:firstLine="0" w:firstLineChars="0"/>
              <w:jc w:val="center"/>
              <w:rPr>
                <w:rFonts w:ascii="黑体" w:hAnsi="黑体" w:eastAsia="黑体" w:cs="Times New Roman"/>
                <w:b/>
                <w:bCs/>
                <w:color w:val="000000"/>
                <w:kern w:val="0"/>
                <w:sz w:val="22"/>
              </w:rPr>
            </w:pPr>
            <w:r>
              <w:rPr>
                <w:rFonts w:ascii="黑体" w:hAnsi="黑体" w:eastAsia="黑体" w:cs="Times New Roman"/>
                <w:b/>
                <w:bCs/>
                <w:color w:val="000000"/>
                <w:kern w:val="0"/>
                <w:sz w:val="22"/>
              </w:rPr>
              <w:t>工程类型</w:t>
            </w:r>
          </w:p>
        </w:tc>
        <w:tc>
          <w:tcPr>
            <w:tcW w:w="1208" w:type="pct"/>
            <w:shd w:val="clear" w:color="auto" w:fill="auto"/>
            <w:vAlign w:val="center"/>
          </w:tcPr>
          <w:p>
            <w:pPr>
              <w:widowControl/>
              <w:spacing w:line="240" w:lineRule="auto"/>
              <w:ind w:firstLine="0" w:firstLineChars="0"/>
              <w:jc w:val="center"/>
              <w:rPr>
                <w:rFonts w:ascii="黑体" w:hAnsi="黑体" w:eastAsia="黑体" w:cs="Times New Roman"/>
                <w:b/>
                <w:bCs/>
                <w:color w:val="000000"/>
                <w:kern w:val="0"/>
                <w:sz w:val="22"/>
              </w:rPr>
            </w:pPr>
            <w:r>
              <w:rPr>
                <w:rFonts w:ascii="黑体" w:hAnsi="黑体" w:eastAsia="黑体" w:cs="Times New Roman"/>
                <w:b/>
                <w:bCs/>
                <w:color w:val="000000"/>
                <w:kern w:val="0"/>
                <w:sz w:val="22"/>
              </w:rPr>
              <w:t>工程规模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1</w:t>
            </w:r>
          </w:p>
        </w:tc>
        <w:tc>
          <w:tcPr>
            <w:tcW w:w="1854"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金江水库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中型水库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2</w:t>
            </w:r>
          </w:p>
        </w:tc>
        <w:tc>
          <w:tcPr>
            <w:tcW w:w="1854"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双江水库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中型水库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3</w:t>
            </w:r>
          </w:p>
        </w:tc>
        <w:tc>
          <w:tcPr>
            <w:tcW w:w="1854"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松江水库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中型水库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4</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大兴水库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5</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龙溪水库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6</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险峰水库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7</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妙江水库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8</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龙江水库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9</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大盛水库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10</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金溪水库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11</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卫星水库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12</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大田水库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13</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坪一水库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14</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群伍水库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15</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凤江水库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16</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福江水库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17</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飞跃水库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18</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新江水库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19</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群江水库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20</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陶江水库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21</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天堂水库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22</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大古塘水库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23</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超美水库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24</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东源水库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25</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白石江水库</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bottom w:val="single" w:color="auto" w:sz="4" w:space="0"/>
            </w:tcBorders>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26</w:t>
            </w:r>
          </w:p>
        </w:tc>
        <w:tc>
          <w:tcPr>
            <w:tcW w:w="1854"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群峰水库</w:t>
            </w:r>
          </w:p>
        </w:tc>
        <w:tc>
          <w:tcPr>
            <w:tcW w:w="1209" w:type="pct"/>
            <w:tcBorders>
              <w:bottom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水库</w:t>
            </w:r>
          </w:p>
        </w:tc>
        <w:tc>
          <w:tcPr>
            <w:tcW w:w="1208" w:type="pct"/>
            <w:tcBorders>
              <w:bottom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小（1）型水库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top w:val="single" w:color="auto" w:sz="4" w:space="0"/>
              <w:bottom w:val="single" w:color="auto" w:sz="4" w:space="0"/>
            </w:tcBorders>
            <w:shd w:val="clear" w:color="auto" w:fill="auto"/>
            <w:vAlign w:val="center"/>
          </w:tcPr>
          <w:p>
            <w:pPr>
              <w:spacing w:line="240" w:lineRule="auto"/>
              <w:ind w:firstLine="0" w:firstLineChars="0"/>
              <w:jc w:val="center"/>
              <w:rPr>
                <w:rFonts w:eastAsia="宋体" w:cs="Times New Roman"/>
                <w:sz w:val="22"/>
              </w:rPr>
            </w:pPr>
            <w:r>
              <w:rPr>
                <w:rFonts w:hint="eastAsia" w:eastAsia="宋体" w:cs="Times New Roman"/>
                <w:sz w:val="22"/>
              </w:rPr>
              <w:t>2</w:t>
            </w:r>
            <w:r>
              <w:rPr>
                <w:rFonts w:eastAsia="宋体" w:cs="Times New Roman"/>
                <w:sz w:val="22"/>
              </w:rPr>
              <w:t>7</w:t>
            </w:r>
          </w:p>
        </w:tc>
        <w:tc>
          <w:tcPr>
            <w:tcW w:w="1854"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kern w:val="0"/>
                <w:sz w:val="22"/>
              </w:rPr>
              <w:t>金江水库灌区</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kern w:val="0"/>
                <w:sz w:val="22"/>
              </w:rPr>
              <w:t>灌区</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kern w:val="0"/>
                <w:sz w:val="22"/>
              </w:rPr>
              <w:t>水库灌区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top w:val="single" w:color="auto" w:sz="4" w:space="0"/>
              <w:bottom w:val="single" w:color="auto" w:sz="4" w:space="0"/>
            </w:tcBorders>
            <w:shd w:val="clear" w:color="auto" w:fill="auto"/>
            <w:vAlign w:val="center"/>
          </w:tcPr>
          <w:p>
            <w:pPr>
              <w:spacing w:line="240" w:lineRule="auto"/>
              <w:ind w:firstLine="0" w:firstLineChars="0"/>
              <w:jc w:val="center"/>
              <w:rPr>
                <w:rFonts w:eastAsia="宋体" w:cs="Times New Roman"/>
                <w:sz w:val="22"/>
              </w:rPr>
            </w:pPr>
            <w:r>
              <w:rPr>
                <w:rFonts w:hint="eastAsia" w:eastAsia="宋体" w:cs="Times New Roman"/>
                <w:sz w:val="22"/>
              </w:rPr>
              <w:t>2</w:t>
            </w:r>
            <w:r>
              <w:rPr>
                <w:rFonts w:eastAsia="宋体" w:cs="Times New Roman"/>
                <w:sz w:val="22"/>
              </w:rPr>
              <w:t>8</w:t>
            </w:r>
          </w:p>
        </w:tc>
        <w:tc>
          <w:tcPr>
            <w:tcW w:w="1854"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扬江河坝水闸</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水闸</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中型水闸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top w:val="single" w:color="auto" w:sz="4" w:space="0"/>
              <w:bottom w:val="single" w:color="auto" w:sz="4" w:space="0"/>
            </w:tcBorders>
            <w:shd w:val="clear" w:color="auto" w:fill="auto"/>
            <w:vAlign w:val="center"/>
          </w:tcPr>
          <w:p>
            <w:pPr>
              <w:spacing w:line="240" w:lineRule="auto"/>
              <w:ind w:firstLine="0" w:firstLineChars="0"/>
              <w:jc w:val="center"/>
              <w:rPr>
                <w:rFonts w:eastAsia="宋体" w:cs="Times New Roman"/>
                <w:sz w:val="22"/>
              </w:rPr>
            </w:pPr>
            <w:r>
              <w:rPr>
                <w:rFonts w:hint="eastAsia" w:eastAsia="宋体" w:cs="Times New Roman"/>
                <w:sz w:val="22"/>
              </w:rPr>
              <w:t>2</w:t>
            </w:r>
            <w:r>
              <w:rPr>
                <w:rFonts w:eastAsia="宋体" w:cs="Times New Roman"/>
                <w:sz w:val="22"/>
              </w:rPr>
              <w:t>9</w:t>
            </w:r>
          </w:p>
        </w:tc>
        <w:tc>
          <w:tcPr>
            <w:tcW w:w="1854"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紫江河坝水闸</w:t>
            </w:r>
          </w:p>
        </w:tc>
        <w:tc>
          <w:tcPr>
            <w:tcW w:w="1209"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水闸</w:t>
            </w:r>
          </w:p>
        </w:tc>
        <w:tc>
          <w:tcPr>
            <w:tcW w:w="1208" w:type="pct"/>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中型水闸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top w:val="single" w:color="auto" w:sz="4" w:space="0"/>
              <w:bottom w:val="single" w:color="auto" w:sz="4" w:space="0"/>
            </w:tcBorders>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30</w:t>
            </w:r>
          </w:p>
        </w:tc>
        <w:tc>
          <w:tcPr>
            <w:tcW w:w="185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湘江水轮泵站</w:t>
            </w:r>
          </w:p>
        </w:tc>
        <w:tc>
          <w:tcPr>
            <w:tcW w:w="1209" w:type="pct"/>
            <w:tcBorders>
              <w:top w:val="single" w:color="auto" w:sz="4" w:space="0"/>
              <w:bottom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泵站</w:t>
            </w:r>
          </w:p>
        </w:tc>
        <w:tc>
          <w:tcPr>
            <w:tcW w:w="1208" w:type="pct"/>
            <w:tcBorders>
              <w:top w:val="single" w:color="auto" w:sz="4" w:space="0"/>
              <w:bottom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中型泵站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top w:val="single" w:color="auto" w:sz="4" w:space="0"/>
              <w:bottom w:val="single" w:color="auto" w:sz="4" w:space="0"/>
            </w:tcBorders>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31</w:t>
            </w:r>
          </w:p>
        </w:tc>
        <w:tc>
          <w:tcPr>
            <w:tcW w:w="185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国营东安县石期市机电排灌站</w:t>
            </w:r>
          </w:p>
        </w:tc>
        <w:tc>
          <w:tcPr>
            <w:tcW w:w="1209" w:type="pct"/>
            <w:tcBorders>
              <w:top w:val="single" w:color="auto" w:sz="4" w:space="0"/>
              <w:bottom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群泵</w:t>
            </w:r>
          </w:p>
        </w:tc>
        <w:tc>
          <w:tcPr>
            <w:tcW w:w="1208" w:type="pct"/>
            <w:tcBorders>
              <w:top w:val="single" w:color="auto" w:sz="4" w:space="0"/>
              <w:bottom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中型泵站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top w:val="single" w:color="auto" w:sz="4" w:space="0"/>
            </w:tcBorders>
            <w:shd w:val="clear" w:color="auto" w:fill="auto"/>
            <w:vAlign w:val="center"/>
          </w:tcPr>
          <w:p>
            <w:pPr>
              <w:spacing w:line="240" w:lineRule="auto"/>
              <w:ind w:firstLine="0" w:firstLineChars="0"/>
              <w:jc w:val="center"/>
              <w:rPr>
                <w:rFonts w:eastAsia="宋体" w:cs="Times New Roman"/>
                <w:sz w:val="22"/>
              </w:rPr>
            </w:pPr>
            <w:r>
              <w:rPr>
                <w:rFonts w:eastAsia="宋体" w:cs="Times New Roman"/>
                <w:sz w:val="22"/>
              </w:rPr>
              <w:t>32</w:t>
            </w:r>
          </w:p>
        </w:tc>
        <w:tc>
          <w:tcPr>
            <w:tcW w:w="185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芦洪市机电排灌站</w:t>
            </w:r>
          </w:p>
        </w:tc>
        <w:tc>
          <w:tcPr>
            <w:tcW w:w="1209" w:type="pct"/>
            <w:tcBorders>
              <w:top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群泵</w:t>
            </w:r>
          </w:p>
        </w:tc>
        <w:tc>
          <w:tcPr>
            <w:tcW w:w="1208" w:type="pct"/>
            <w:tcBorders>
              <w:top w:val="single" w:color="auto" w:sz="4" w:space="0"/>
            </w:tcBorders>
            <w:shd w:val="clear" w:color="auto" w:fill="auto"/>
            <w:vAlign w:val="center"/>
          </w:tcPr>
          <w:p>
            <w:pPr>
              <w:spacing w:line="240" w:lineRule="auto"/>
              <w:ind w:firstLine="0" w:firstLineChars="0"/>
              <w:jc w:val="center"/>
              <w:rPr>
                <w:rFonts w:eastAsia="宋体" w:cs="Times New Roman"/>
                <w:color w:val="000000"/>
                <w:sz w:val="22"/>
              </w:rPr>
            </w:pPr>
            <w:r>
              <w:rPr>
                <w:rFonts w:eastAsia="宋体" w:cs="Times New Roman"/>
                <w:color w:val="000000"/>
                <w:sz w:val="22"/>
              </w:rPr>
              <w:t>中型泵站</w:t>
            </w:r>
          </w:p>
        </w:tc>
      </w:tr>
    </w:tbl>
    <w:p>
      <w:pPr>
        <w:ind w:firstLine="640"/>
      </w:pPr>
    </w:p>
    <w:p>
      <w:pPr>
        <w:pStyle w:val="58"/>
        <w:spacing w:line="360" w:lineRule="auto"/>
      </w:pPr>
      <w:r>
        <w:drawing>
          <wp:inline distT="0" distB="0" distL="0" distR="0">
            <wp:extent cx="5333365" cy="755332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41662" cy="7564397"/>
                    </a:xfrm>
                    <a:prstGeom prst="rect">
                      <a:avLst/>
                    </a:prstGeom>
                    <a:noFill/>
                  </pic:spPr>
                </pic:pic>
              </a:graphicData>
            </a:graphic>
          </wp:inline>
        </w:drawing>
      </w:r>
    </w:p>
    <w:p>
      <w:pPr>
        <w:pStyle w:val="58"/>
        <w:spacing w:line="360" w:lineRule="auto"/>
        <w:sectPr>
          <w:footerReference r:id="rId11" w:type="default"/>
          <w:pgSz w:w="11906" w:h="16838"/>
          <w:pgMar w:top="1871" w:right="1474" w:bottom="1701" w:left="1474" w:header="851" w:footer="1361" w:gutter="0"/>
          <w:cols w:space="425" w:num="1"/>
          <w:docGrid w:type="lines" w:linePitch="435" w:charSpace="0"/>
        </w:sectPr>
      </w:pPr>
      <w:r>
        <w:t xml:space="preserve">图2-1 </w:t>
      </w:r>
      <w:r>
        <w:rPr>
          <w:rFonts w:hint="eastAsia"/>
        </w:rPr>
        <w:t>东安县</w:t>
      </w:r>
      <w:r>
        <w:t>水利工程总体分布</w:t>
      </w:r>
      <w:r>
        <w:rPr>
          <w:rFonts w:hint="eastAsia"/>
        </w:rPr>
        <w:t>示意</w:t>
      </w:r>
      <w:r>
        <w:t>图</w:t>
      </w:r>
    </w:p>
    <w:p>
      <w:pPr>
        <w:pStyle w:val="3"/>
        <w:ind w:firstLine="643"/>
      </w:pPr>
      <w:bookmarkStart w:id="28" w:name="_Toc4933"/>
      <w:bookmarkStart w:id="29" w:name="_Toc13669"/>
      <w:bookmarkStart w:id="30" w:name="_Toc60738491"/>
      <w:r>
        <w:t>2.</w:t>
      </w:r>
      <w:r>
        <w:rPr>
          <w:rFonts w:hint="eastAsia"/>
        </w:rPr>
        <w:t>2 水库基本信息</w:t>
      </w:r>
      <w:bookmarkEnd w:id="28"/>
      <w:bookmarkEnd w:id="29"/>
      <w:bookmarkEnd w:id="30"/>
    </w:p>
    <w:p>
      <w:pPr>
        <w:ind w:firstLine="640"/>
      </w:pPr>
      <w:r>
        <w:t>1</w:t>
      </w:r>
      <w:r>
        <w:rPr>
          <w:rFonts w:hint="eastAsia"/>
        </w:rPr>
        <w:t>.金江水库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金江水库属于东安县金江水库管理所管理。</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金江水库于2015年注册登记，注册登记号为：43110030008-A4。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金江水库位于东安县北部鹿马桥镇以西4km，西涧水上游峡谷出口处，大坝地理位置处于东经111°23′16″，北纬26°36′41″，枢纽工程距东安县城45km，距东安县芦洪市镇23km，至永州市冷水滩城区35km。西涧水为芦江的支流，即为湘江的二级支流。是一座以灌溉为主，兼顾防洪、灌溉、发电、养殖的中型水利工程。</w:t>
      </w:r>
    </w:p>
    <w:p>
      <w:pPr>
        <w:ind w:firstLine="640"/>
      </w:pPr>
      <w:r>
        <w:rPr>
          <w:rFonts w:hint="eastAsia"/>
        </w:rPr>
        <w:t>2.双江水库</w:t>
      </w:r>
    </w:p>
    <w:p>
      <w:pPr>
        <w:ind w:firstLine="640"/>
      </w:pPr>
      <w:r>
        <w:rPr>
          <w:rFonts w:hint="eastAsia"/>
        </w:rPr>
        <w:t>双江水库属于东安县双江水库管理所管理。</w:t>
      </w:r>
    </w:p>
    <w:p>
      <w:pPr>
        <w:ind w:firstLine="640"/>
      </w:pPr>
      <w:r>
        <w:rPr>
          <w:rFonts w:hint="eastAsia"/>
        </w:rPr>
        <w:t>双江水库于2</w:t>
      </w:r>
      <w:r>
        <w:t>015</w:t>
      </w:r>
      <w:r>
        <w:rPr>
          <w:rFonts w:hint="eastAsia"/>
        </w:rPr>
        <w:t>年9月注册登记，注册登记号为：4</w:t>
      </w:r>
      <w:r>
        <w:t>3110030009-A4</w:t>
      </w:r>
      <w:r>
        <w:rPr>
          <w:rFonts w:hint="eastAsia"/>
        </w:rPr>
        <w:t>。</w:t>
      </w:r>
    </w:p>
    <w:p>
      <w:pPr>
        <w:ind w:firstLine="640"/>
      </w:pPr>
      <w:r>
        <w:rPr>
          <w:rFonts w:hint="eastAsia"/>
        </w:rPr>
        <w:t>双江水库枢纽工程位于东安县东北部南桥镇寺门村，大坝地理位置处于东经111°29′38″，北纬26°50′05″，距东岸县城7</w:t>
      </w:r>
      <w:r>
        <w:t>0</w:t>
      </w:r>
      <w:r>
        <w:rPr>
          <w:rFonts w:hint="eastAsia"/>
        </w:rPr>
        <w:t>km。所在河流系资水支流开河冲。水库下游3</w:t>
      </w:r>
      <w:r>
        <w:t>.0</w:t>
      </w:r>
      <w:r>
        <w:rPr>
          <w:rFonts w:hint="eastAsia"/>
        </w:rPr>
        <w:t>km有南桥镇，有简易公路相通。</w:t>
      </w:r>
    </w:p>
    <w:p>
      <w:pPr>
        <w:ind w:firstLine="640"/>
      </w:pPr>
      <w:r>
        <w:rPr>
          <w:rFonts w:hint="eastAsia"/>
        </w:rPr>
        <w:t>双江水库大坝为粘土心墙堆石坝。水库集雨面积1</w:t>
      </w:r>
      <w:r>
        <w:t>4.52</w:t>
      </w:r>
      <w:r>
        <w:rPr>
          <w:rFonts w:hint="eastAsia"/>
        </w:rPr>
        <w:t>km</w:t>
      </w:r>
      <w:r>
        <w:rPr>
          <w:vertAlign w:val="superscript"/>
        </w:rPr>
        <w:t>2</w:t>
      </w:r>
      <w:r>
        <w:rPr>
          <w:rFonts w:hint="eastAsia"/>
        </w:rPr>
        <w:t>，水库形状为狭长叶形，坝址以上干流长度8</w:t>
      </w:r>
      <w:r>
        <w:t>.14</w:t>
      </w:r>
      <w:r>
        <w:rPr>
          <w:rFonts w:hint="eastAsia"/>
        </w:rPr>
        <w:t>km，干流平均坡降为3</w:t>
      </w:r>
      <w:r>
        <w:t>8.00</w:t>
      </w:r>
      <w:r>
        <w:rPr>
          <w:rFonts w:hint="eastAsia"/>
        </w:rPr>
        <w:t>‰，总库容1</w:t>
      </w:r>
      <w:r>
        <w:t>079.28</w:t>
      </w:r>
      <w:r>
        <w:rPr>
          <w:rFonts w:hint="eastAsia"/>
        </w:rPr>
        <w:t>万m</w:t>
      </w:r>
      <w:r>
        <w:rPr>
          <w:rFonts w:hint="eastAsia"/>
          <w:vertAlign w:val="superscript"/>
        </w:rPr>
        <w:t>3</w:t>
      </w:r>
      <w:r>
        <w:rPr>
          <w:rFonts w:hint="eastAsia"/>
        </w:rPr>
        <w:t>。双江水库是一座以灌溉为主，兼顾防洪、发电及养殖等综合利用的中型水利工程。</w:t>
      </w:r>
    </w:p>
    <w:p>
      <w:pPr>
        <w:ind w:firstLine="640"/>
      </w:pPr>
      <w:r>
        <w:rPr>
          <w:rFonts w:hint="eastAsia"/>
        </w:rPr>
        <w:t>3.松江水库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松江水库属于东安县松江水库管理所管理。</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松江水库于2015年9月注册登记，注册登记号为：43110030011-A4。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松江水库位于东安县川岩乡松江村，水库所在流域系湘江一级支流紫水河支流宥江河，大坝地理位置处于东经111°22′20″，北纬26°27′16″，大坝距东安县城22km，距湘桂铁路6km，距207国道10km。</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水库实际灌溉面积4.36万亩，保护下游耕地10.2万亩，保护下游人口5.5万人。水库大坝控制集雨面积70.1km2，坝址以上干流长度23.5km，干流平均坡降17.0‰，是一座以灌溉为主，兼有防洪、发电、养鱼等综合效益的中型水利工程。</w:t>
      </w:r>
    </w:p>
    <w:p>
      <w:pPr>
        <w:ind w:firstLine="640"/>
      </w:pPr>
      <w:r>
        <w:rPr>
          <w:rFonts w:hint="eastAsia"/>
        </w:rPr>
        <w:t>4.大兴水库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大兴水库于2015年注册登记，注册登记号为43112240006-A4。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该水库位于湖南省永州市东安县白牙市镇水井村境内，大坝地理位置处于东经111°17′51″，北纬26°26′08″，属湘江水系紫水河支流上游，距东安县城3km。</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坝址处控制流域集雨面积</w:t>
      </w:r>
      <w:r>
        <w:rPr>
          <w:color w:val="000000" w:themeColor="text1"/>
          <w14:textFill>
            <w14:solidFill>
              <w14:schemeClr w14:val="tx1"/>
            </w14:solidFill>
          </w14:textFill>
        </w:rPr>
        <w:t>7.2km²</w:t>
      </w:r>
      <w:r>
        <w:rPr>
          <w:rFonts w:hint="eastAsia"/>
          <w:color w:val="000000" w:themeColor="text1"/>
          <w14:textFill>
            <w14:solidFill>
              <w14:schemeClr w14:val="tx1"/>
            </w14:solidFill>
          </w14:textFill>
        </w:rPr>
        <w:t>，干流长度</w:t>
      </w:r>
      <w:r>
        <w:rPr>
          <w:color w:val="000000" w:themeColor="text1"/>
          <w14:textFill>
            <w14:solidFill>
              <w14:schemeClr w14:val="tx1"/>
            </w14:solidFill>
          </w14:textFill>
        </w:rPr>
        <w:t>6.41km</w:t>
      </w:r>
      <w:r>
        <w:rPr>
          <w:rFonts w:hint="eastAsia"/>
          <w:color w:val="000000" w:themeColor="text1"/>
          <w14:textFill>
            <w14:solidFill>
              <w14:schemeClr w14:val="tx1"/>
            </w14:solidFill>
          </w14:textFill>
        </w:rPr>
        <w:t>，干流坡降为</w:t>
      </w:r>
      <w:r>
        <w:rPr>
          <w:color w:val="000000" w:themeColor="text1"/>
          <w14:textFill>
            <w14:solidFill>
              <w14:schemeClr w14:val="tx1"/>
            </w14:solidFill>
          </w14:textFill>
        </w:rPr>
        <w:t>51.8‰</w:t>
      </w:r>
      <w:r>
        <w:rPr>
          <w:rFonts w:hint="eastAsia"/>
          <w:color w:val="000000" w:themeColor="text1"/>
          <w14:textFill>
            <w14:solidFill>
              <w14:schemeClr w14:val="tx1"/>
            </w14:solidFill>
          </w14:textFill>
        </w:rPr>
        <w:t>，是一座以灌溉为主，兼顾防洪保安、养鱼等综合效益的小（</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龙溪水库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龙溪水库于2015年注册登记，注册登记号为43112240012-A4。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该水库位于湖南省永州市东安县白牙市北部，坝址座落在东安县白牙市芦头江村境内，大坝地理位置处于东经111°15′33″，北纬26°29′26″，距县城18km。龙溪水库属长江流域湘江支流紫水河的一级支流龙溪河上游</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复核后的龙溪水库坝址以上控制流域面积为12.45km2，干流长度为5.07km，干流平均坡降为49.77‰，是一座以灌溉为主，兼顾防洪、养鱼等综合利用的小（1）型水利工程。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险峰水库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险峰水库于2015年注册登记，注册登记号为43112240021-A4。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属湘江水系石期河的支流，位于湖南省永州市东安县白芽市镇南部，坝址座落在东安县白芽市镇长寿村境内，大坝地理位置处于东经111°17′24″，北纬26°19′55″，距离白芽市镇11km，距离东安县城20km。该枢纽工程是一座以灌溉为主，兼顾防洪、养鱼等综合利用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妙江水库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妙江水库于2015年注册登记，注册登记号为43112240013-A4。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该水库属湘江水系紫水河的支流上游，位于东安县川岩乡川岩村，大坝地理位置处于东经111°19′42″，北纬26°28′10″，距离川岩乡3km，距离东安县城8km。是一座以灌溉为主，兼顾防洪、养鱼等综合利用的小（</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龙江水库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龙江水库于2015年注册登记，注册登记号为43112240011-A4。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该水库位于湖南省永州市东安县大庙口镇北部，坝址座落在东安县大庙口镇高枧村境内，大坝地理位置处于东经111°5′16″，北纬26°27′23″，距离大庙口镇15km，距东安县城45km。</w:t>
      </w:r>
    </w:p>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该枢纽工程是一座以灌溉为主，兼顾防洪、养鱼等综合利用的小（</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大盛水库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大盛水库于2015年注册登记，注册登记号为43112240004-A4。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东安县，坝址座落于大盛镇町里村芦洪江河的支流上游，大坝地理位置处于东经111°21′19″，北纬26°49′32″，距县城80km，是一座以灌溉为主，兼顾防洪、养殖等综合效益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金溪水库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金溪水库于2015年注册登记，注册登记号为43112240010-A4。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东安县端桥铺镇金溪村，属湘江支流芦洪江水系。大坝地理位置处于东经111°25′10″，北纬26°30′23″，库区距离东安县城30km，有公路通往坝区，对外交通方便，是一座以灌溉为主，兼防洪、养殖等综合效益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卫星水库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卫星水库于2015年注册登记，注册登记号为43112240020-A4。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永州市东安县端桥铺镇，属于湘江水系芦江二级支流上游，坝址座落在端桥铺镇麻溪村境内，大坝地理位置处于东经111°24′40″，北纬26°31′44″，距端桥铺镇6.0km，距东安县城32km，是一座以灌溉为主，兼顾防洪、养鱼等综合利用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大田水库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大田水库于2015年注册登记，注册登记号为43112240005-A4。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属湘江水系石期河的支流上游，位于东安县横塘镇大田村，大坝地理位置处于东经111°16′04″，北纬26°8′14″，库尾靠近广西全州县境，距离广西全州县黄沙河镇18km，距离横塘镇15km，距离石期市镇32km，是一座以灌溉为主，兼防洪、养鱼等综合利用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坪一水库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坪一水库于2015年注册登记，注册登记号为43112240014-A4。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永州市东安县横塘镇坪埠头村石期河的一级小支流下游，大坝地理位置处于东经111°21′35″，北纬26°15′55″，距石期市镇9km，距东安县城42km，是一座以灌溉为主，兼顾防洪、养鱼等综合利用小（</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群伍水库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群伍水库于2015年注册登记，注册登记号为43112240017-A4。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属湘江水系石期河的支流，位于湖南省永州市东安县横塘镇南部，坝址座落在东安县横塘镇滑石头村境内，大坝地理位置处于东经111°19′10″，北纬26°11′38″，距离横塘镇5km，距东安县城50km，是一座以灌溉为主，兼顾防洪、养鱼等综合利用的小（</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凤江水库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凤江水库于2015年注册登记，注册登记号为43112240008-A4。该水库大坝地理位置处于东经111°25′04″，北纬26°29′23″。凤江水库属湘江水系卢洪江的支流，水库坝址以上控制流域面积为</w:t>
      </w:r>
      <w:r>
        <w:rPr>
          <w:color w:val="000000" w:themeColor="text1"/>
          <w14:textFill>
            <w14:solidFill>
              <w14:schemeClr w14:val="tx1"/>
            </w14:solidFill>
          </w14:textFill>
        </w:rPr>
        <w:t>4.76km²</w:t>
      </w:r>
      <w:r>
        <w:rPr>
          <w:rFonts w:hint="eastAsia"/>
          <w:color w:val="000000" w:themeColor="text1"/>
          <w14:textFill>
            <w14:solidFill>
              <w14:schemeClr w14:val="tx1"/>
            </w14:solidFill>
          </w14:textFill>
        </w:rPr>
        <w:t>，干流长度为</w:t>
      </w:r>
      <w:r>
        <w:rPr>
          <w:color w:val="000000" w:themeColor="text1"/>
          <w14:textFill>
            <w14:solidFill>
              <w14:schemeClr w14:val="tx1"/>
            </w14:solidFill>
          </w14:textFill>
        </w:rPr>
        <w:t>4.97km</w:t>
      </w:r>
      <w:r>
        <w:rPr>
          <w:rFonts w:hint="eastAsia"/>
          <w:color w:val="000000" w:themeColor="text1"/>
          <w14:textFill>
            <w14:solidFill>
              <w14:schemeClr w14:val="tx1"/>
            </w14:solidFill>
          </w14:textFill>
        </w:rPr>
        <w:t>，干流平均坡降为</w:t>
      </w:r>
      <w:r>
        <w:rPr>
          <w:color w:val="000000" w:themeColor="text1"/>
          <w14:textFill>
            <w14:solidFill>
              <w14:schemeClr w14:val="tx1"/>
            </w14:solidFill>
          </w14:textFill>
        </w:rPr>
        <w:t>57.31‰</w:t>
      </w:r>
      <w:r>
        <w:rPr>
          <w:rFonts w:hint="eastAsia"/>
          <w:color w:val="000000" w:themeColor="text1"/>
          <w14:textFill>
            <w14:solidFill>
              <w14:schemeClr w14:val="tx1"/>
            </w14:solidFill>
          </w14:textFill>
        </w:rPr>
        <w:t>，水库无外引，是一座以灌溉为主，兼顾防洪、养鱼等综合利用的小（1）型水利工程。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福江水库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福江水库于2015年注册登记，注册登记号为43112240009-A4。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东安县井头圩镇福江村，大坝座落在湘江一级支流芦江的次级支流南涧河上游，大坝地理位置处于东经111°24′12″，北纬26°27′48″，坝址距东安县县城26km，大坝下游3km处的福江村有简易公路与320国道及湘桂铁路相连，大坝至福江村为山间小道，交通不便，是一座以灌溉为主，兼顾防洪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飞跃水库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飞跃水库于2015年注册登记，注册登记号为43112240007-A4。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该水库位于湘江水系芦洪江支流上，地处东安芦洪市镇天子岭村，大坝地理位置处于东经111°29′31″，北纬26°38′10″，距东安县城55km。是一座以灌溉为主，兼顾防洪、养殖等综合效益的小（1）型水利工程。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新江水库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新江水库于2015年注册登记，注册登记号为43112240022-A4。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永州市东安县鹿马桥镇西北部，坝址座落在东安县鹿马桥镇长冲村境内，大坝地理位置处于东经111°22′49″，北纬26°38′08″，距离鹿马桥9km，距县城58km，是一座以灌溉为主，兼有防洪、养鱼等综合利用的小（</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群江水库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群江水库于2015年注册登记，注册登记号为43112240016-A4。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该水库位于湖南省永州市东安县鹿马桥镇毛塘村境内，大坝地理位置处于东经111°24′13″，北纬26°33′14″，距离鹿马桥3km。该枢纽工程是一座以灌溉为主，兼顾防洪、养鱼等综合利用的小（1）型水利工程。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陶江水库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陶江水库于2015年注册登记，注册登记号为43112240018-A4。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该水库位于湖南省永州市东安县鹿马桥镇陶家冲境内，大坝地理位置处于东经111°23′56″，北纬26°34′44″，距离鹿马桥镇5km。该枢纽工程是一座以灌溉为主，兼顾防洪、养鱼等综合利用的小（1）型水利工程。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天堂水库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天堂水库于2015年注册登记，注册登记号为43112240019-A4。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该水库位于湖南省永州市东安县鹿马桥镇天堂村境内，大坝地理位置处于东经111°24′34″，北纬26°32′53″，距离鹿马桥镇8km。该枢纽工程是一座以灌溉为主，兼顾防洪、养鱼等综合利用的小（1）型水利工程。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大古塘水库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大古塘水库于2015年注册登记，注册登记号为43112240003-A4。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属湘江水系石期河的支流上游，位于东安县石期市镇屈家村，大坝地理位置处于东经111°24′24″，北纬26°13′43″，距石期市镇10km，离东安县城38km。该水库是一座以灌溉为主，兼有防洪、养鱼等综合利用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超美水库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超美水库于2015年注册登记，注册登记号为43112240002-A4。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永州市东安县水岭乡东北部。属长江流域湘江支流紫水河的一级支流龙溪河，坝址座落在东安县水岭乡新铺村境内，大坝地理位置处于东经111°14′25″，北纬26°28′13″，距水岭乡9km，距县城18km。该水库是一座以灌溉为主，兼顾防洪、养鱼等综合利用的小（</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东源水库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东源水库于2015年注册登记，注册登记号为43112240001-A5。</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该水库属湘江水系一级支流紫溪河的二级支流紫江河上游，大坝地理位置处于东经111°12′22″，北纬26°29′02″，坝址位于湖南省邵阳市新宁县靖位乡源水村，距东靖公路2km，距东安县城38km， 是一座以灌溉为主，兼顾防洪保安、养鱼等综合效益的小（1）型水利工程。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白石江水库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白石江水库于2015年注册登记，注册登记号为43112240001-A4。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位于湖南省永州市东安县新圩江镇西南部，坝址座落在东安县新圩江镇白石江村境内，大坝地理位置处于东经111°21′32″，北纬26°39′25″，距新圩江镇9km，距东安县城65km。该水库是一座以灌溉为主兼有防洪、养鱼等综合利用的小（</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）型水利工程。</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群峰水库</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群峰水库于2015年注册登记，注册登记号为43112240015-A4。</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该水库属湘江水系紫溪河的支流上游，位于东安县紫溪镇龙口村。大坝地理位置处于东经111°13′37″，北纬26°21′19″，距离紫溪镇3km。距离东安县城8km。是一座以灌溉为主，兼顾防洪、养鱼等综合利用的小（1）型水利工程。</w:t>
      </w:r>
    </w:p>
    <w:p>
      <w:pPr>
        <w:pStyle w:val="58"/>
        <w:spacing w:beforeAutospacing="0" w:afterAutospacing="0" w:line="360" w:lineRule="auto"/>
      </w:pPr>
      <w:r>
        <w:br w:type="page"/>
      </w:r>
    </w:p>
    <w:p>
      <w:pPr>
        <w:pStyle w:val="3"/>
        <w:ind w:firstLine="643"/>
      </w:pPr>
      <w:bookmarkStart w:id="31" w:name="_Toc24767"/>
      <w:bookmarkStart w:id="32" w:name="_Toc29464"/>
      <w:r>
        <w:rPr>
          <w:rFonts w:hint="eastAsia"/>
        </w:rPr>
        <w:t>2</w:t>
      </w:r>
      <w:r>
        <w:t xml:space="preserve">.3 </w:t>
      </w:r>
      <w:r>
        <w:rPr>
          <w:rFonts w:hint="eastAsia"/>
        </w:rPr>
        <w:t>灌区基本信息</w:t>
      </w:r>
    </w:p>
    <w:p>
      <w:pPr>
        <w:ind w:firstLine="640"/>
      </w:pPr>
      <w:r>
        <w:rPr>
          <w:rFonts w:hint="eastAsia"/>
        </w:rPr>
        <w:t>1</w:t>
      </w:r>
      <w:r>
        <w:t>.</w:t>
      </w:r>
      <w:r>
        <w:rPr>
          <w:rFonts w:hint="eastAsia"/>
        </w:rPr>
        <w:t>金江水库灌区</w:t>
      </w:r>
    </w:p>
    <w:p>
      <w:pPr>
        <w:ind w:firstLine="640"/>
      </w:pPr>
      <w:r>
        <w:rPr>
          <w:rFonts w:hint="eastAsia"/>
        </w:rPr>
        <w:t>金江水库灌区属于东安县金江水库管理所管理。</w:t>
      </w:r>
    </w:p>
    <w:p>
      <w:pPr>
        <w:ind w:firstLine="640"/>
      </w:pPr>
      <w:r>
        <w:rPr>
          <w:rFonts w:hint="eastAsia"/>
        </w:rPr>
        <w:t>金江水库位于东安县北部鹿马桥镇以西4km，西涧水上游峡谷出口处，枢纽工程距东安县城45km，距东安县芦洪市镇23km，至永州市冷水滩城区35km。其灌溉范围主要分布在西涧水流域，地势西北高、东北低。西涧水为芦江的支流，即为湘江的二级支流。</w:t>
      </w:r>
    </w:p>
    <w:p>
      <w:pPr>
        <w:ind w:firstLine="640"/>
      </w:pPr>
      <w:r>
        <w:rPr>
          <w:rFonts w:hint="eastAsia"/>
        </w:rPr>
        <w:t>骨干水源工程为金江水库枢纽工程，坝址控制集雨面积</w:t>
      </w:r>
      <w:r>
        <w:t>102km²</w:t>
      </w:r>
      <w:r>
        <w:rPr>
          <w:rFonts w:hint="eastAsia"/>
        </w:rPr>
        <w:t>，多年平均径流量</w:t>
      </w:r>
      <w:r>
        <w:t>1.96m3/s</w:t>
      </w:r>
      <w:r>
        <w:rPr>
          <w:rFonts w:hint="eastAsia"/>
        </w:rPr>
        <w:t>。是一座以灌溉为主，兼以防洪、发电、养鱼等综合效益的中型水利工程。</w:t>
      </w:r>
    </w:p>
    <w:p>
      <w:pPr>
        <w:ind w:firstLine="640"/>
      </w:pPr>
      <w:r>
        <w:rPr>
          <w:rFonts w:hint="eastAsia"/>
        </w:rPr>
        <w:t>灌区工程由骨干水源工程、渠道及其附属建筑物工程和基础水利设施三大部分组成。</w:t>
      </w:r>
    </w:p>
    <w:p>
      <w:pPr>
        <w:ind w:firstLine="640"/>
      </w:pPr>
      <w:r>
        <w:rPr>
          <w:rFonts w:hint="eastAsia"/>
        </w:rPr>
        <w:t>金江水库枢纽工程于1958 年动工，当年建成，1959 年至1965年进行灌区配套工程。区内耕地面积9.19万亩，自流条件较好。灌区内土地肥沃，适宜种植双季水稻。设计灌溉面积8.004万亩，实际灌溉面积5.168万余亩，灌区总人口10.2万余人。</w:t>
      </w:r>
    </w:p>
    <w:p>
      <w:pPr>
        <w:pStyle w:val="3"/>
        <w:ind w:firstLine="643"/>
      </w:pPr>
      <w:r>
        <w:rPr>
          <w:rFonts w:hint="eastAsia"/>
        </w:rPr>
        <w:t>2</w:t>
      </w:r>
      <w:r>
        <w:t xml:space="preserve">.4 </w:t>
      </w:r>
      <w:r>
        <w:rPr>
          <w:rFonts w:hint="eastAsia"/>
        </w:rPr>
        <w:t>水闸基本信息</w:t>
      </w:r>
    </w:p>
    <w:p>
      <w:pPr>
        <w:ind w:firstLine="640"/>
      </w:pPr>
      <w:r>
        <w:rPr>
          <w:rFonts w:hint="eastAsia"/>
        </w:rPr>
        <w:t>1</w:t>
      </w:r>
      <w:r>
        <w:t>.</w:t>
      </w:r>
      <w:r>
        <w:rPr>
          <w:rFonts w:hint="eastAsia"/>
        </w:rPr>
        <w:t>扬江河坝水闸</w:t>
      </w:r>
    </w:p>
    <w:p>
      <w:pPr>
        <w:ind w:firstLine="640"/>
      </w:pPr>
      <w:r>
        <w:rPr>
          <w:rFonts w:hint="eastAsia"/>
        </w:rPr>
        <w:t>扬江河坝水闸属于东安县扬江河坝管理所管理。</w:t>
      </w:r>
    </w:p>
    <w:p>
      <w:pPr>
        <w:ind w:firstLine="640"/>
      </w:pPr>
      <w:r>
        <w:rPr>
          <w:rFonts w:hint="eastAsia"/>
        </w:rPr>
        <w:t>扬江河水闸位于东安县大庙口境内，距东安县城35km。是湘江一级支流紫水扬江上游的中型水闸，是一座以灌溉为主，兼顾防洪、发电等综合利用的水利工程。</w:t>
      </w:r>
    </w:p>
    <w:p>
      <w:pPr>
        <w:ind w:firstLine="640"/>
      </w:pPr>
      <w:r>
        <w:rPr>
          <w:rFonts w:hint="eastAsia"/>
        </w:rPr>
        <w:t>2</w:t>
      </w:r>
      <w:r>
        <w:t>.</w:t>
      </w:r>
      <w:r>
        <w:rPr>
          <w:rFonts w:hint="eastAsia"/>
        </w:rPr>
        <w:t>紫江河坝水闸</w:t>
      </w:r>
    </w:p>
    <w:p>
      <w:pPr>
        <w:ind w:firstLine="640"/>
      </w:pPr>
      <w:r>
        <w:rPr>
          <w:rFonts w:hint="eastAsia"/>
        </w:rPr>
        <w:t>紫江河坝水闸属于东安县紫江河坝管理所管理。</w:t>
      </w:r>
    </w:p>
    <w:p>
      <w:pPr>
        <w:ind w:firstLine="640"/>
      </w:pPr>
      <w:r>
        <w:rPr>
          <w:rFonts w:hint="eastAsia"/>
        </w:rPr>
        <w:t>紫江河坝水闸位于东安县县城北偏西42°的新宁县靖位乡笑岩村樟木塘，距东安县城21km，有乡村公路直达闸址。紫江河水闸属于湘江流域二级支流紫江河上游，是一座灌溉为主，兼顾防洪、发电、养殖等综合效益的水利工程。</w:t>
      </w:r>
    </w:p>
    <w:p>
      <w:pPr>
        <w:pStyle w:val="3"/>
        <w:ind w:firstLine="643"/>
      </w:pPr>
      <w:r>
        <w:rPr>
          <w:rFonts w:hint="eastAsia"/>
        </w:rPr>
        <w:t>2</w:t>
      </w:r>
      <w:r>
        <w:t xml:space="preserve">.5 </w:t>
      </w:r>
      <w:r>
        <w:rPr>
          <w:rFonts w:hint="eastAsia"/>
        </w:rPr>
        <w:t>泵站基本信息</w:t>
      </w:r>
    </w:p>
    <w:p>
      <w:pPr>
        <w:ind w:firstLine="640"/>
      </w:pPr>
      <w:r>
        <w:rPr>
          <w:rFonts w:hint="eastAsia"/>
        </w:rPr>
        <w:t>1</w:t>
      </w:r>
      <w:r>
        <w:t>.</w:t>
      </w:r>
      <w:r>
        <w:rPr>
          <w:rFonts w:hint="eastAsia"/>
        </w:rPr>
        <w:t>湘江水轮泵站</w:t>
      </w:r>
    </w:p>
    <w:p>
      <w:pPr>
        <w:ind w:firstLine="640"/>
      </w:pPr>
      <w:r>
        <w:rPr>
          <w:rFonts w:hint="eastAsia"/>
        </w:rPr>
        <w:t>湘江水轮泵站位于东安县台凡市的羊角坪村，建于1965年11月，1972年7月竣工，利用原湘江河段截弯取直取得6米水头，开凿1320米引水渠（其中隧洞220米），装有7台BS60—6型水轮泵，设计提水流量0.52立方米/秒（其中高干渠0.39立方米/秒，低灌区0.13立方米/秒），灌溉石期市镇、大江口乡9个村81个组1.1万亩农田。</w:t>
      </w:r>
    </w:p>
    <w:p>
      <w:pPr>
        <w:ind w:firstLine="640"/>
      </w:pPr>
      <w:r>
        <w:rPr>
          <w:rFonts w:hint="eastAsia"/>
        </w:rPr>
        <w:t>2</w:t>
      </w:r>
      <w:r>
        <w:t>.</w:t>
      </w:r>
      <w:r>
        <w:rPr>
          <w:rFonts w:hint="eastAsia"/>
        </w:rPr>
        <w:t>国营东安县石期市机电排灌站</w:t>
      </w:r>
    </w:p>
    <w:p>
      <w:pPr>
        <w:ind w:firstLine="640"/>
      </w:pPr>
      <w:r>
        <w:rPr>
          <w:rFonts w:hint="eastAsia"/>
        </w:rPr>
        <w:t>东安县石期市泵站位于湘江上游，座落在东安县石期市镇，距东安县城、永州市各26公里。石期市地处湘江、紫水、石期河的汇合处，属丘陵地区，地形较平坦，土质肥沃，全镇有耕地面积7.35万亩，占全县总耕地面积的13.8%。1963年石期市泵站第一期电灌工程在湘江、紫水、石期市河沿两岸动工兴建，1964年建成全面受益。全站共建电灌机埠9处11台1080千瓦，设机灌溉面积3.64万亩。</w:t>
      </w:r>
    </w:p>
    <w:p>
      <w:pPr>
        <w:ind w:firstLine="640"/>
      </w:pPr>
      <w:r>
        <w:rPr>
          <w:rFonts w:hint="eastAsia"/>
        </w:rPr>
        <w:t>国营东安县石期石机电排灌站9处机埠分别为：毛竹山机埠、大江口机埠、宾仙岭机埠、岭仔头机埠、小坪机埠、梅溪庙机埠、马家岭机埠、石期市机埠和冒河岭机埠。</w:t>
      </w:r>
    </w:p>
    <w:p>
      <w:pPr>
        <w:ind w:firstLine="640"/>
      </w:pPr>
      <w:r>
        <w:rPr>
          <w:rFonts w:hint="eastAsia"/>
        </w:rPr>
        <w:t>3</w:t>
      </w:r>
      <w:r>
        <w:t>.</w:t>
      </w:r>
      <w:r>
        <w:rPr>
          <w:rFonts w:hint="eastAsia"/>
        </w:rPr>
        <w:t>芦洪市机电排灌站</w:t>
      </w:r>
    </w:p>
    <w:p>
      <w:pPr>
        <w:ind w:firstLine="640"/>
      </w:pPr>
      <w:r>
        <w:rPr>
          <w:rFonts w:hint="eastAsia"/>
        </w:rPr>
        <w:t>芦洪市机电排灌站，座落在东安县芦洪市镇内，距东安县城各25公里。芦洪市属丘陵地区，地形较平坦，土质肥沃。全站共建电灌机埠</w:t>
      </w:r>
      <w:r>
        <w:t>8</w:t>
      </w:r>
      <w:r>
        <w:rPr>
          <w:rFonts w:hint="eastAsia"/>
        </w:rPr>
        <w:t>处。</w:t>
      </w:r>
    </w:p>
    <w:p>
      <w:pPr>
        <w:ind w:firstLine="640"/>
      </w:pPr>
      <w:r>
        <w:rPr>
          <w:rFonts w:hint="eastAsia"/>
        </w:rPr>
        <w:t>芦洪市机电排灌站</w:t>
      </w:r>
      <w:r>
        <w:t>8</w:t>
      </w:r>
      <w:r>
        <w:rPr>
          <w:rFonts w:hint="eastAsia"/>
        </w:rPr>
        <w:t>处机埠电排分别为：罗群电排、红旗二级电排、红旗一级电排、新坝机埠、洲江电排、塘尾（苏家）电排、谭江（八家）电排和大刘机机埠。</w:t>
      </w:r>
    </w:p>
    <w:p>
      <w:pPr>
        <w:pStyle w:val="2"/>
      </w:pPr>
      <w:r>
        <w:rPr>
          <w:rFonts w:hint="eastAsia"/>
        </w:rPr>
        <w:t>3</w:t>
      </w:r>
      <w:r>
        <w:t xml:space="preserve"> 管理与保护范围线标绘</w:t>
      </w:r>
      <w:bookmarkEnd w:id="31"/>
      <w:bookmarkEnd w:id="32"/>
    </w:p>
    <w:p>
      <w:pPr>
        <w:pStyle w:val="3"/>
        <w:ind w:firstLine="643"/>
      </w:pPr>
      <w:bookmarkStart w:id="33" w:name="_Toc12883"/>
      <w:bookmarkStart w:id="34" w:name="_Toc9485"/>
      <w:r>
        <w:rPr>
          <w:rFonts w:hint="eastAsia"/>
        </w:rPr>
        <w:t>3</w:t>
      </w:r>
      <w:r>
        <w:t>.1 库区设计洪水位线分析计算</w:t>
      </w:r>
      <w:bookmarkEnd w:id="33"/>
      <w:bookmarkEnd w:id="34"/>
    </w:p>
    <w:p>
      <w:pPr>
        <w:pStyle w:val="4"/>
        <w:ind w:firstLine="640"/>
      </w:pPr>
      <w:bookmarkStart w:id="35" w:name="_Toc1536"/>
      <w:bookmarkStart w:id="36" w:name="_Toc60738505"/>
      <w:r>
        <w:rPr>
          <w:rFonts w:hint="eastAsia"/>
        </w:rPr>
        <w:t>3</w:t>
      </w:r>
      <w:r>
        <w:t>.1.1</w:t>
      </w:r>
      <w:r>
        <w:rPr>
          <w:rFonts w:hint="eastAsia"/>
        </w:rPr>
        <w:t xml:space="preserve"> 规程与依据</w:t>
      </w:r>
      <w:bookmarkEnd w:id="35"/>
      <w:bookmarkEnd w:id="36"/>
    </w:p>
    <w:p>
      <w:pPr>
        <w:ind w:firstLine="640"/>
      </w:pPr>
      <w:r>
        <w:rPr>
          <w:rFonts w:hint="eastAsia"/>
        </w:rPr>
        <w:t>（1）《湖南省实施&lt;中华人民共和国水法</w:t>
      </w:r>
      <w:r>
        <w:t>&gt;</w:t>
      </w:r>
      <w:r>
        <w:rPr>
          <w:rFonts w:hint="eastAsia"/>
        </w:rPr>
        <w:t>办法》（2</w:t>
      </w:r>
      <w:r>
        <w:t>012</w:t>
      </w:r>
      <w:r>
        <w:rPr>
          <w:rFonts w:hint="eastAsia"/>
        </w:rPr>
        <w:t>年修订）第三章第十六条对国家所有的水库工程管理与保护范围划定进行了规定：“水库库区设计洪水位线以下（包括库内岛屿），大坝背水坡脚向外水平延伸</w:t>
      </w:r>
      <w:r>
        <w:t>30至200米，大坝两端山坡自开挖线起顺坡向外延伸50至100米（到达分水岭不足50米的至分水岭上），溢洪道两端自山坡开挖线起顺坡向外延伸10至20米为管理范围。库区管理范围边缘向外延伸20至100米为保护范围；大坝、溢洪道保护范围根据坝型、坝高及坝基情况划定</w:t>
      </w:r>
      <w:r>
        <w:rPr>
          <w:rFonts w:hint="eastAsia"/>
        </w:rPr>
        <w:t>”。</w:t>
      </w:r>
    </w:p>
    <w:p>
      <w:pPr>
        <w:ind w:firstLine="640"/>
      </w:pPr>
      <w:r>
        <w:rPr>
          <w:rFonts w:hint="eastAsia"/>
        </w:rPr>
        <w:t>（2）《水库工程管理设计规范》（S</w:t>
      </w:r>
      <w:r>
        <w:t>L 106-2017</w:t>
      </w:r>
      <w:r>
        <w:rPr>
          <w:rFonts w:hint="eastAsia"/>
        </w:rPr>
        <w:t>）第3章工程管理与保护范围：“3</w:t>
      </w:r>
      <w:r>
        <w:t xml:space="preserve">.0.3 </w:t>
      </w:r>
      <w:r>
        <w:rPr>
          <w:rFonts w:hint="eastAsia"/>
        </w:rPr>
        <w:t>工程区管理范围应包括大坝、溢洪道、输水道等建（构）筑物周围的管理范围和水库土地征用线以内的库区”、“工程管理范围的寺应与工程建设征地一并征用，并办理确权发证手续，工程验收后移交水库管理单位”。</w:t>
      </w:r>
    </w:p>
    <w:p>
      <w:pPr>
        <w:ind w:firstLine="640"/>
      </w:pPr>
      <w:r>
        <w:rPr>
          <w:rFonts w:hint="eastAsia"/>
        </w:rPr>
        <w:t>（3）《中</w:t>
      </w:r>
      <w:r>
        <w:rPr>
          <w:rFonts w:hint="eastAsia"/>
          <w:lang w:eastAsia="zh-CN"/>
        </w:rPr>
        <w:t>华</w:t>
      </w:r>
      <w:bookmarkStart w:id="57" w:name="_GoBack"/>
      <w:bookmarkEnd w:id="57"/>
      <w:r>
        <w:rPr>
          <w:rFonts w:hint="eastAsia"/>
        </w:rPr>
        <w:t>人民共和国水法》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w:t>
      </w:r>
    </w:p>
    <w:p>
      <w:pPr>
        <w:ind w:firstLine="640"/>
      </w:pPr>
      <w:r>
        <w:rPr>
          <w:rFonts w:hint="eastAsia"/>
        </w:rPr>
        <w:t>（4）《湖南省水利水电工程管理办法》第十一条：“在水利水电工程保护范围内进行建设，应符合水利水电工程安全的要求，设计方案经水利水电部门审核同意后，按基本建设程序报批。影响城市防洪安全或水陆交通安全的，要同时取得城建部门或交通部门同意。工程建设单位应按批准的设计施工，保证按时竣工。建设工程确需阻断或损坏排灌沟渠、涵闸、渡槽、管道、堤、坝、桥渠等水利水电工程的，建设单位必须事先报经水利水电工程的主管部门批准，凡对原有工程有不利影响的，建设单位应采取补救措施或者予以补偿。”</w:t>
      </w:r>
    </w:p>
    <w:p>
      <w:pPr>
        <w:pStyle w:val="4"/>
        <w:ind w:firstLine="640"/>
      </w:pPr>
      <w:bookmarkStart w:id="37" w:name="_Toc60738506"/>
      <w:bookmarkStart w:id="38" w:name="_Toc11625"/>
      <w:r>
        <w:rPr>
          <w:rFonts w:hint="eastAsia"/>
        </w:rPr>
        <w:t>3</w:t>
      </w:r>
      <w:r>
        <w:t>.1.2</w:t>
      </w:r>
      <w:r>
        <w:rPr>
          <w:rFonts w:hint="eastAsia"/>
        </w:rPr>
        <w:t xml:space="preserve"> 水库的设计洪水位线</w:t>
      </w:r>
      <w:bookmarkEnd w:id="37"/>
      <w:bookmarkEnd w:id="38"/>
    </w:p>
    <w:p>
      <w:pPr>
        <w:ind w:firstLine="640"/>
      </w:pPr>
      <w:r>
        <w:rPr>
          <w:rFonts w:hint="eastAsia"/>
        </w:rPr>
        <w:t>水库库区设计洪水位线一般是指水库库区淹没对象设计洪水标准相对应的水位线。依据收集的水库注册登记资料，及实测坝顶、堰顶高程，确定各水库最终设计洪水位，</w:t>
      </w:r>
      <w:r>
        <w:rPr>
          <w:rFonts w:hint="eastAsia" w:cs="Times New Roman"/>
          <w:color w:val="000000" w:themeColor="text1"/>
          <w14:textFill>
            <w14:solidFill>
              <w14:schemeClr w14:val="tx1"/>
            </w14:solidFill>
          </w14:textFill>
        </w:rPr>
        <w:t>按省水利厅（LXD-2020-027）号工作联系单要求，</w:t>
      </w:r>
      <w:r>
        <w:rPr>
          <w:rFonts w:hint="eastAsia"/>
        </w:rPr>
        <w:t>各水库最终设计洪水位确定总体按照以下原则：</w:t>
      </w:r>
    </w:p>
    <w:p>
      <w:pPr>
        <w:ind w:firstLine="640"/>
      </w:pPr>
      <w:r>
        <w:rPr>
          <w:rFonts w:hint="eastAsia"/>
        </w:rPr>
        <w:t>（1）大中型水库管理与保护范围按省水文中心提供的库区设计洪水位成果划定；</w:t>
      </w:r>
    </w:p>
    <w:p>
      <w:pPr>
        <w:ind w:firstLine="640"/>
      </w:pPr>
      <w:r>
        <w:rPr>
          <w:rFonts w:hint="eastAsia"/>
        </w:rPr>
        <w:t>（2）小（1）型水库采用二十年一遇设计洪水位，无二十年一遇设计洪水位取正常蓄水位+1米作为库区设计洪水位。</w:t>
      </w:r>
    </w:p>
    <w:p>
      <w:pPr>
        <w:pStyle w:val="3"/>
        <w:ind w:firstLine="643"/>
      </w:pPr>
      <w:bookmarkStart w:id="39" w:name="_Toc27920"/>
      <w:bookmarkStart w:id="40" w:name="_Toc30425"/>
      <w:r>
        <w:rPr>
          <w:rFonts w:hint="eastAsia"/>
        </w:rPr>
        <w:t>3.2</w:t>
      </w:r>
      <w:r>
        <w:t xml:space="preserve"> 管理</w:t>
      </w:r>
      <w:r>
        <w:rPr>
          <w:rFonts w:hint="eastAsia"/>
        </w:rPr>
        <w:t>与保护</w:t>
      </w:r>
      <w:r>
        <w:t>范围线标绘</w:t>
      </w:r>
      <w:bookmarkEnd w:id="39"/>
      <w:bookmarkEnd w:id="40"/>
    </w:p>
    <w:p>
      <w:pPr>
        <w:ind w:firstLine="640"/>
      </w:pPr>
      <w:r>
        <w:rPr>
          <w:rFonts w:hint="eastAsia"/>
        </w:rPr>
        <w:t>依据《湖南省水利工程管理与保护范围划界技术指南（试行）》规定的划界标准，在绘制好的管理范围线上布设电子桩、电子告示牌，完成水利工程管理范围的图上标绘。</w:t>
      </w:r>
    </w:p>
    <w:p>
      <w:pPr>
        <w:pStyle w:val="4"/>
        <w:ind w:firstLine="640"/>
      </w:pPr>
      <w:bookmarkStart w:id="41" w:name="_Toc9325"/>
      <w:bookmarkStart w:id="42" w:name="_Toc60738509"/>
      <w:r>
        <w:rPr>
          <w:rFonts w:hint="eastAsia"/>
        </w:rPr>
        <w:t>3</w:t>
      </w:r>
      <w:r>
        <w:t>.</w:t>
      </w:r>
      <w:r>
        <w:rPr>
          <w:rFonts w:hint="eastAsia"/>
        </w:rPr>
        <w:t>2</w:t>
      </w:r>
      <w:r>
        <w:t xml:space="preserve">.1 </w:t>
      </w:r>
      <w:r>
        <w:rPr>
          <w:rFonts w:hint="eastAsia"/>
        </w:rPr>
        <w:t>水库</w:t>
      </w:r>
      <w:bookmarkEnd w:id="41"/>
      <w:bookmarkEnd w:id="42"/>
    </w:p>
    <w:p>
      <w:pPr>
        <w:ind w:firstLine="640"/>
      </w:pPr>
      <w:r>
        <w:t>《湖南省水利工程管理与保护范围划界工作指南</w:t>
      </w:r>
      <w:r>
        <w:rPr>
          <w:rFonts w:hint="eastAsia"/>
        </w:rPr>
        <w:t>（试行）</w:t>
      </w:r>
      <w:r>
        <w:t>》</w:t>
      </w:r>
      <w:r>
        <w:rPr>
          <w:rFonts w:hint="eastAsia"/>
        </w:rPr>
        <w:t>对水库管理范围的划定做出了如下规定：</w:t>
      </w:r>
    </w:p>
    <w:p>
      <w:pPr>
        <w:ind w:firstLine="640"/>
      </w:pPr>
      <w:r>
        <w:rPr>
          <w:rFonts w:hint="eastAsia"/>
        </w:rPr>
        <w:t>3</w:t>
      </w:r>
      <w:r>
        <w:t>.2.1.1</w:t>
      </w:r>
      <w:r>
        <w:rPr>
          <w:rFonts w:hint="eastAsia"/>
        </w:rPr>
        <w:t>管理范围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（1）水库管理范围分为工程区管理范围和</w:t>
      </w:r>
      <w:r>
        <w:rPr>
          <w:rFonts w:hint="eastAsia" w:cs="Times New Roman"/>
          <w:color w:val="000000" w:themeColor="text1"/>
          <w14:textFill>
            <w14:solidFill>
              <w14:schemeClr w14:val="tx1"/>
            </w14:solidFill>
          </w14:textFill>
        </w:rPr>
        <w:t>运行管理区</w:t>
      </w:r>
      <w:r>
        <w:rPr>
          <w:rFonts w:cs="Times New Roman"/>
          <w:color w:val="000000" w:themeColor="text1"/>
          <w14:textFill>
            <w14:solidFill>
              <w14:schemeClr w14:val="tx1"/>
            </w14:solidFill>
          </w14:textFill>
        </w:rPr>
        <w:t>管理范围。其中工程区管理范围是指库区、大坝（含副坝）、溢洪道（含非常溢洪道），以及输水建筑物等的管理范围，</w:t>
      </w:r>
      <w:r>
        <w:rPr>
          <w:rFonts w:hint="eastAsia" w:cs="Times New Roman"/>
          <w:color w:val="000000" w:themeColor="text1"/>
          <w14:textFill>
            <w14:solidFill>
              <w14:schemeClr w14:val="tx1"/>
            </w14:solidFill>
          </w14:textFill>
        </w:rPr>
        <w:t>运行管理区</w:t>
      </w:r>
      <w:r>
        <w:rPr>
          <w:rFonts w:cs="Times New Roman"/>
          <w:color w:val="000000" w:themeColor="text1"/>
          <w14:textFill>
            <w14:solidFill>
              <w14:schemeClr w14:val="tx1"/>
            </w14:solidFill>
          </w14:textFill>
        </w:rPr>
        <w:t>管理范围是指办公室、会议室、资料档案室、仓库、防汛调度室、值班室、车库、食堂、值班宿舍及其他附属设施等建（构）筑物的管理范围。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水库库区设计洪水位线以下（包括库内岛屿），大坝背水坡脚向外水平延伸30～200m，大坝两端山坡自开挖线起顺坡向外延伸50～100m（到达分水岭不足50m的至分水岭上），溢洪道两端自山坡开挖线（也称工程两侧轮廓线）起顺坡向外延伸10～20m、末端至消力池以下100～300m，输水隧洞进出口建筑物和竖井外缘线以外10～30m为工程区管理范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根据水库管理的实际需要，不同规模水库的工程区管理范围可依照表3.2.1.1-1控制。</w:t>
      </w:r>
    </w:p>
    <w:p>
      <w:pPr>
        <w:widowControl/>
        <w:spacing w:line="240" w:lineRule="auto"/>
        <w:ind w:firstLine="422"/>
        <w:jc w:val="center"/>
        <w:rPr>
          <w:b/>
          <w:sz w:val="21"/>
          <w:szCs w:val="21"/>
        </w:rPr>
      </w:pPr>
      <w:r>
        <w:rPr>
          <w:b/>
          <w:sz w:val="21"/>
          <w:szCs w:val="21"/>
        </w:rPr>
        <w:t>表3.2.1.1-1水库工程区管理范围</w:t>
      </w:r>
    </w:p>
    <w:tbl>
      <w:tblPr>
        <w:tblStyle w:val="16"/>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382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02" w:type="dxa"/>
            <w:vAlign w:val="center"/>
          </w:tcPr>
          <w:p>
            <w:pPr>
              <w:pStyle w:val="89"/>
              <w:ind w:firstLine="420"/>
              <w:rPr>
                <w:sz w:val="21"/>
                <w:szCs w:val="21"/>
              </w:rPr>
            </w:pPr>
            <w:r>
              <w:rPr>
                <w:sz w:val="21"/>
                <w:szCs w:val="21"/>
              </w:rPr>
              <w:t>工程区域</w:t>
            </w:r>
          </w:p>
        </w:tc>
        <w:tc>
          <w:tcPr>
            <w:tcW w:w="3828" w:type="dxa"/>
            <w:vAlign w:val="center"/>
          </w:tcPr>
          <w:p>
            <w:pPr>
              <w:pStyle w:val="89"/>
              <w:ind w:firstLine="420"/>
              <w:rPr>
                <w:sz w:val="21"/>
                <w:szCs w:val="21"/>
              </w:rPr>
            </w:pPr>
            <w:r>
              <w:rPr>
                <w:sz w:val="21"/>
                <w:szCs w:val="21"/>
              </w:rPr>
              <w:t>下游</w:t>
            </w:r>
          </w:p>
        </w:tc>
        <w:tc>
          <w:tcPr>
            <w:tcW w:w="2917" w:type="dxa"/>
            <w:vAlign w:val="center"/>
          </w:tcPr>
          <w:p>
            <w:pPr>
              <w:pStyle w:val="89"/>
              <w:ind w:firstLine="420"/>
              <w:rPr>
                <w:sz w:val="21"/>
                <w:szCs w:val="21"/>
              </w:rPr>
            </w:pPr>
            <w:r>
              <w:rPr>
                <w:sz w:val="21"/>
                <w:szCs w:val="21"/>
              </w:rPr>
              <w:t>左右岸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02" w:type="dxa"/>
            <w:vAlign w:val="center"/>
          </w:tcPr>
          <w:p>
            <w:pPr>
              <w:pStyle w:val="91"/>
              <w:ind w:firstLine="420"/>
              <w:rPr>
                <w:sz w:val="21"/>
                <w:szCs w:val="21"/>
              </w:rPr>
            </w:pPr>
            <w:r>
              <w:rPr>
                <w:sz w:val="21"/>
                <w:szCs w:val="21"/>
              </w:rPr>
              <w:t>大型水库大坝</w:t>
            </w:r>
          </w:p>
        </w:tc>
        <w:tc>
          <w:tcPr>
            <w:tcW w:w="3828" w:type="dxa"/>
            <w:vAlign w:val="center"/>
          </w:tcPr>
          <w:p>
            <w:pPr>
              <w:pStyle w:val="91"/>
              <w:ind w:firstLine="420"/>
              <w:rPr>
                <w:sz w:val="21"/>
                <w:szCs w:val="21"/>
              </w:rPr>
            </w:pPr>
            <w:r>
              <w:rPr>
                <w:sz w:val="21"/>
                <w:szCs w:val="21"/>
              </w:rPr>
              <w:t>从坝脚线向下游100~200m</w:t>
            </w:r>
          </w:p>
        </w:tc>
        <w:tc>
          <w:tcPr>
            <w:tcW w:w="2917" w:type="dxa"/>
            <w:vMerge w:val="restart"/>
            <w:vAlign w:val="center"/>
          </w:tcPr>
          <w:p>
            <w:pPr>
              <w:pStyle w:val="91"/>
              <w:ind w:firstLine="420"/>
              <w:rPr>
                <w:sz w:val="21"/>
                <w:szCs w:val="21"/>
              </w:rPr>
            </w:pPr>
            <w:r>
              <w:rPr>
                <w:sz w:val="21"/>
                <w:szCs w:val="21"/>
              </w:rPr>
              <w:t>从坝端开挖线外延50~100m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02" w:type="dxa"/>
            <w:vAlign w:val="center"/>
          </w:tcPr>
          <w:p>
            <w:pPr>
              <w:pStyle w:val="91"/>
              <w:ind w:firstLine="420"/>
              <w:rPr>
                <w:sz w:val="21"/>
                <w:szCs w:val="21"/>
              </w:rPr>
            </w:pPr>
            <w:r>
              <w:rPr>
                <w:sz w:val="21"/>
                <w:szCs w:val="21"/>
              </w:rPr>
              <w:t>中型水库大坝</w:t>
            </w:r>
          </w:p>
        </w:tc>
        <w:tc>
          <w:tcPr>
            <w:tcW w:w="3828" w:type="dxa"/>
            <w:vAlign w:val="center"/>
          </w:tcPr>
          <w:p>
            <w:pPr>
              <w:pStyle w:val="91"/>
              <w:ind w:firstLine="420"/>
              <w:rPr>
                <w:sz w:val="21"/>
                <w:szCs w:val="21"/>
              </w:rPr>
            </w:pPr>
            <w:r>
              <w:rPr>
                <w:sz w:val="21"/>
                <w:szCs w:val="21"/>
              </w:rPr>
              <w:t>从坝脚线向下游50~100m</w:t>
            </w:r>
          </w:p>
        </w:tc>
        <w:tc>
          <w:tcPr>
            <w:tcW w:w="2917" w:type="dxa"/>
            <w:vMerge w:val="continue"/>
            <w:vAlign w:val="center"/>
          </w:tcPr>
          <w:p>
            <w:pPr>
              <w:pStyle w:val="91"/>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02" w:type="dxa"/>
            <w:vAlign w:val="center"/>
          </w:tcPr>
          <w:p>
            <w:pPr>
              <w:pStyle w:val="91"/>
              <w:ind w:firstLine="420"/>
              <w:rPr>
                <w:sz w:val="21"/>
                <w:szCs w:val="21"/>
              </w:rPr>
            </w:pPr>
            <w:r>
              <w:rPr>
                <w:sz w:val="21"/>
                <w:szCs w:val="21"/>
              </w:rPr>
              <w:t>小型水库大坝</w:t>
            </w:r>
          </w:p>
        </w:tc>
        <w:tc>
          <w:tcPr>
            <w:tcW w:w="3828" w:type="dxa"/>
            <w:vAlign w:val="center"/>
          </w:tcPr>
          <w:p>
            <w:pPr>
              <w:pStyle w:val="91"/>
              <w:ind w:firstLine="420"/>
              <w:rPr>
                <w:sz w:val="21"/>
                <w:szCs w:val="21"/>
              </w:rPr>
            </w:pPr>
            <w:r>
              <w:rPr>
                <w:sz w:val="21"/>
                <w:szCs w:val="21"/>
              </w:rPr>
              <w:t>从坝脚线向下游30~50m</w:t>
            </w:r>
          </w:p>
        </w:tc>
        <w:tc>
          <w:tcPr>
            <w:tcW w:w="2917" w:type="dxa"/>
            <w:vMerge w:val="continue"/>
            <w:vAlign w:val="center"/>
          </w:tcPr>
          <w:p>
            <w:pPr>
              <w:pStyle w:val="91"/>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02" w:type="dxa"/>
            <w:vAlign w:val="center"/>
          </w:tcPr>
          <w:p>
            <w:pPr>
              <w:pStyle w:val="91"/>
              <w:ind w:firstLine="420"/>
              <w:rPr>
                <w:sz w:val="21"/>
                <w:szCs w:val="21"/>
              </w:rPr>
            </w:pPr>
            <w:r>
              <w:rPr>
                <w:sz w:val="21"/>
                <w:szCs w:val="21"/>
              </w:rPr>
              <w:t>其他建筑物</w:t>
            </w:r>
          </w:p>
        </w:tc>
        <w:tc>
          <w:tcPr>
            <w:tcW w:w="6745" w:type="dxa"/>
            <w:gridSpan w:val="2"/>
            <w:vAlign w:val="center"/>
          </w:tcPr>
          <w:p>
            <w:pPr>
              <w:pStyle w:val="91"/>
              <w:ind w:firstLine="420"/>
              <w:rPr>
                <w:sz w:val="21"/>
                <w:szCs w:val="21"/>
              </w:rPr>
            </w:pPr>
            <w:r>
              <w:rPr>
                <w:sz w:val="21"/>
                <w:szCs w:val="21"/>
              </w:rPr>
              <w:t>由工程外轮廓线向外：大中型30~50m、小型10~30m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747" w:type="dxa"/>
            <w:gridSpan w:val="3"/>
            <w:vAlign w:val="center"/>
          </w:tcPr>
          <w:p>
            <w:pPr>
              <w:pStyle w:val="91"/>
              <w:ind w:firstLine="420"/>
              <w:jc w:val="both"/>
              <w:rPr>
                <w:sz w:val="21"/>
                <w:szCs w:val="21"/>
              </w:rPr>
            </w:pPr>
            <w:r>
              <w:rPr>
                <w:sz w:val="21"/>
                <w:szCs w:val="21"/>
              </w:rPr>
              <w:t>注1：大坝下游和左右岸管理范围端线应与库区管理范围线相衔接。</w:t>
            </w:r>
          </w:p>
          <w:p>
            <w:pPr>
              <w:pStyle w:val="91"/>
              <w:ind w:firstLine="420"/>
              <w:jc w:val="both"/>
            </w:pPr>
            <w:r>
              <w:rPr>
                <w:sz w:val="21"/>
                <w:szCs w:val="21"/>
              </w:rPr>
              <w:t>注2：输水隧洞岩层（土层）厚度、岩性和生产活动对生产安全无影响时，可不划定其上部地面管理范围。</w:t>
            </w:r>
          </w:p>
        </w:tc>
      </w:tr>
    </w:tbl>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水库库区设计洪水位线一般是指水库库区淹没对象设计洪水标准相对应的水位线。对于四水干流及主要支流上的电站水库，若库区设计洪水位与正常蓄水位之间有较多村庄、城镇或居民点的，可按以下原则处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1）工程设计阶段有批复的淹没对象设计洪水回水位成果，本阶段宜先按设计洪水回水位成果初步划定管理范围。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2）工程设计阶段没有批复的淹没对象设计洪水回水位成果，应先论证设计洪水回水位成果，并经有管理权限的水行政主管部门批准，然后采用批准后的设计洪水回水位成果划定水库工程的管理与保护范围。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3）条件成熟时，宜逐步达到《湖南省实施＜中华人民共和国水法＞办法》的划界标准。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4）已完成土地征用的，若土地征用线低于设计洪水位，应按照设计洪水位划定管理范围；若土地征用线高于设计洪水位，可按照土地征用线划定管理范围。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5）已由县级以上人民政府依法划定的划界成果，可以直接采用。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6）</w:t>
      </w:r>
      <w:r>
        <w:rPr>
          <w:rFonts w:hint="eastAsia" w:cs="Times New Roman"/>
          <w:color w:val="000000" w:themeColor="text1"/>
          <w14:textFill>
            <w14:solidFill>
              <w14:schemeClr w14:val="tx1"/>
            </w14:solidFill>
          </w14:textFill>
        </w:rPr>
        <w:t>运行管理区</w:t>
      </w:r>
      <w:r>
        <w:rPr>
          <w:rFonts w:cs="Times New Roman"/>
          <w:color w:val="000000" w:themeColor="text1"/>
          <w14:textFill>
            <w14:solidFill>
              <w14:schemeClr w14:val="tx1"/>
            </w14:solidFill>
          </w14:textFill>
        </w:rPr>
        <w:t>按其征地范围线或围墙外边线划定管理范围。</w:t>
      </w:r>
    </w:p>
    <w:p>
      <w:pPr>
        <w:ind w:firstLine="640"/>
      </w:pPr>
      <w:r>
        <w:t>3.2.1.2</w:t>
      </w:r>
      <w:r>
        <w:rPr>
          <w:rFonts w:hint="eastAsia"/>
        </w:rPr>
        <w:t>保护</w:t>
      </w:r>
      <w:r>
        <w:t>范围线</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（1）库区管理范围边界线向外延伸20～100m为保护范围，大坝、溢洪道保护范围根据坝型、坝高及坝基情况划定，可依照表.3.2.1.2-1控制。</w:t>
      </w:r>
    </w:p>
    <w:p>
      <w:pPr>
        <w:pStyle w:val="89"/>
        <w:ind w:firstLine="422"/>
        <w:rPr>
          <w:b/>
          <w:sz w:val="21"/>
          <w:szCs w:val="21"/>
        </w:rPr>
      </w:pPr>
      <w:r>
        <w:rPr>
          <w:b/>
          <w:sz w:val="21"/>
          <w:szCs w:val="21"/>
        </w:rPr>
        <w:t>表3.2.1.2-1水库工程区保护范围</w:t>
      </w:r>
    </w:p>
    <w:tbl>
      <w:tblPr>
        <w:tblStyle w:val="1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68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pStyle w:val="91"/>
              <w:ind w:firstLine="420"/>
              <w:rPr>
                <w:rFonts w:ascii="黑体" w:hAnsi="黑体" w:eastAsia="黑体"/>
                <w:sz w:val="21"/>
                <w:szCs w:val="21"/>
              </w:rPr>
            </w:pPr>
            <w:r>
              <w:rPr>
                <w:rFonts w:ascii="黑体" w:hAnsi="黑体" w:eastAsia="黑体"/>
                <w:sz w:val="21"/>
                <w:szCs w:val="21"/>
              </w:rPr>
              <w:t>工程区域</w:t>
            </w:r>
          </w:p>
        </w:tc>
        <w:tc>
          <w:tcPr>
            <w:tcW w:w="3680" w:type="dxa"/>
            <w:vAlign w:val="center"/>
          </w:tcPr>
          <w:p>
            <w:pPr>
              <w:pStyle w:val="91"/>
              <w:ind w:firstLine="420"/>
              <w:rPr>
                <w:rFonts w:ascii="黑体" w:hAnsi="黑体" w:eastAsia="黑体"/>
                <w:sz w:val="21"/>
                <w:szCs w:val="21"/>
              </w:rPr>
            </w:pPr>
            <w:r>
              <w:rPr>
                <w:rFonts w:ascii="黑体" w:hAnsi="黑体" w:eastAsia="黑体"/>
                <w:sz w:val="21"/>
                <w:szCs w:val="21"/>
              </w:rPr>
              <w:t>下游</w:t>
            </w:r>
          </w:p>
        </w:tc>
        <w:tc>
          <w:tcPr>
            <w:tcW w:w="3685" w:type="dxa"/>
            <w:vAlign w:val="center"/>
          </w:tcPr>
          <w:p>
            <w:pPr>
              <w:pStyle w:val="91"/>
              <w:ind w:firstLine="420"/>
              <w:rPr>
                <w:rFonts w:ascii="黑体" w:hAnsi="黑体" w:eastAsia="黑体"/>
                <w:sz w:val="21"/>
                <w:szCs w:val="21"/>
              </w:rPr>
            </w:pPr>
            <w:r>
              <w:rPr>
                <w:rFonts w:ascii="黑体" w:hAnsi="黑体" w:eastAsia="黑体"/>
                <w:sz w:val="21"/>
                <w:szCs w:val="21"/>
              </w:rPr>
              <w:t>左右岸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pStyle w:val="91"/>
              <w:ind w:firstLine="420"/>
              <w:rPr>
                <w:sz w:val="21"/>
                <w:szCs w:val="21"/>
              </w:rPr>
            </w:pPr>
            <w:r>
              <w:rPr>
                <w:sz w:val="21"/>
                <w:szCs w:val="21"/>
              </w:rPr>
              <w:t>大型水库大坝</w:t>
            </w:r>
          </w:p>
        </w:tc>
        <w:tc>
          <w:tcPr>
            <w:tcW w:w="3680" w:type="dxa"/>
            <w:vAlign w:val="center"/>
          </w:tcPr>
          <w:p>
            <w:pPr>
              <w:pStyle w:val="91"/>
              <w:ind w:firstLine="420"/>
              <w:rPr>
                <w:sz w:val="21"/>
                <w:szCs w:val="21"/>
              </w:rPr>
            </w:pPr>
            <w:r>
              <w:rPr>
                <w:sz w:val="21"/>
                <w:szCs w:val="21"/>
              </w:rPr>
              <w:t>管理范围边界线外延300～500m</w:t>
            </w:r>
          </w:p>
        </w:tc>
        <w:tc>
          <w:tcPr>
            <w:tcW w:w="3685" w:type="dxa"/>
            <w:vAlign w:val="center"/>
          </w:tcPr>
          <w:p>
            <w:pPr>
              <w:pStyle w:val="91"/>
              <w:ind w:firstLine="420"/>
              <w:rPr>
                <w:sz w:val="21"/>
                <w:szCs w:val="21"/>
              </w:rPr>
            </w:pPr>
            <w:r>
              <w:rPr>
                <w:sz w:val="21"/>
                <w:szCs w:val="21"/>
              </w:rPr>
              <w:t>管理范围边界线外延200～300m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pStyle w:val="91"/>
              <w:ind w:firstLine="420"/>
              <w:rPr>
                <w:sz w:val="21"/>
                <w:szCs w:val="21"/>
              </w:rPr>
            </w:pPr>
            <w:r>
              <w:rPr>
                <w:sz w:val="21"/>
                <w:szCs w:val="21"/>
              </w:rPr>
              <w:t>中型水库大坝</w:t>
            </w:r>
          </w:p>
        </w:tc>
        <w:tc>
          <w:tcPr>
            <w:tcW w:w="3680" w:type="dxa"/>
            <w:vAlign w:val="center"/>
          </w:tcPr>
          <w:p>
            <w:pPr>
              <w:pStyle w:val="91"/>
              <w:ind w:firstLine="420"/>
              <w:rPr>
                <w:sz w:val="21"/>
                <w:szCs w:val="21"/>
              </w:rPr>
            </w:pPr>
            <w:r>
              <w:rPr>
                <w:sz w:val="21"/>
                <w:szCs w:val="21"/>
              </w:rPr>
              <w:t>管理范围边界线外延200～300m</w:t>
            </w:r>
          </w:p>
        </w:tc>
        <w:tc>
          <w:tcPr>
            <w:tcW w:w="3685" w:type="dxa"/>
            <w:vAlign w:val="center"/>
          </w:tcPr>
          <w:p>
            <w:pPr>
              <w:pStyle w:val="91"/>
              <w:ind w:firstLine="420"/>
              <w:rPr>
                <w:sz w:val="21"/>
                <w:szCs w:val="21"/>
              </w:rPr>
            </w:pPr>
            <w:r>
              <w:rPr>
                <w:sz w:val="21"/>
                <w:szCs w:val="21"/>
              </w:rPr>
              <w:t>管理范围边界线外延100～200m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pStyle w:val="91"/>
              <w:ind w:firstLine="420"/>
              <w:rPr>
                <w:sz w:val="21"/>
                <w:szCs w:val="21"/>
              </w:rPr>
            </w:pPr>
            <w:r>
              <w:rPr>
                <w:sz w:val="21"/>
                <w:szCs w:val="21"/>
              </w:rPr>
              <w:t>小型水库大坝</w:t>
            </w:r>
          </w:p>
        </w:tc>
        <w:tc>
          <w:tcPr>
            <w:tcW w:w="3680" w:type="dxa"/>
            <w:vAlign w:val="center"/>
          </w:tcPr>
          <w:p>
            <w:pPr>
              <w:pStyle w:val="91"/>
              <w:ind w:firstLine="420"/>
              <w:rPr>
                <w:sz w:val="21"/>
                <w:szCs w:val="21"/>
              </w:rPr>
            </w:pPr>
            <w:r>
              <w:rPr>
                <w:sz w:val="21"/>
                <w:szCs w:val="21"/>
              </w:rPr>
              <w:t>管理范围边界线外延50～200m</w:t>
            </w:r>
          </w:p>
        </w:tc>
        <w:tc>
          <w:tcPr>
            <w:tcW w:w="3685" w:type="dxa"/>
            <w:vAlign w:val="center"/>
          </w:tcPr>
          <w:p>
            <w:pPr>
              <w:pStyle w:val="91"/>
              <w:ind w:firstLine="420"/>
              <w:rPr>
                <w:sz w:val="21"/>
                <w:szCs w:val="21"/>
              </w:rPr>
            </w:pPr>
            <w:r>
              <w:rPr>
                <w:sz w:val="21"/>
                <w:szCs w:val="21"/>
              </w:rPr>
              <w:t>管理范围边界线外延50～100m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pStyle w:val="91"/>
              <w:ind w:firstLine="420"/>
              <w:rPr>
                <w:sz w:val="21"/>
                <w:szCs w:val="21"/>
              </w:rPr>
            </w:pPr>
            <w:r>
              <w:rPr>
                <w:sz w:val="21"/>
                <w:szCs w:val="21"/>
              </w:rPr>
              <w:t>其他建筑物</w:t>
            </w:r>
          </w:p>
        </w:tc>
        <w:tc>
          <w:tcPr>
            <w:tcW w:w="7365" w:type="dxa"/>
            <w:gridSpan w:val="2"/>
            <w:vAlign w:val="center"/>
          </w:tcPr>
          <w:p>
            <w:pPr>
              <w:pStyle w:val="91"/>
              <w:ind w:firstLine="420"/>
              <w:rPr>
                <w:sz w:val="21"/>
                <w:szCs w:val="21"/>
              </w:rPr>
            </w:pPr>
            <w:r>
              <w:rPr>
                <w:sz w:val="21"/>
                <w:szCs w:val="21"/>
              </w:rPr>
              <w:t>由工程外轮廓线向外：大中型30~50m、小型10~30m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7" w:type="dxa"/>
            <w:gridSpan w:val="3"/>
            <w:vAlign w:val="center"/>
          </w:tcPr>
          <w:p>
            <w:pPr>
              <w:pStyle w:val="91"/>
              <w:ind w:firstLine="420"/>
              <w:jc w:val="both"/>
              <w:rPr>
                <w:sz w:val="21"/>
                <w:szCs w:val="21"/>
              </w:rPr>
            </w:pPr>
            <w:r>
              <w:rPr>
                <w:sz w:val="21"/>
                <w:szCs w:val="21"/>
              </w:rPr>
              <w:t>注1：溢洪道的管理范围边界线向外延伸50～100m为保护范围。</w:t>
            </w:r>
          </w:p>
          <w:p>
            <w:pPr>
              <w:pStyle w:val="91"/>
              <w:ind w:firstLine="420"/>
              <w:jc w:val="both"/>
              <w:rPr>
                <w:sz w:val="21"/>
                <w:szCs w:val="21"/>
              </w:rPr>
            </w:pPr>
            <w:r>
              <w:rPr>
                <w:sz w:val="21"/>
                <w:szCs w:val="21"/>
              </w:rPr>
              <w:t>注2：当保护范围线超过分水岭时以分水岭为界。</w:t>
            </w:r>
          </w:p>
        </w:tc>
      </w:tr>
    </w:tbl>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（2）输水隧洞进出口建筑物及竖井的管理范围边界线向外延伸20～100m为保护范围。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（3）办公室、会议室、资料档案室、仓库、防汛调度室、值班室、车库、食堂、值班宿舍及其他附属设施等建（构）筑物等</w:t>
      </w:r>
      <w:r>
        <w:rPr>
          <w:rFonts w:hint="eastAsia" w:cs="Times New Roman"/>
          <w:color w:val="000000" w:themeColor="text1"/>
          <w14:textFill>
            <w14:solidFill>
              <w14:schemeClr w14:val="tx1"/>
            </w14:solidFill>
          </w14:textFill>
        </w:rPr>
        <w:t>运行管理区按照批复红线范围</w:t>
      </w:r>
      <w:r>
        <w:rPr>
          <w:rFonts w:cs="Times New Roman"/>
          <w:color w:val="000000" w:themeColor="text1"/>
          <w14:textFill>
            <w14:solidFill>
              <w14:schemeClr w14:val="tx1"/>
            </w14:solidFill>
          </w14:textFill>
        </w:rPr>
        <w:t>划定保护范围。</w:t>
      </w:r>
    </w:p>
    <w:p>
      <w:pPr>
        <w:ind w:firstLine="562"/>
        <w:rPr>
          <w:rFonts w:cs="Times New Roman"/>
          <w:b/>
          <w:sz w:val="28"/>
          <w:szCs w:val="28"/>
        </w:rPr>
      </w:pPr>
      <w:r>
        <w:rPr>
          <w:rFonts w:hint="eastAsia" w:cs="Times New Roman"/>
          <w:b/>
          <w:sz w:val="28"/>
          <w:szCs w:val="28"/>
        </w:rPr>
        <w:t>1.金江水库</w:t>
      </w:r>
    </w:p>
    <w:p>
      <w:pPr>
        <w:widowControl/>
        <w:spacing w:line="240" w:lineRule="auto"/>
        <w:ind w:firstLine="640"/>
        <w:jc w:val="left"/>
      </w:pPr>
      <w:r>
        <w:rPr>
          <w:rFonts w:hint="eastAsia"/>
        </w:rPr>
        <w:t>（1）管理范围线标绘</w:t>
      </w:r>
    </w:p>
    <w:p>
      <w:pPr>
        <w:widowControl/>
        <w:spacing w:line="240" w:lineRule="auto"/>
        <w:ind w:firstLine="640"/>
        <w:jc w:val="left"/>
      </w:pPr>
      <w:r>
        <w:rPr>
          <w:rFonts w:hint="eastAsia"/>
        </w:rPr>
        <w:t>按照湖南省水利厅的要求，由于金江水库已有经政府批复及公示的河湖划界数据，按照划界指南的要求，已有划界成果的可按照已有划界成果进行标绘，故此次库区管理范围线按已批复的河湖划界数据进行标绘。</w:t>
      </w:r>
    </w:p>
    <w:p>
      <w:pPr>
        <w:widowControl/>
        <w:spacing w:line="240" w:lineRule="auto"/>
        <w:ind w:firstLine="640"/>
        <w:jc w:val="left"/>
      </w:pPr>
      <w:r>
        <w:rPr>
          <w:rFonts w:hint="eastAsia"/>
        </w:rPr>
        <w:t>参照金江水库用地征地范围标绘。溢洪道按工程轮廓线顺坡向外延伸10米标绘，溢洪道末端向下游延伸100米标绘。运行区的管理范围按建筑物轮廓线及围墙标绘。</w:t>
      </w:r>
    </w:p>
    <w:p>
      <w:pPr>
        <w:widowControl/>
        <w:spacing w:line="240" w:lineRule="auto"/>
        <w:ind w:firstLine="640"/>
        <w:jc w:val="left"/>
      </w:pPr>
      <w:r>
        <w:rPr>
          <w:rFonts w:hint="eastAsia"/>
        </w:rPr>
        <w:t>（2）保护范围线标绘</w:t>
      </w:r>
    </w:p>
    <w:p>
      <w:pPr>
        <w:widowControl/>
        <w:spacing w:line="240" w:lineRule="auto"/>
        <w:ind w:firstLine="640"/>
        <w:jc w:val="left"/>
      </w:pPr>
      <w:r>
        <w:rPr>
          <w:rFonts w:hint="eastAsia"/>
        </w:rPr>
        <w:t>金江水库保护范围以库区管理范围边界线外延50米标绘，水库大坝两端以管理范围边界线外延100米进行标绘，大坝下游以管理范围线外延200米标绘，溢洪道的保护范围以管理范围边界线向外延伸100米标绘，溢洪道末端向下游延伸100米。运行区不标绘保护范围。</w:t>
      </w:r>
    </w:p>
    <w:p>
      <w:pPr>
        <w:ind w:firstLine="562"/>
        <w:rPr>
          <w:rFonts w:cs="Times New Roman"/>
          <w:b/>
          <w:sz w:val="28"/>
          <w:szCs w:val="28"/>
        </w:rPr>
      </w:pPr>
      <w:r>
        <w:rPr>
          <w:rFonts w:hint="eastAsia" w:cs="Times New Roman"/>
          <w:b/>
          <w:sz w:val="28"/>
          <w:szCs w:val="28"/>
        </w:rPr>
        <w:t>2.双江水库</w:t>
      </w:r>
    </w:p>
    <w:p>
      <w:pPr>
        <w:ind w:firstLine="640"/>
      </w:pPr>
      <w:r>
        <w:rPr>
          <w:rFonts w:hint="eastAsia"/>
        </w:rPr>
        <w:t>（1）管理范围线标绘</w:t>
      </w:r>
    </w:p>
    <w:p>
      <w:pPr>
        <w:ind w:firstLine="640"/>
      </w:pPr>
      <w:r>
        <w:rPr>
          <w:rFonts w:hint="eastAsia"/>
        </w:rPr>
        <w:t>按照湖南省水利厅的要求，根据省水文水资源勘测中心提供的双江水库20年一遇设计洪水回水位成果（详见图4-2大中型水库库区设计洪水位成果表），库区管理范围线按设计洪水位标绘。</w:t>
      </w:r>
    </w:p>
    <w:p>
      <w:pPr>
        <w:ind w:firstLine="640"/>
      </w:pPr>
      <w:r>
        <w:rPr>
          <w:rFonts w:hint="eastAsia"/>
        </w:rPr>
        <w:t>水库大坝两端自开挖线起顺坡向外延伸100米标绘，大坝下游以坝脚线向外水平延伸50米标绘。溢洪道按工程轮廓线顺坡向外延伸10米标绘，溢洪道末端向下游延伸100米标绘。超过分水岭以分水岭为界划定。运行区的管理范围按建筑物轮廓线及围墙标绘。</w:t>
      </w:r>
    </w:p>
    <w:p>
      <w:pPr>
        <w:ind w:firstLine="640"/>
      </w:pPr>
      <w:r>
        <w:rPr>
          <w:rFonts w:hint="eastAsia"/>
        </w:rPr>
        <w:t>（2）保护范围线标绘</w:t>
      </w:r>
    </w:p>
    <w:p>
      <w:pPr>
        <w:ind w:firstLine="640"/>
      </w:pPr>
      <w:r>
        <w:rPr>
          <w:rFonts w:hint="eastAsia"/>
        </w:rPr>
        <w:t>双江水库保护范围以库区管理范围边界线外延50米标绘，水库大坝两端以管理范围边界线外延100米进行标绘，大坝下游以管理范围线外延200米标绘，溢洪道的保护范围以管理范围边界线向外延伸50米标绘。超过分水岭以分水岭为界划定。运行区不标绘保护范围。</w:t>
      </w:r>
    </w:p>
    <w:p>
      <w:pPr>
        <w:ind w:firstLine="562"/>
        <w:rPr>
          <w:rFonts w:cs="Times New Roman"/>
          <w:b/>
          <w:sz w:val="28"/>
          <w:szCs w:val="28"/>
        </w:rPr>
      </w:pPr>
      <w:r>
        <w:rPr>
          <w:rFonts w:hint="eastAsia" w:cs="Times New Roman"/>
          <w:b/>
          <w:sz w:val="28"/>
          <w:szCs w:val="28"/>
        </w:rPr>
        <w:t>3.松江水库</w:t>
      </w:r>
    </w:p>
    <w:p>
      <w:pPr>
        <w:ind w:firstLine="640"/>
      </w:pPr>
      <w:r>
        <w:rPr>
          <w:rFonts w:hint="eastAsia"/>
        </w:rPr>
        <w:t>（1）管理范围线标绘</w:t>
      </w:r>
    </w:p>
    <w:p>
      <w:pPr>
        <w:ind w:firstLine="640"/>
      </w:pPr>
      <w:r>
        <w:rPr>
          <w:rFonts w:hint="eastAsia"/>
        </w:rPr>
        <w:t>按照湖南省水利厅的要求，由于松江水库已有经政府批复及公式的河湖划界数据，按照划界指南的要求，已有划界成果的可按照已有划界成果进行标绘，故此次库区管理范围线按已批复的河湖划界数据进行标绘。</w:t>
      </w:r>
    </w:p>
    <w:p>
      <w:pPr>
        <w:ind w:firstLine="640"/>
      </w:pPr>
      <w:r>
        <w:rPr>
          <w:rFonts w:hint="eastAsia"/>
        </w:rPr>
        <w:t>水库大坝两端自开挖线起顺坡向外延伸100米标绘，大坝下游以坝脚线向外水平延伸80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松江水库保护范围以库区管理范围边界线外延50米标绘，水库大坝两端以管理范围边界线外延100米进行标绘，大坝下游以管理范围线外延200米标绘，溢洪道的保护范围以管理范围边界线向外延伸50米标绘。超过分水岭以分水岭为界划定。运行区不标绘保护范围。</w:t>
      </w:r>
    </w:p>
    <w:p>
      <w:pPr>
        <w:ind w:firstLine="562"/>
        <w:rPr>
          <w:rFonts w:cs="Times New Roman"/>
          <w:b/>
          <w:sz w:val="28"/>
          <w:szCs w:val="28"/>
        </w:rPr>
      </w:pPr>
      <w:r>
        <w:rPr>
          <w:rFonts w:hint="eastAsia" w:cs="Times New Roman"/>
          <w:b/>
          <w:sz w:val="28"/>
          <w:szCs w:val="28"/>
        </w:rPr>
        <w:t>4.大兴水库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大兴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5.</w:t>
      </w:r>
      <w:r>
        <w:rPr>
          <w:rFonts w:hint="eastAsia" w:cs="Times New Roman"/>
          <w:b/>
          <w:sz w:val="28"/>
          <w:szCs w:val="28"/>
        </w:rPr>
        <w:t>龙溪水库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龙溪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6.</w:t>
      </w:r>
      <w:r>
        <w:rPr>
          <w:rFonts w:hint="eastAsia" w:cs="Times New Roman"/>
          <w:b/>
          <w:sz w:val="28"/>
          <w:szCs w:val="28"/>
        </w:rPr>
        <w:t>险峰水库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险峰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7.</w:t>
      </w:r>
      <w:r>
        <w:rPr>
          <w:rFonts w:hint="eastAsia" w:cs="Times New Roman"/>
          <w:b/>
          <w:sz w:val="28"/>
          <w:szCs w:val="28"/>
        </w:rPr>
        <w:t>妙江水库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妙江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8.</w:t>
      </w:r>
      <w:r>
        <w:rPr>
          <w:rFonts w:hint="eastAsia" w:cs="Times New Roman"/>
          <w:b/>
          <w:sz w:val="28"/>
          <w:szCs w:val="28"/>
        </w:rPr>
        <w:t>龙江水库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龙江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9.</w:t>
      </w:r>
      <w:r>
        <w:rPr>
          <w:rFonts w:hint="eastAsia" w:cs="Times New Roman"/>
          <w:b/>
          <w:sz w:val="28"/>
          <w:szCs w:val="28"/>
        </w:rPr>
        <w:t>大盛水库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大盛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10.</w:t>
      </w:r>
      <w:r>
        <w:rPr>
          <w:rFonts w:hint="eastAsia" w:cs="Times New Roman"/>
          <w:b/>
          <w:sz w:val="28"/>
          <w:szCs w:val="28"/>
        </w:rPr>
        <w:t>金溪水库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金溪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11.</w:t>
      </w:r>
      <w:r>
        <w:rPr>
          <w:rFonts w:hint="eastAsia" w:cs="Times New Roman"/>
          <w:b/>
          <w:sz w:val="28"/>
          <w:szCs w:val="28"/>
        </w:rPr>
        <w:t>卫星水库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卫星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12.</w:t>
      </w:r>
      <w:r>
        <w:rPr>
          <w:rFonts w:hint="eastAsia" w:cs="Times New Roman"/>
          <w:b/>
          <w:sz w:val="28"/>
          <w:szCs w:val="28"/>
        </w:rPr>
        <w:t>大田水库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大田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13.</w:t>
      </w:r>
      <w:r>
        <w:rPr>
          <w:rFonts w:hint="eastAsia" w:cs="Times New Roman"/>
          <w:b/>
          <w:sz w:val="28"/>
          <w:szCs w:val="28"/>
        </w:rPr>
        <w:t>坪一水库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坪一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14.</w:t>
      </w:r>
      <w:r>
        <w:rPr>
          <w:rFonts w:hint="eastAsia" w:cs="Times New Roman"/>
          <w:b/>
          <w:sz w:val="28"/>
          <w:szCs w:val="28"/>
        </w:rPr>
        <w:t>群伍水库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群伍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15.</w:t>
      </w:r>
      <w:r>
        <w:rPr>
          <w:rFonts w:hint="eastAsia" w:cs="Times New Roman"/>
          <w:b/>
          <w:sz w:val="28"/>
          <w:szCs w:val="28"/>
        </w:rPr>
        <w:t>凤江水库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凤江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16.</w:t>
      </w:r>
      <w:r>
        <w:rPr>
          <w:rFonts w:hint="eastAsia" w:cs="Times New Roman"/>
          <w:b/>
          <w:sz w:val="28"/>
          <w:szCs w:val="28"/>
        </w:rPr>
        <w:t>福江水库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福江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17.</w:t>
      </w:r>
      <w:r>
        <w:rPr>
          <w:rFonts w:hint="eastAsia" w:cs="Times New Roman"/>
          <w:b/>
          <w:sz w:val="28"/>
          <w:szCs w:val="28"/>
        </w:rPr>
        <w:t>飞跃水库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飞跃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18.</w:t>
      </w:r>
      <w:r>
        <w:rPr>
          <w:rFonts w:hint="eastAsia" w:cs="Times New Roman"/>
          <w:b/>
          <w:sz w:val="28"/>
          <w:szCs w:val="28"/>
        </w:rPr>
        <w:t>新江水库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新江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19.</w:t>
      </w:r>
      <w:r>
        <w:rPr>
          <w:rFonts w:hint="eastAsia" w:cs="Times New Roman"/>
          <w:b/>
          <w:sz w:val="28"/>
          <w:szCs w:val="28"/>
        </w:rPr>
        <w:t>群江水库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群江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20.</w:t>
      </w:r>
      <w:r>
        <w:rPr>
          <w:rFonts w:hint="eastAsia" w:cs="Times New Roman"/>
          <w:b/>
          <w:sz w:val="28"/>
          <w:szCs w:val="28"/>
        </w:rPr>
        <w:t>陶江水库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陶江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21.</w:t>
      </w:r>
      <w:r>
        <w:rPr>
          <w:rFonts w:hint="eastAsia" w:cs="Times New Roman"/>
          <w:b/>
          <w:sz w:val="28"/>
          <w:szCs w:val="28"/>
        </w:rPr>
        <w:t>天堂水库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天堂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w:t>
      </w:r>
    </w:p>
    <w:p>
      <w:pPr>
        <w:ind w:firstLine="562"/>
        <w:rPr>
          <w:rFonts w:cs="Times New Roman"/>
          <w:b/>
          <w:sz w:val="28"/>
          <w:szCs w:val="28"/>
        </w:rPr>
      </w:pPr>
      <w:r>
        <w:rPr>
          <w:rFonts w:cs="Times New Roman"/>
          <w:b/>
          <w:sz w:val="28"/>
          <w:szCs w:val="28"/>
        </w:rPr>
        <w:t>22.</w:t>
      </w:r>
      <w:r>
        <w:rPr>
          <w:rFonts w:hint="eastAsia" w:cs="Times New Roman"/>
          <w:b/>
          <w:sz w:val="28"/>
          <w:szCs w:val="28"/>
        </w:rPr>
        <w:t>大古塘水库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大古塘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23.</w:t>
      </w:r>
      <w:r>
        <w:rPr>
          <w:rFonts w:hint="eastAsia" w:cs="Times New Roman"/>
          <w:b/>
          <w:sz w:val="28"/>
          <w:szCs w:val="28"/>
        </w:rPr>
        <w:t>超美水库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超美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24.</w:t>
      </w:r>
      <w:r>
        <w:rPr>
          <w:rFonts w:hint="eastAsia" w:cs="Times New Roman"/>
          <w:b/>
          <w:sz w:val="28"/>
          <w:szCs w:val="28"/>
        </w:rPr>
        <w:t>东源水库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东源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25.</w:t>
      </w:r>
      <w:r>
        <w:rPr>
          <w:rFonts w:hint="eastAsia" w:cs="Times New Roman"/>
          <w:b/>
          <w:sz w:val="28"/>
          <w:szCs w:val="28"/>
        </w:rPr>
        <w:t>白石江水库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白石江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562"/>
        <w:rPr>
          <w:rFonts w:cs="Times New Roman"/>
          <w:b/>
          <w:sz w:val="28"/>
          <w:szCs w:val="28"/>
        </w:rPr>
      </w:pPr>
      <w:r>
        <w:rPr>
          <w:rFonts w:cs="Times New Roman"/>
          <w:b/>
          <w:sz w:val="28"/>
          <w:szCs w:val="28"/>
        </w:rPr>
        <w:t>26.</w:t>
      </w:r>
      <w:r>
        <w:rPr>
          <w:rFonts w:hint="eastAsia" w:cs="Times New Roman"/>
          <w:b/>
          <w:sz w:val="28"/>
          <w:szCs w:val="28"/>
        </w:rPr>
        <w:t>白石江水库</w:t>
      </w:r>
    </w:p>
    <w:p>
      <w:pPr>
        <w:ind w:firstLine="640"/>
      </w:pPr>
      <w:r>
        <w:rPr>
          <w:rFonts w:hint="eastAsia"/>
        </w:rPr>
        <w:t>（1）管理范围线标绘</w:t>
      </w:r>
    </w:p>
    <w:p>
      <w:pPr>
        <w:ind w:firstLine="640"/>
      </w:pPr>
      <w:r>
        <w:rPr>
          <w:rFonts w:hint="eastAsia"/>
        </w:rPr>
        <w:t>资料无水库20年一遇洪水位，按照湖南省水利厅（LXD-2020-027）号工作联系单要求，库区管理范围线按正常蓄水位（实测溢洪道堰顶）高程加1米为设计洪水位标绘。</w:t>
      </w:r>
    </w:p>
    <w:p>
      <w:pPr>
        <w:ind w:firstLine="640"/>
      </w:pPr>
      <w:r>
        <w:rPr>
          <w:rFonts w:hint="eastAsia"/>
        </w:rPr>
        <w:t>水库大坝两端自开挖线起顺坡向外延伸50米标绘，大坝下游以坝脚线向外水平延伸30米标绘。溢洪道按工程轮廓线顺坡向外延伸10米标绘，溢洪道末端向下游延伸100米标绘。运行区的管理范围按建筑物轮廓线及围墙标绘。</w:t>
      </w:r>
    </w:p>
    <w:p>
      <w:pPr>
        <w:ind w:firstLine="640"/>
      </w:pPr>
      <w:r>
        <w:rPr>
          <w:rFonts w:hint="eastAsia"/>
        </w:rPr>
        <w:t>（2）保护范围线标绘</w:t>
      </w:r>
    </w:p>
    <w:p>
      <w:pPr>
        <w:ind w:firstLine="640"/>
      </w:pPr>
      <w:r>
        <w:rPr>
          <w:rFonts w:hint="eastAsia"/>
        </w:rPr>
        <w:t>群峰水库保护范围以库区管理范围边界线外延50米标绘，水库大坝两端以管理范围边界线外延50米进行标绘，大坝下游以管理范围线外延50米标绘，溢洪道的保护范围以管理范围边界线向外延伸50米标绘。超过分水岭以分水岭为界划定。运行区不标绘保护范围。</w:t>
      </w:r>
    </w:p>
    <w:p>
      <w:pPr>
        <w:ind w:firstLine="640"/>
      </w:pPr>
      <w:r>
        <w:rPr>
          <w:rFonts w:hint="eastAsia"/>
        </w:rPr>
        <w:t>以上中型及重点小型水库均在标绘完成后，由东安县水利局组织各个水管单位对水库坝区、库区和库尾进行核实，对内业核实不确定的，均到达现场进行核实。核实详情见其他附件《水利工程划界成果现场核实勘定记录表》和《水利工程划界成果意见征求表》。</w:t>
      </w:r>
    </w:p>
    <w:p>
      <w:pPr>
        <w:pStyle w:val="4"/>
        <w:ind w:firstLine="640"/>
      </w:pPr>
      <w:bookmarkStart w:id="43" w:name="_Toc17613"/>
      <w:bookmarkStart w:id="44" w:name="_Toc2919"/>
      <w:r>
        <w:rPr>
          <w:rFonts w:hint="eastAsia"/>
        </w:rPr>
        <w:t>3</w:t>
      </w:r>
      <w:r>
        <w:t xml:space="preserve">.2.2 </w:t>
      </w:r>
      <w:r>
        <w:rPr>
          <w:rFonts w:hint="eastAsia"/>
        </w:rPr>
        <w:t>水闸</w:t>
      </w:r>
    </w:p>
    <w:p>
      <w:pPr>
        <w:ind w:firstLine="640"/>
      </w:pPr>
      <w:r>
        <w:rPr>
          <w:rFonts w:hint="eastAsia"/>
        </w:rPr>
        <w:t>3</w:t>
      </w:r>
      <w:r>
        <w:t>.2.2.1</w:t>
      </w:r>
      <w:r>
        <w:rPr>
          <w:rFonts w:hint="eastAsia"/>
        </w:rPr>
        <w:t>管理范围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（1）水闸管理范围分为工程区管理范围和</w:t>
      </w:r>
      <w:r>
        <w:rPr>
          <w:rFonts w:hint="eastAsia" w:cs="Times New Roman"/>
          <w:color w:val="000000" w:themeColor="text1"/>
          <w14:textFill>
            <w14:solidFill>
              <w14:schemeClr w14:val="tx1"/>
            </w14:solidFill>
          </w14:textFill>
        </w:rPr>
        <w:t>运行管理区</w:t>
      </w:r>
      <w:r>
        <w:rPr>
          <w:rFonts w:cs="Times New Roman"/>
          <w:color w:val="000000" w:themeColor="text1"/>
          <w14:textFill>
            <w14:solidFill>
              <w14:schemeClr w14:val="tx1"/>
            </w14:solidFill>
          </w14:textFill>
        </w:rPr>
        <w:t>管理范围。工程区管理范围指水闸主体工程各组成部分（包括上游连接段（翼墙）、闸室段、下游连接段（翼墙）和两岸连接建筑物等）的覆盖范围以及覆盖范围以外的一定范围，</w:t>
      </w:r>
      <w:r>
        <w:rPr>
          <w:rFonts w:hint="eastAsia" w:cs="Times New Roman"/>
          <w:color w:val="000000" w:themeColor="text1"/>
          <w14:textFill>
            <w14:solidFill>
              <w14:schemeClr w14:val="tx1"/>
            </w14:solidFill>
          </w14:textFill>
        </w:rPr>
        <w:t>运行管理区</w:t>
      </w:r>
      <w:r>
        <w:rPr>
          <w:rFonts w:cs="Times New Roman"/>
          <w:color w:val="000000" w:themeColor="text1"/>
          <w14:textFill>
            <w14:solidFill>
              <w14:schemeClr w14:val="tx1"/>
            </w14:solidFill>
          </w14:textFill>
        </w:rPr>
        <w:t>管理范围是指管理单位的办公、生产、生活设施等建（构）筑物的管理范围。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（2）水闸上下游翼墙末端以内为管理范围。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（3）水闸主体工程建筑物覆盖范围以外两侧的管理范围可按表3.2.2.1-1控制。</w:t>
      </w:r>
    </w:p>
    <w:p>
      <w:pPr>
        <w:pStyle w:val="89"/>
        <w:ind w:firstLine="422"/>
        <w:rPr>
          <w:b/>
          <w:sz w:val="21"/>
          <w:szCs w:val="21"/>
        </w:rPr>
      </w:pPr>
      <w:r>
        <w:rPr>
          <w:b/>
          <w:sz w:val="21"/>
          <w:szCs w:val="21"/>
        </w:rPr>
        <w:t>表3.2.2.1-1 水闸主体工程建筑物覆盖范围以外的管理范围</w:t>
      </w:r>
    </w:p>
    <w:tbl>
      <w:tblPr>
        <w:tblStyle w:val="16"/>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832"/>
        <w:gridCol w:w="1973"/>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25" w:type="dxa"/>
            <w:vAlign w:val="center"/>
          </w:tcPr>
          <w:p>
            <w:pPr>
              <w:spacing w:line="360" w:lineRule="auto"/>
              <w:ind w:firstLine="0" w:firstLineChars="0"/>
              <w:jc w:val="center"/>
              <w:rPr>
                <w:rFonts w:cs="Times New Roman"/>
                <w:b/>
                <w:bCs/>
                <w:color w:val="000000"/>
                <w:sz w:val="21"/>
                <w:szCs w:val="21"/>
              </w:rPr>
            </w:pPr>
            <w:r>
              <w:rPr>
                <w:rFonts w:cs="Times New Roman"/>
                <w:b/>
                <w:bCs/>
                <w:color w:val="000000"/>
                <w:sz w:val="21"/>
                <w:szCs w:val="21"/>
              </w:rPr>
              <w:t>工程规模</w:t>
            </w:r>
          </w:p>
        </w:tc>
        <w:tc>
          <w:tcPr>
            <w:tcW w:w="1832" w:type="dxa"/>
            <w:vAlign w:val="center"/>
          </w:tcPr>
          <w:p>
            <w:pPr>
              <w:spacing w:line="360" w:lineRule="auto"/>
              <w:ind w:firstLine="0" w:firstLineChars="0"/>
              <w:jc w:val="center"/>
              <w:rPr>
                <w:rFonts w:cs="Times New Roman"/>
                <w:b/>
                <w:bCs/>
                <w:color w:val="000000"/>
                <w:sz w:val="21"/>
                <w:szCs w:val="21"/>
              </w:rPr>
            </w:pPr>
            <w:r>
              <w:rPr>
                <w:rFonts w:cs="Times New Roman"/>
                <w:b/>
                <w:bCs/>
                <w:color w:val="000000"/>
                <w:sz w:val="21"/>
                <w:szCs w:val="21"/>
              </w:rPr>
              <w:t>大型</w:t>
            </w:r>
          </w:p>
        </w:tc>
        <w:tc>
          <w:tcPr>
            <w:tcW w:w="1973" w:type="dxa"/>
            <w:vAlign w:val="center"/>
          </w:tcPr>
          <w:p>
            <w:pPr>
              <w:spacing w:line="360" w:lineRule="auto"/>
              <w:ind w:firstLine="0" w:firstLineChars="0"/>
              <w:jc w:val="center"/>
              <w:rPr>
                <w:rFonts w:cs="Times New Roman"/>
                <w:b/>
                <w:bCs/>
                <w:color w:val="000000"/>
                <w:sz w:val="21"/>
                <w:szCs w:val="21"/>
              </w:rPr>
            </w:pPr>
            <w:r>
              <w:rPr>
                <w:rFonts w:cs="Times New Roman"/>
                <w:b/>
                <w:bCs/>
                <w:color w:val="000000"/>
                <w:sz w:val="21"/>
                <w:szCs w:val="21"/>
              </w:rPr>
              <w:t>中型</w:t>
            </w:r>
          </w:p>
        </w:tc>
        <w:tc>
          <w:tcPr>
            <w:tcW w:w="1740" w:type="dxa"/>
            <w:vAlign w:val="center"/>
          </w:tcPr>
          <w:p>
            <w:pPr>
              <w:spacing w:line="360" w:lineRule="auto"/>
              <w:ind w:firstLine="0" w:firstLineChars="0"/>
              <w:jc w:val="center"/>
              <w:rPr>
                <w:rFonts w:cs="Times New Roman"/>
                <w:b/>
                <w:bCs/>
                <w:color w:val="000000"/>
                <w:sz w:val="21"/>
                <w:szCs w:val="21"/>
              </w:rPr>
            </w:pPr>
            <w:r>
              <w:rPr>
                <w:rFonts w:cs="Times New Roman"/>
                <w:b/>
                <w:bCs/>
                <w:color w:val="000000"/>
                <w:sz w:val="21"/>
                <w:szCs w:val="21"/>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25" w:type="dxa"/>
            <w:vAlign w:val="center"/>
          </w:tcPr>
          <w:p>
            <w:pPr>
              <w:spacing w:line="360" w:lineRule="auto"/>
              <w:ind w:firstLine="0" w:firstLineChars="0"/>
              <w:jc w:val="center"/>
              <w:rPr>
                <w:rFonts w:cs="Times New Roman"/>
                <w:color w:val="000000"/>
                <w:sz w:val="21"/>
                <w:szCs w:val="21"/>
              </w:rPr>
            </w:pPr>
            <w:r>
              <w:rPr>
                <w:rFonts w:cs="Times New Roman"/>
                <w:color w:val="000000"/>
                <w:sz w:val="21"/>
                <w:szCs w:val="21"/>
              </w:rPr>
              <w:t>两侧边界以外的宽度（m）</w:t>
            </w:r>
          </w:p>
        </w:tc>
        <w:tc>
          <w:tcPr>
            <w:tcW w:w="1832" w:type="dxa"/>
            <w:vAlign w:val="center"/>
          </w:tcPr>
          <w:p>
            <w:pPr>
              <w:spacing w:line="360" w:lineRule="auto"/>
              <w:ind w:firstLine="0" w:firstLineChars="0"/>
              <w:jc w:val="center"/>
              <w:rPr>
                <w:rFonts w:cs="Times New Roman"/>
                <w:color w:val="000000"/>
                <w:sz w:val="21"/>
                <w:szCs w:val="21"/>
              </w:rPr>
            </w:pPr>
            <w:r>
              <w:rPr>
                <w:rFonts w:cs="Times New Roman"/>
                <w:color w:val="000000"/>
                <w:sz w:val="21"/>
                <w:szCs w:val="21"/>
              </w:rPr>
              <w:t>单侧40～100</w:t>
            </w:r>
          </w:p>
        </w:tc>
        <w:tc>
          <w:tcPr>
            <w:tcW w:w="1973" w:type="dxa"/>
            <w:vAlign w:val="center"/>
          </w:tcPr>
          <w:p>
            <w:pPr>
              <w:spacing w:line="360" w:lineRule="auto"/>
              <w:ind w:firstLine="0" w:firstLineChars="0"/>
              <w:jc w:val="center"/>
              <w:rPr>
                <w:rFonts w:cs="Times New Roman"/>
                <w:color w:val="000000"/>
                <w:sz w:val="21"/>
                <w:szCs w:val="21"/>
              </w:rPr>
            </w:pPr>
            <w:r>
              <w:rPr>
                <w:rFonts w:cs="Times New Roman"/>
                <w:color w:val="000000"/>
                <w:sz w:val="21"/>
                <w:szCs w:val="21"/>
              </w:rPr>
              <w:t>单侧20～40</w:t>
            </w:r>
          </w:p>
        </w:tc>
        <w:tc>
          <w:tcPr>
            <w:tcW w:w="1740" w:type="dxa"/>
            <w:vAlign w:val="center"/>
          </w:tcPr>
          <w:p>
            <w:pPr>
              <w:spacing w:line="360" w:lineRule="auto"/>
              <w:ind w:firstLine="0" w:firstLineChars="0"/>
              <w:jc w:val="center"/>
              <w:rPr>
                <w:rFonts w:cs="Times New Roman"/>
                <w:color w:val="000000"/>
                <w:sz w:val="21"/>
                <w:szCs w:val="21"/>
              </w:rPr>
            </w:pPr>
            <w:r>
              <w:rPr>
                <w:rFonts w:cs="Times New Roman"/>
                <w:color w:val="000000"/>
                <w:sz w:val="21"/>
                <w:szCs w:val="21"/>
              </w:rPr>
              <w:t>单侧10～20</w:t>
            </w:r>
          </w:p>
        </w:tc>
      </w:tr>
    </w:tbl>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（4）已完成征地的水闸，如果征地范围线与上述管理范围线划定规则基本符合，管理范围线以征地范围线为准。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（5）</w:t>
      </w:r>
      <w:r>
        <w:rPr>
          <w:rFonts w:hint="eastAsia" w:cs="Times New Roman"/>
          <w:color w:val="000000" w:themeColor="text1"/>
          <w14:textFill>
            <w14:solidFill>
              <w14:schemeClr w14:val="tx1"/>
            </w14:solidFill>
          </w14:textFill>
        </w:rPr>
        <w:t>运行管理区</w:t>
      </w:r>
      <w:r>
        <w:rPr>
          <w:rFonts w:cs="Times New Roman"/>
          <w:color w:val="000000" w:themeColor="text1"/>
          <w14:textFill>
            <w14:solidFill>
              <w14:schemeClr w14:val="tx1"/>
            </w14:solidFill>
          </w14:textFill>
        </w:rPr>
        <w:t>按其征地范围线或围墙外边线划定管理范围。</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3.2.2.</w:t>
      </w:r>
      <w:r>
        <w:rPr>
          <w:rFonts w:cs="Times New Roman"/>
          <w:color w:val="000000" w:themeColor="text1"/>
          <w14:textFill>
            <w14:solidFill>
              <w14:schemeClr w14:val="tx1"/>
            </w14:solidFill>
          </w14:textFill>
        </w:rPr>
        <w:t>2</w:t>
      </w:r>
      <w:r>
        <w:rPr>
          <w:rFonts w:hint="eastAsia" w:cs="Times New Roman"/>
          <w:color w:val="000000" w:themeColor="text1"/>
          <w14:textFill>
            <w14:solidFill>
              <w14:schemeClr w14:val="tx1"/>
            </w14:solidFill>
          </w14:textFill>
        </w:rPr>
        <w:t>保护范围</w:t>
      </w:r>
    </w:p>
    <w:p>
      <w:pPr>
        <w:spacing w:line="360" w:lineRule="auto"/>
        <w:ind w:firstLine="640"/>
        <w:rPr>
          <w:rFonts w:cs="Times New Roman"/>
          <w:color w:val="000000"/>
        </w:rPr>
      </w:pPr>
      <w:r>
        <w:rPr>
          <w:rFonts w:cs="Times New Roman"/>
          <w:color w:val="000000"/>
        </w:rPr>
        <w:t>（1）水闸管理范围边缘向外延伸50～200m为保护范围。</w:t>
      </w:r>
    </w:p>
    <w:p>
      <w:pPr>
        <w:spacing w:line="360" w:lineRule="auto"/>
        <w:ind w:firstLine="640"/>
        <w:rPr>
          <w:rFonts w:cs="Times New Roman"/>
          <w:color w:val="000000"/>
        </w:rPr>
      </w:pPr>
      <w:r>
        <w:rPr>
          <w:rFonts w:cs="Times New Roman"/>
          <w:color w:val="000000"/>
        </w:rPr>
        <w:t>（2）根据水闸管理的实际需要，不同规模水闸工程管理范围以外的保护范围可依照表3.3.2-2控制。</w:t>
      </w:r>
    </w:p>
    <w:p>
      <w:pPr>
        <w:widowControl/>
        <w:spacing w:before="156" w:beforeLines="50" w:line="360" w:lineRule="auto"/>
        <w:ind w:firstLine="0" w:firstLineChars="0"/>
        <w:jc w:val="center"/>
        <w:rPr>
          <w:rFonts w:eastAsia="黑体" w:cs="Times New Roman"/>
          <w:b/>
          <w:color w:val="000000"/>
          <w:sz w:val="21"/>
          <w:szCs w:val="21"/>
        </w:rPr>
      </w:pPr>
      <w:r>
        <w:rPr>
          <w:rFonts w:eastAsia="黑体" w:cs="Times New Roman"/>
          <w:b/>
          <w:color w:val="000000"/>
          <w:sz w:val="21"/>
          <w:szCs w:val="21"/>
        </w:rPr>
        <w:t>表3.3.2-2 水闸工程管理范围以外的保护范围</w:t>
      </w:r>
    </w:p>
    <w:tbl>
      <w:tblPr>
        <w:tblStyle w:val="16"/>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1900"/>
        <w:gridCol w:w="2149"/>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96"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工程规模</w:t>
            </w:r>
          </w:p>
        </w:tc>
        <w:tc>
          <w:tcPr>
            <w:tcW w:w="1900"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大型</w:t>
            </w:r>
          </w:p>
        </w:tc>
        <w:tc>
          <w:tcPr>
            <w:tcW w:w="2149"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中型</w:t>
            </w:r>
          </w:p>
        </w:tc>
        <w:tc>
          <w:tcPr>
            <w:tcW w:w="2149"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96"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上、下游的宽度（m）</w:t>
            </w:r>
          </w:p>
        </w:tc>
        <w:tc>
          <w:tcPr>
            <w:tcW w:w="1900"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单侧150～200</w:t>
            </w:r>
          </w:p>
        </w:tc>
        <w:tc>
          <w:tcPr>
            <w:tcW w:w="2149"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单侧100～150</w:t>
            </w:r>
          </w:p>
        </w:tc>
        <w:tc>
          <w:tcPr>
            <w:tcW w:w="2149"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单侧50～100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96"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两侧的宽度（m）</w:t>
            </w:r>
          </w:p>
        </w:tc>
        <w:tc>
          <w:tcPr>
            <w:tcW w:w="1900"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单侧150～200</w:t>
            </w:r>
          </w:p>
        </w:tc>
        <w:tc>
          <w:tcPr>
            <w:tcW w:w="2149"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单侧100～150</w:t>
            </w:r>
          </w:p>
        </w:tc>
        <w:tc>
          <w:tcPr>
            <w:tcW w:w="2149"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单侧50～100</w:t>
            </w:r>
          </w:p>
        </w:tc>
      </w:tr>
    </w:tbl>
    <w:p>
      <w:pPr>
        <w:spacing w:line="360" w:lineRule="auto"/>
        <w:ind w:firstLine="0" w:firstLineChars="0"/>
        <w:jc w:val="left"/>
        <w:rPr>
          <w:rFonts w:cs="Times New Roman"/>
          <w:color w:val="000000"/>
          <w:sz w:val="24"/>
          <w:szCs w:val="24"/>
        </w:rPr>
      </w:pPr>
      <w:r>
        <w:rPr>
          <w:rFonts w:cs="Times New Roman"/>
          <w:color w:val="000000"/>
          <w:sz w:val="24"/>
          <w:szCs w:val="24"/>
        </w:rPr>
        <w:t>注：依据上述标准保护范围外延超过分水岭时，以分水岭为界。</w:t>
      </w:r>
    </w:p>
    <w:p>
      <w:pPr>
        <w:ind w:firstLine="640"/>
        <w:rPr>
          <w:rFonts w:cs="Times New Roman"/>
          <w:color w:val="000000"/>
        </w:rPr>
      </w:pPr>
      <w:r>
        <w:rPr>
          <w:rFonts w:cs="Times New Roman"/>
          <w:color w:val="000000"/>
        </w:rPr>
        <w:t>（3）</w:t>
      </w:r>
      <w:r>
        <w:rPr>
          <w:rFonts w:hint="eastAsia" w:cs="Times New Roman"/>
          <w:color w:val="000000"/>
        </w:rPr>
        <w:t>运行管理区按照批复的红线范围</w:t>
      </w:r>
      <w:r>
        <w:rPr>
          <w:rFonts w:cs="Times New Roman"/>
          <w:color w:val="000000"/>
        </w:rPr>
        <w:t>划定保护范围。</w:t>
      </w:r>
    </w:p>
    <w:p>
      <w:pPr>
        <w:ind w:firstLine="562"/>
        <w:rPr>
          <w:rFonts w:cs="Times New Roman"/>
          <w:b/>
          <w:sz w:val="28"/>
          <w:szCs w:val="28"/>
        </w:rPr>
      </w:pPr>
      <w:r>
        <w:rPr>
          <w:rFonts w:cs="Times New Roman"/>
          <w:b/>
          <w:sz w:val="28"/>
          <w:szCs w:val="28"/>
        </w:rPr>
        <w:t>1</w:t>
      </w:r>
      <w:r>
        <w:rPr>
          <w:rFonts w:hint="eastAsia" w:cs="Times New Roman"/>
          <w:b/>
          <w:sz w:val="28"/>
          <w:szCs w:val="28"/>
        </w:rPr>
        <w:t>.扬江河坝水闸</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（1）管理范围线标绘</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水闸工程区管理范围为水闸主体工程各组成部分的覆盖范围及覆盖范围以外的一定范围。本次划界将水闸主体工程上游连接段的始端至下游末端，按照其征地范围划定为管理范围。扬江河水闸管理所用房按建筑物轮廓线及围墙标绘。</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（2）保护范围线标绘</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本次划界保护范围将水闸工程区管理范围边界上下游及两侧向外延伸100米。</w:t>
      </w:r>
    </w:p>
    <w:p>
      <w:pPr>
        <w:ind w:firstLine="562"/>
        <w:rPr>
          <w:rFonts w:cs="Times New Roman"/>
          <w:b/>
          <w:sz w:val="28"/>
          <w:szCs w:val="28"/>
        </w:rPr>
      </w:pPr>
      <w:r>
        <w:rPr>
          <w:rFonts w:cs="Times New Roman"/>
          <w:b/>
          <w:sz w:val="28"/>
          <w:szCs w:val="28"/>
        </w:rPr>
        <w:t>2</w:t>
      </w:r>
      <w:r>
        <w:rPr>
          <w:rFonts w:hint="eastAsia" w:cs="Times New Roman"/>
          <w:b/>
          <w:sz w:val="28"/>
          <w:szCs w:val="28"/>
        </w:rPr>
        <w:t>.紫江河坝水闸</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（1）管理范围线标绘</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水闸工程区管理范围为水闸主体工程各组成部分的覆盖范围及覆盖范围以外的一定范围。本次划界将水闸主体工程上游连接段的始端至下游末端，水闸主体两侧外扩20米作为管理范围，左右岸轮廓划定为管理范围。紫江河水闸管理所用房按建筑物轮廓线及围墙标绘。</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（2）保护范围线标绘</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本次划界保护范围将水闸工程区管理范围边界上下游及两侧向外延伸100米。</w:t>
      </w:r>
    </w:p>
    <w:p>
      <w:pPr>
        <w:pStyle w:val="4"/>
        <w:ind w:firstLine="640"/>
      </w:pPr>
      <w:r>
        <w:rPr>
          <w:rFonts w:hint="eastAsia"/>
        </w:rPr>
        <w:t>3</w:t>
      </w:r>
      <w:r>
        <w:t xml:space="preserve">.2.3 </w:t>
      </w:r>
      <w:r>
        <w:rPr>
          <w:rFonts w:hint="eastAsia"/>
        </w:rPr>
        <w:t>灌区</w:t>
      </w:r>
    </w:p>
    <w:p>
      <w:pPr>
        <w:ind w:firstLine="640"/>
      </w:pPr>
      <w:r>
        <w:rPr>
          <w:rFonts w:hint="eastAsia"/>
        </w:rPr>
        <w:t>3</w:t>
      </w:r>
      <w:r>
        <w:t>.2.3.1</w:t>
      </w:r>
      <w:r>
        <w:rPr>
          <w:rFonts w:hint="eastAsia"/>
        </w:rPr>
        <w:t>管理范围</w:t>
      </w:r>
    </w:p>
    <w:p>
      <w:pPr>
        <w:ind w:firstLine="640"/>
      </w:pPr>
      <w:r>
        <w:rPr>
          <w:rFonts w:hint="eastAsia"/>
        </w:rPr>
        <w:t>（1）引水枢纽管理范围参照本导则同类型工程有关规定执行。</w:t>
      </w:r>
    </w:p>
    <w:p>
      <w:pPr>
        <w:ind w:firstLine="640"/>
      </w:pPr>
      <w:r>
        <w:rPr>
          <w:rFonts w:hint="eastAsia"/>
        </w:rPr>
        <w:t>（2）渠堤外坡脚线或者开挖线以内为渠（沟）道管理范围。</w:t>
      </w:r>
    </w:p>
    <w:p>
      <w:pPr>
        <w:ind w:firstLine="640"/>
      </w:pPr>
      <w:r>
        <w:rPr>
          <w:rFonts w:hint="eastAsia"/>
        </w:rPr>
        <w:t>（3）渠系及其附属建筑物，其管理范围按同级渠（沟）道划界，或按征地范围线或占地面积划定管理范围，有必要的可适当扩大。</w:t>
      </w:r>
    </w:p>
    <w:p>
      <w:pPr>
        <w:ind w:firstLine="640"/>
      </w:pPr>
      <w:r>
        <w:rPr>
          <w:rFonts w:hint="eastAsia"/>
        </w:rPr>
        <w:t>（4）办公、生产、生活设施等建（构）筑物按其征地范围线或围墙外边线划定管理范围。</w:t>
      </w:r>
    </w:p>
    <w:p>
      <w:pPr>
        <w:ind w:firstLine="640"/>
      </w:pPr>
      <w:r>
        <w:rPr>
          <w:rFonts w:hint="eastAsia"/>
        </w:rPr>
        <w:t>3</w:t>
      </w:r>
      <w:r>
        <w:t>.2.3.2</w:t>
      </w:r>
      <w:r>
        <w:rPr>
          <w:rFonts w:hint="eastAsia"/>
        </w:rPr>
        <w:t>保护范围</w:t>
      </w:r>
    </w:p>
    <w:p>
      <w:pPr>
        <w:ind w:firstLine="640"/>
      </w:pPr>
      <w:r>
        <w:rPr>
          <w:rFonts w:hint="eastAsia"/>
        </w:rPr>
        <w:t>（1）引水枢纽的保护范围参照本导则同类型工程有关规定执行。</w:t>
      </w:r>
    </w:p>
    <w:p>
      <w:pPr>
        <w:ind w:firstLine="640"/>
      </w:pPr>
      <w:r>
        <w:rPr>
          <w:rFonts w:hint="eastAsia"/>
        </w:rPr>
        <w:t>（2）渠道自两边渠堤外坡或者开挖线向外延伸1～5m，渠系建筑物周边2～10m为保护范围。</w:t>
      </w:r>
    </w:p>
    <w:p>
      <w:pPr>
        <w:ind w:firstLine="640"/>
      </w:pPr>
      <w:r>
        <w:rPr>
          <w:rFonts w:hint="eastAsia"/>
        </w:rPr>
        <w:t>（3）办公、生产、生活区按照红线范围划定保护范围。</w:t>
      </w:r>
    </w:p>
    <w:p>
      <w:pPr>
        <w:ind w:firstLine="562"/>
        <w:rPr>
          <w:rFonts w:cs="Times New Roman"/>
          <w:b/>
          <w:sz w:val="28"/>
          <w:szCs w:val="28"/>
        </w:rPr>
      </w:pPr>
      <w:r>
        <w:rPr>
          <w:rFonts w:cs="Times New Roman"/>
          <w:b/>
          <w:sz w:val="28"/>
          <w:szCs w:val="28"/>
        </w:rPr>
        <w:t>1</w:t>
      </w:r>
      <w:r>
        <w:rPr>
          <w:rFonts w:hint="eastAsia" w:cs="Times New Roman"/>
          <w:b/>
          <w:sz w:val="28"/>
          <w:szCs w:val="28"/>
        </w:rPr>
        <w:t>.金江水库灌区</w:t>
      </w:r>
    </w:p>
    <w:p>
      <w:pPr>
        <w:ind w:firstLine="640"/>
      </w:pPr>
      <w:r>
        <w:rPr>
          <w:rFonts w:hint="eastAsia"/>
        </w:rPr>
        <w:t>（1）管理范围线标绘</w:t>
      </w:r>
    </w:p>
    <w:p>
      <w:pPr>
        <w:ind w:firstLine="640"/>
      </w:pPr>
      <w:r>
        <w:rPr>
          <w:rFonts w:hint="eastAsia"/>
        </w:rPr>
        <w:t>根据收集的资料结合外业调绘测量工作，标绘金江水库灌区渠系建筑和隧洞进出口位置。</w:t>
      </w:r>
    </w:p>
    <w:p>
      <w:pPr>
        <w:ind w:firstLine="640"/>
      </w:pPr>
      <w:r>
        <w:rPr>
          <w:rFonts w:hint="eastAsia"/>
        </w:rPr>
        <w:t>金江水库灌区干渠包括左干渠、右干渠、中干渠，其管理范围线以渠堤外坡脚或渠道开挖线划定。灌区管理用房的管理范围线按建设用地红线或围墙标绘。</w:t>
      </w:r>
    </w:p>
    <w:p>
      <w:pPr>
        <w:ind w:firstLine="640"/>
      </w:pPr>
      <w:r>
        <w:rPr>
          <w:rFonts w:hint="eastAsia"/>
        </w:rPr>
        <w:t>（2）保护范围线标绘</w:t>
      </w:r>
    </w:p>
    <w:p>
      <w:pPr>
        <w:ind w:firstLine="640"/>
      </w:pPr>
      <w:r>
        <w:rPr>
          <w:rFonts w:hint="eastAsia"/>
        </w:rPr>
        <w:t>保护范围线以管理范围线外延2~5米划定，根据县水利局意见，灌区保护范围线在乡镇、村等人口密集区按照管理范围线外延2米划定，其余部分按照管理范围线外延5米划定。</w:t>
      </w:r>
    </w:p>
    <w:p>
      <w:pPr>
        <w:pStyle w:val="4"/>
        <w:ind w:firstLine="640"/>
      </w:pPr>
      <w:r>
        <w:rPr>
          <w:rFonts w:hint="eastAsia"/>
        </w:rPr>
        <w:t>3</w:t>
      </w:r>
      <w:r>
        <w:t xml:space="preserve">.2.4 </w:t>
      </w:r>
      <w:r>
        <w:rPr>
          <w:rFonts w:hint="eastAsia"/>
        </w:rPr>
        <w:t>泵站</w:t>
      </w:r>
    </w:p>
    <w:p>
      <w:pPr>
        <w:ind w:firstLine="640"/>
      </w:pPr>
      <w:r>
        <w:rPr>
          <w:rFonts w:hint="eastAsia"/>
        </w:rPr>
        <w:t>3</w:t>
      </w:r>
      <w:r>
        <w:t>.2.4.1</w:t>
      </w:r>
      <w:r>
        <w:rPr>
          <w:rFonts w:hint="eastAsia"/>
        </w:rPr>
        <w:t>管理范围</w:t>
      </w:r>
    </w:p>
    <w:p>
      <w:pPr>
        <w:spacing w:line="360" w:lineRule="auto"/>
        <w:ind w:firstLine="640"/>
        <w:rPr>
          <w:rFonts w:cs="Times New Roman"/>
          <w:color w:val="000000"/>
        </w:rPr>
      </w:pPr>
      <w:r>
        <w:rPr>
          <w:rFonts w:hint="eastAsia" w:cs="Times New Roman"/>
          <w:color w:val="000000"/>
        </w:rPr>
        <w:t>（1）泵站工程管理范围包括上游连接段（进水闸、引渠、前池等）、清污机桥、进水池、泵房、下游连接段（出水管道、出水池等）及压力水箱等主体工程的覆盖范围及主体工程建筑物边界线外延2～10m的区域。主体工程外的管理范围可依表</w:t>
      </w:r>
      <w:r>
        <w:rPr>
          <w:rFonts w:cs="Times New Roman"/>
          <w:color w:val="000000"/>
        </w:rPr>
        <w:t>3.2.4.1-1</w:t>
      </w:r>
      <w:r>
        <w:rPr>
          <w:rFonts w:hint="eastAsia" w:cs="Times New Roman"/>
          <w:color w:val="000000"/>
        </w:rPr>
        <w:t>。</w:t>
      </w:r>
    </w:p>
    <w:p>
      <w:pPr>
        <w:widowControl/>
        <w:spacing w:line="360" w:lineRule="auto"/>
        <w:ind w:firstLine="0" w:firstLineChars="0"/>
        <w:jc w:val="center"/>
        <w:rPr>
          <w:rFonts w:eastAsia="黑体" w:cs="Times New Roman"/>
          <w:b/>
          <w:color w:val="000000"/>
          <w:sz w:val="21"/>
          <w:szCs w:val="21"/>
        </w:rPr>
      </w:pPr>
      <w:r>
        <w:rPr>
          <w:rFonts w:hint="eastAsia" w:eastAsia="黑体" w:cs="Times New Roman"/>
          <w:b/>
          <w:color w:val="000000"/>
          <w:sz w:val="21"/>
          <w:szCs w:val="21"/>
        </w:rPr>
        <w:t>表</w:t>
      </w:r>
      <w:r>
        <w:rPr>
          <w:rFonts w:eastAsia="黑体" w:cs="Times New Roman"/>
          <w:b/>
          <w:color w:val="000000"/>
          <w:sz w:val="21"/>
          <w:szCs w:val="21"/>
        </w:rPr>
        <w:t>3</w:t>
      </w:r>
      <w:r>
        <w:rPr>
          <w:rFonts w:hint="eastAsia" w:eastAsia="黑体" w:cs="Times New Roman"/>
          <w:b/>
          <w:color w:val="000000"/>
          <w:sz w:val="21"/>
          <w:szCs w:val="21"/>
        </w:rPr>
        <w:t>.</w:t>
      </w:r>
      <w:r>
        <w:rPr>
          <w:rFonts w:eastAsia="黑体" w:cs="Times New Roman"/>
          <w:b/>
          <w:color w:val="000000"/>
          <w:sz w:val="21"/>
          <w:szCs w:val="21"/>
        </w:rPr>
        <w:t>2</w:t>
      </w:r>
      <w:r>
        <w:rPr>
          <w:rFonts w:hint="eastAsia" w:eastAsia="黑体" w:cs="Times New Roman"/>
          <w:b/>
          <w:color w:val="000000"/>
          <w:sz w:val="21"/>
          <w:szCs w:val="21"/>
        </w:rPr>
        <w:t>.</w:t>
      </w:r>
      <w:r>
        <w:rPr>
          <w:rFonts w:eastAsia="黑体" w:cs="Times New Roman"/>
          <w:b/>
          <w:color w:val="000000"/>
          <w:sz w:val="21"/>
          <w:szCs w:val="21"/>
        </w:rPr>
        <w:t>4.1</w:t>
      </w:r>
      <w:r>
        <w:rPr>
          <w:rFonts w:hint="eastAsia" w:eastAsia="黑体" w:cs="Times New Roman"/>
          <w:b/>
          <w:color w:val="000000"/>
          <w:sz w:val="21"/>
          <w:szCs w:val="21"/>
        </w:rPr>
        <w:t>-</w:t>
      </w:r>
      <w:r>
        <w:rPr>
          <w:rFonts w:eastAsia="黑体" w:cs="Times New Roman"/>
          <w:b/>
          <w:color w:val="000000"/>
          <w:sz w:val="21"/>
          <w:szCs w:val="21"/>
        </w:rPr>
        <w:t>1</w:t>
      </w:r>
      <w:r>
        <w:rPr>
          <w:rFonts w:hint="eastAsia" w:eastAsia="黑体" w:cs="Times New Roman"/>
          <w:b/>
          <w:color w:val="000000"/>
          <w:sz w:val="21"/>
          <w:szCs w:val="21"/>
        </w:rPr>
        <w:t xml:space="preserve"> 泵站主体工程外的管理范围</w:t>
      </w:r>
    </w:p>
    <w:tbl>
      <w:tblPr>
        <w:tblStyle w:val="16"/>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1900"/>
        <w:gridCol w:w="2149"/>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96" w:type="dxa"/>
            <w:vAlign w:val="center"/>
          </w:tcPr>
          <w:p>
            <w:pPr>
              <w:spacing w:line="240" w:lineRule="auto"/>
              <w:ind w:firstLine="0" w:firstLineChars="0"/>
              <w:jc w:val="center"/>
              <w:rPr>
                <w:rFonts w:eastAsia="宋体" w:cs="Times New Roman"/>
                <w:b/>
                <w:color w:val="000000"/>
                <w:sz w:val="21"/>
                <w:szCs w:val="21"/>
              </w:rPr>
            </w:pPr>
            <w:r>
              <w:rPr>
                <w:rFonts w:eastAsia="宋体" w:cs="Times New Roman"/>
                <w:b/>
                <w:color w:val="000000"/>
                <w:sz w:val="21"/>
                <w:szCs w:val="21"/>
              </w:rPr>
              <w:t>工程规模</w:t>
            </w:r>
          </w:p>
        </w:tc>
        <w:tc>
          <w:tcPr>
            <w:tcW w:w="1900" w:type="dxa"/>
            <w:vAlign w:val="center"/>
          </w:tcPr>
          <w:p>
            <w:pPr>
              <w:spacing w:line="240" w:lineRule="auto"/>
              <w:ind w:firstLine="0" w:firstLineChars="0"/>
              <w:jc w:val="center"/>
              <w:rPr>
                <w:rFonts w:eastAsia="宋体" w:cs="Times New Roman"/>
                <w:b/>
                <w:color w:val="000000"/>
                <w:sz w:val="21"/>
                <w:szCs w:val="21"/>
              </w:rPr>
            </w:pPr>
            <w:r>
              <w:rPr>
                <w:rFonts w:eastAsia="宋体" w:cs="Times New Roman"/>
                <w:b/>
                <w:color w:val="000000"/>
                <w:sz w:val="21"/>
                <w:szCs w:val="21"/>
              </w:rPr>
              <w:t>大型</w:t>
            </w:r>
            <w:r>
              <w:rPr>
                <w:rFonts w:hint="eastAsia" w:eastAsia="宋体" w:cs="Times New Roman"/>
                <w:b/>
                <w:color w:val="000000"/>
                <w:sz w:val="21"/>
                <w:szCs w:val="21"/>
              </w:rPr>
              <w:t>（m）</w:t>
            </w:r>
          </w:p>
        </w:tc>
        <w:tc>
          <w:tcPr>
            <w:tcW w:w="2149" w:type="dxa"/>
            <w:vAlign w:val="center"/>
          </w:tcPr>
          <w:p>
            <w:pPr>
              <w:spacing w:line="240" w:lineRule="auto"/>
              <w:ind w:firstLine="0" w:firstLineChars="0"/>
              <w:jc w:val="center"/>
              <w:rPr>
                <w:rFonts w:eastAsia="宋体" w:cs="Times New Roman"/>
                <w:b/>
                <w:color w:val="000000"/>
                <w:sz w:val="21"/>
                <w:szCs w:val="21"/>
              </w:rPr>
            </w:pPr>
            <w:r>
              <w:rPr>
                <w:rFonts w:eastAsia="宋体" w:cs="Times New Roman"/>
                <w:b/>
                <w:color w:val="000000"/>
                <w:sz w:val="21"/>
                <w:szCs w:val="21"/>
              </w:rPr>
              <w:t>中型</w:t>
            </w:r>
            <w:r>
              <w:rPr>
                <w:rFonts w:hint="eastAsia" w:eastAsia="宋体" w:cs="Times New Roman"/>
                <w:b/>
                <w:color w:val="000000"/>
                <w:sz w:val="21"/>
                <w:szCs w:val="21"/>
              </w:rPr>
              <w:t>（m）</w:t>
            </w:r>
          </w:p>
        </w:tc>
        <w:tc>
          <w:tcPr>
            <w:tcW w:w="2149" w:type="dxa"/>
            <w:vAlign w:val="center"/>
          </w:tcPr>
          <w:p>
            <w:pPr>
              <w:spacing w:line="240" w:lineRule="auto"/>
              <w:ind w:firstLine="0" w:firstLineChars="0"/>
              <w:jc w:val="center"/>
              <w:rPr>
                <w:rFonts w:eastAsia="宋体" w:cs="Times New Roman"/>
                <w:b/>
                <w:color w:val="000000"/>
                <w:sz w:val="21"/>
                <w:szCs w:val="21"/>
              </w:rPr>
            </w:pPr>
            <w:r>
              <w:rPr>
                <w:rFonts w:eastAsia="宋体" w:cs="Times New Roman"/>
                <w:b/>
                <w:color w:val="000000"/>
                <w:sz w:val="21"/>
                <w:szCs w:val="21"/>
              </w:rPr>
              <w:t>小型</w:t>
            </w:r>
            <w:r>
              <w:rPr>
                <w:rFonts w:hint="eastAsia" w:eastAsia="宋体" w:cs="Times New Roman"/>
                <w:b/>
                <w:color w:val="00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96" w:type="dxa"/>
            <w:vAlign w:val="center"/>
          </w:tcPr>
          <w:p>
            <w:pPr>
              <w:spacing w:line="240" w:lineRule="auto"/>
              <w:ind w:firstLine="0" w:firstLineChars="0"/>
              <w:jc w:val="center"/>
              <w:rPr>
                <w:rFonts w:eastAsia="宋体" w:cs="Times New Roman"/>
                <w:color w:val="000000"/>
                <w:sz w:val="21"/>
                <w:szCs w:val="21"/>
              </w:rPr>
            </w:pPr>
            <w:r>
              <w:rPr>
                <w:rFonts w:hint="eastAsia" w:eastAsia="宋体" w:cs="Times New Roman"/>
                <w:color w:val="000000"/>
                <w:sz w:val="21"/>
                <w:szCs w:val="21"/>
              </w:rPr>
              <w:t>外延距离</w:t>
            </w:r>
          </w:p>
        </w:tc>
        <w:tc>
          <w:tcPr>
            <w:tcW w:w="1900" w:type="dxa"/>
            <w:vAlign w:val="center"/>
          </w:tcPr>
          <w:p>
            <w:pPr>
              <w:spacing w:line="240" w:lineRule="auto"/>
              <w:ind w:firstLine="0" w:firstLineChars="0"/>
              <w:jc w:val="center"/>
              <w:rPr>
                <w:rFonts w:eastAsia="宋体" w:cs="Times New Roman"/>
                <w:color w:val="000000"/>
                <w:sz w:val="21"/>
                <w:szCs w:val="21"/>
              </w:rPr>
            </w:pPr>
            <w:r>
              <w:rPr>
                <w:rFonts w:hint="eastAsia" w:eastAsia="宋体" w:cs="Times New Roman"/>
                <w:color w:val="000000"/>
                <w:sz w:val="21"/>
                <w:szCs w:val="21"/>
              </w:rPr>
              <w:t>8</w:t>
            </w:r>
            <w:r>
              <w:rPr>
                <w:rFonts w:eastAsia="宋体" w:cs="Times New Roman"/>
                <w:color w:val="000000"/>
                <w:sz w:val="21"/>
                <w:szCs w:val="21"/>
              </w:rPr>
              <w:t>～10</w:t>
            </w:r>
          </w:p>
        </w:tc>
        <w:tc>
          <w:tcPr>
            <w:tcW w:w="2149"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5～8</w:t>
            </w:r>
          </w:p>
        </w:tc>
        <w:tc>
          <w:tcPr>
            <w:tcW w:w="2149" w:type="dxa"/>
            <w:vAlign w:val="center"/>
          </w:tcPr>
          <w:p>
            <w:pPr>
              <w:spacing w:line="240" w:lineRule="auto"/>
              <w:ind w:firstLine="0" w:firstLineChars="0"/>
              <w:jc w:val="center"/>
              <w:rPr>
                <w:rFonts w:eastAsia="宋体" w:cs="Times New Roman"/>
                <w:color w:val="000000"/>
                <w:sz w:val="21"/>
                <w:szCs w:val="21"/>
              </w:rPr>
            </w:pPr>
            <w:r>
              <w:rPr>
                <w:rFonts w:eastAsia="宋体" w:cs="Times New Roman"/>
                <w:color w:val="000000"/>
                <w:sz w:val="21"/>
                <w:szCs w:val="21"/>
              </w:rPr>
              <w:t>2～5</w:t>
            </w:r>
          </w:p>
        </w:tc>
      </w:tr>
    </w:tbl>
    <w:p>
      <w:pPr>
        <w:spacing w:line="360" w:lineRule="auto"/>
        <w:ind w:firstLine="640"/>
        <w:rPr>
          <w:rFonts w:cs="Times New Roman"/>
          <w:color w:val="000000"/>
        </w:rPr>
      </w:pPr>
      <w:r>
        <w:rPr>
          <w:rFonts w:hint="eastAsia" w:cs="Times New Roman"/>
          <w:color w:val="000000"/>
        </w:rPr>
        <w:t>（2）浮动式泵站管理范围宜以取水作业范围为边界。</w:t>
      </w:r>
    </w:p>
    <w:p>
      <w:pPr>
        <w:spacing w:line="360" w:lineRule="auto"/>
        <w:ind w:firstLine="640"/>
        <w:rPr>
          <w:rFonts w:cs="Times New Roman"/>
          <w:color w:val="000000"/>
        </w:rPr>
      </w:pPr>
      <w:r>
        <w:rPr>
          <w:rFonts w:hint="eastAsia" w:cs="Times New Roman"/>
          <w:color w:val="000000"/>
        </w:rPr>
        <w:t>（3）运行区按其土地征用线或围墙外边线划定管理范围。</w:t>
      </w:r>
    </w:p>
    <w:p>
      <w:pPr>
        <w:ind w:firstLine="640"/>
        <w:rPr>
          <w:rFonts w:cs="Times New Roman"/>
          <w:color w:val="000000"/>
        </w:rPr>
      </w:pPr>
      <w:r>
        <w:rPr>
          <w:rFonts w:hint="eastAsia" w:cs="Times New Roman"/>
          <w:color w:val="000000"/>
        </w:rPr>
        <w:t>（4）已完成征地的泵站，如果土地征用线与上述管理范围线划定规则不相符合，以覆盖范围大的为准。</w:t>
      </w:r>
    </w:p>
    <w:p>
      <w:pPr>
        <w:ind w:firstLine="562"/>
        <w:rPr>
          <w:rFonts w:cs="Times New Roman"/>
          <w:b/>
          <w:sz w:val="28"/>
          <w:szCs w:val="28"/>
        </w:rPr>
      </w:pPr>
      <w:r>
        <w:rPr>
          <w:rFonts w:cs="Times New Roman"/>
          <w:b/>
          <w:sz w:val="28"/>
          <w:szCs w:val="28"/>
        </w:rPr>
        <w:t>1</w:t>
      </w:r>
      <w:r>
        <w:rPr>
          <w:rFonts w:hint="eastAsia" w:cs="Times New Roman"/>
          <w:b/>
          <w:sz w:val="28"/>
          <w:szCs w:val="28"/>
        </w:rPr>
        <w:t>.湘江水轮泵站</w:t>
      </w:r>
    </w:p>
    <w:p>
      <w:pPr>
        <w:ind w:firstLine="640"/>
      </w:pPr>
      <w:r>
        <w:rPr>
          <w:rFonts w:hint="eastAsia"/>
        </w:rPr>
        <w:t>（1）管理范围线标绘</w:t>
      </w:r>
    </w:p>
    <w:p>
      <w:pPr>
        <w:ind w:firstLine="640"/>
      </w:pPr>
      <w:r>
        <w:rPr>
          <w:rFonts w:hint="eastAsia"/>
        </w:rPr>
        <w:t>泵站管理范围为泵站主体工程各组成部分的覆盖范围及覆盖范围以外的一定范围。本次划界将泵站管理用房及泵站运行区等标绘，参考泵站的征地红线范围确定此次湘江水轮泵站的管理范围。</w:t>
      </w:r>
    </w:p>
    <w:p>
      <w:pPr>
        <w:ind w:firstLine="640"/>
      </w:pPr>
      <w:r>
        <w:rPr>
          <w:rFonts w:hint="eastAsia"/>
        </w:rPr>
        <w:t>（2）保护范围线标绘</w:t>
      </w:r>
    </w:p>
    <w:p>
      <w:pPr>
        <w:ind w:firstLine="640"/>
      </w:pPr>
      <w:r>
        <w:rPr>
          <w:rFonts w:hint="eastAsia"/>
        </w:rPr>
        <w:t>本次划界保护范围将泵站管理范围边界向外延伸10米，其中管理运行区不划定保护范围。</w:t>
      </w:r>
    </w:p>
    <w:p>
      <w:pPr>
        <w:ind w:firstLine="562"/>
        <w:rPr>
          <w:rFonts w:cs="Times New Roman"/>
          <w:b/>
          <w:sz w:val="28"/>
          <w:szCs w:val="28"/>
        </w:rPr>
      </w:pPr>
      <w:r>
        <w:rPr>
          <w:rFonts w:cs="Times New Roman"/>
          <w:b/>
          <w:sz w:val="28"/>
          <w:szCs w:val="28"/>
        </w:rPr>
        <w:t>2</w:t>
      </w:r>
      <w:r>
        <w:rPr>
          <w:rFonts w:hint="eastAsia" w:cs="Times New Roman"/>
          <w:b/>
          <w:sz w:val="28"/>
          <w:szCs w:val="28"/>
        </w:rPr>
        <w:t>.国营东安县石期市机电排灌站</w:t>
      </w:r>
    </w:p>
    <w:p>
      <w:pPr>
        <w:ind w:firstLine="640"/>
      </w:pPr>
      <w:r>
        <w:rPr>
          <w:rFonts w:hint="eastAsia"/>
        </w:rPr>
        <w:t>（1）管理范围线标绘</w:t>
      </w:r>
    </w:p>
    <w:p>
      <w:pPr>
        <w:ind w:firstLine="640"/>
      </w:pPr>
      <w:r>
        <w:rPr>
          <w:rFonts w:hint="eastAsia"/>
        </w:rPr>
        <w:t>排灌站管理范围为排灌站管理办公用地和分布在各个村的电排机埠用地组成。本次划界将机电排灌站管理办公用房按照征地范围标会，机埠用地按照泵站划界标准划定管理范围。</w:t>
      </w:r>
    </w:p>
    <w:p>
      <w:pPr>
        <w:ind w:firstLine="640"/>
      </w:pPr>
      <w:r>
        <w:rPr>
          <w:rFonts w:hint="eastAsia"/>
        </w:rPr>
        <w:t>（2）保护范围线标绘</w:t>
      </w:r>
    </w:p>
    <w:p>
      <w:pPr>
        <w:ind w:firstLine="640"/>
      </w:pPr>
      <w:r>
        <w:rPr>
          <w:rFonts w:hint="eastAsia"/>
        </w:rPr>
        <w:t>本次划界保护范围将排灌站管理范围边界向外延伸10米，其中管理运行区不划定保护范围。</w:t>
      </w:r>
    </w:p>
    <w:p>
      <w:pPr>
        <w:ind w:firstLine="562"/>
        <w:rPr>
          <w:rFonts w:cs="Times New Roman"/>
          <w:b/>
          <w:sz w:val="28"/>
          <w:szCs w:val="28"/>
        </w:rPr>
      </w:pPr>
      <w:r>
        <w:rPr>
          <w:rFonts w:cs="Times New Roman"/>
          <w:b/>
          <w:sz w:val="28"/>
          <w:szCs w:val="28"/>
        </w:rPr>
        <w:t>3</w:t>
      </w:r>
      <w:r>
        <w:rPr>
          <w:rFonts w:hint="eastAsia" w:cs="Times New Roman"/>
          <w:b/>
          <w:sz w:val="28"/>
          <w:szCs w:val="28"/>
        </w:rPr>
        <w:t>.芦洪市机电排灌站</w:t>
      </w:r>
    </w:p>
    <w:p>
      <w:pPr>
        <w:ind w:firstLine="640"/>
      </w:pPr>
      <w:r>
        <w:rPr>
          <w:rFonts w:hint="eastAsia"/>
        </w:rPr>
        <w:t>（1）管理范围线标绘</w:t>
      </w:r>
    </w:p>
    <w:p>
      <w:pPr>
        <w:ind w:firstLine="640"/>
      </w:pPr>
      <w:r>
        <w:rPr>
          <w:rFonts w:hint="eastAsia"/>
        </w:rPr>
        <w:t>排灌站管理范围为排灌站管理办公用地和分布在各个村的电排机埠用地组成。本次划界将机电排灌站管理办公用房按照征地范围标会，机埠用地按照泵站划界标准划定管理范围。</w:t>
      </w:r>
    </w:p>
    <w:p>
      <w:pPr>
        <w:ind w:firstLine="640"/>
      </w:pPr>
      <w:r>
        <w:rPr>
          <w:rFonts w:hint="eastAsia"/>
        </w:rPr>
        <w:t>（2）保护范围线标绘</w:t>
      </w:r>
    </w:p>
    <w:p>
      <w:pPr>
        <w:ind w:firstLine="640"/>
      </w:pPr>
      <w:r>
        <w:rPr>
          <w:rFonts w:hint="eastAsia"/>
        </w:rPr>
        <w:t>本次划界保护范围将排灌站管理范围边界向外延伸10米，其中管理运行区不划定保护范围。</w:t>
      </w:r>
    </w:p>
    <w:p>
      <w:pPr>
        <w:pStyle w:val="3"/>
        <w:ind w:firstLine="643"/>
      </w:pPr>
      <w:r>
        <w:rPr>
          <w:rFonts w:hint="eastAsia"/>
        </w:rPr>
        <w:t>3</w:t>
      </w:r>
      <w:r>
        <w:t>.</w:t>
      </w:r>
      <w:r>
        <w:rPr>
          <w:rFonts w:hint="eastAsia"/>
        </w:rPr>
        <w:t>3</w:t>
      </w:r>
      <w:r>
        <w:t xml:space="preserve"> 电子桩和电子告示牌布设</w:t>
      </w:r>
      <w:bookmarkEnd w:id="43"/>
      <w:bookmarkEnd w:id="44"/>
    </w:p>
    <w:p>
      <w:pPr>
        <w:pStyle w:val="4"/>
        <w:ind w:firstLine="640"/>
      </w:pPr>
      <w:bookmarkStart w:id="45" w:name="_Toc60738513"/>
      <w:bookmarkStart w:id="46" w:name="_Toc24392"/>
      <w:r>
        <w:rPr>
          <w:rFonts w:hint="eastAsia"/>
        </w:rPr>
        <w:t>3</w:t>
      </w:r>
      <w:r>
        <w:t>.</w:t>
      </w:r>
      <w:r>
        <w:rPr>
          <w:rFonts w:hint="eastAsia"/>
        </w:rPr>
        <w:t>3</w:t>
      </w:r>
      <w:r>
        <w:t xml:space="preserve">.1 </w:t>
      </w:r>
      <w:r>
        <w:rPr>
          <w:rFonts w:hint="eastAsia"/>
        </w:rPr>
        <w:t>电子桩和电子告示牌布设总体原则</w:t>
      </w:r>
      <w:bookmarkEnd w:id="45"/>
      <w:bookmarkEnd w:id="46"/>
    </w:p>
    <w:p>
      <w:pPr>
        <w:ind w:firstLine="640"/>
      </w:pPr>
      <w:r>
        <w:rPr>
          <w:rFonts w:hint="eastAsia"/>
        </w:rPr>
        <w:t>（1）电子界桩布设总体原则</w:t>
      </w:r>
    </w:p>
    <w:p>
      <w:pPr>
        <w:ind w:firstLine="640"/>
      </w:pPr>
      <w:r>
        <w:t>1）布设界桩时以能控制水利工程管理与保护范围边界的基本走向为原则。</w:t>
      </w:r>
    </w:p>
    <w:p>
      <w:pPr>
        <w:ind w:firstLine="640"/>
      </w:pPr>
      <w:r>
        <w:t>2）工程临水侧不布设管理与保护范围界桩。</w:t>
      </w:r>
    </w:p>
    <w:p>
      <w:pPr>
        <w:ind w:firstLine="640"/>
      </w:pPr>
      <w:r>
        <w:rPr>
          <w:rFonts w:hint="eastAsia"/>
        </w:rPr>
        <w:t>（2）电子告示牌布设总体原则</w:t>
      </w:r>
    </w:p>
    <w:p>
      <w:pPr>
        <w:ind w:firstLine="640"/>
      </w:pPr>
      <w:r>
        <w:t>1）水利工程管理范围线的起点、终点各设一个告示牌，起点、终点之间设置的告示牌间距小于3km。</w:t>
      </w:r>
    </w:p>
    <w:p>
      <w:pPr>
        <w:ind w:firstLine="640"/>
      </w:pPr>
      <w:r>
        <w:t>2）水利工程保护范围线的起点、终点各设一个告示牌，起点、终点之间设置的告示牌间距小于6km。</w:t>
      </w:r>
    </w:p>
    <w:p>
      <w:pPr>
        <w:ind w:firstLine="640"/>
      </w:pPr>
      <w:r>
        <w:t>3）堤防工程的临水侧不布设管理与保护范围告示牌。</w:t>
      </w:r>
    </w:p>
    <w:p>
      <w:pPr>
        <w:ind w:firstLine="640"/>
      </w:pPr>
      <w:r>
        <w:t>4）在下列情况设置</w:t>
      </w:r>
      <w:r>
        <w:rPr>
          <w:rFonts w:hint="eastAsia"/>
        </w:rPr>
        <w:t>电子告示牌</w:t>
      </w:r>
      <w:r>
        <w:t>：</w:t>
      </w:r>
    </w:p>
    <w:p>
      <w:pPr>
        <w:ind w:firstLine="64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穿越城镇规划区上、下游；</w:t>
      </w:r>
    </w:p>
    <w:p>
      <w:pPr>
        <w:ind w:firstLine="64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水利工程重要的下水通道、取水口、电站等；</w:t>
      </w:r>
    </w:p>
    <w:p>
      <w:pPr>
        <w:ind w:firstLine="64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t>人口密集或人流聚集地点河湖岸；</w:t>
      </w:r>
    </w:p>
    <w:p>
      <w:pPr>
        <w:ind w:firstLine="64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t>水事纠纷和水事案件易发地段或行政界。</w:t>
      </w:r>
    </w:p>
    <w:p>
      <w:pPr>
        <w:pStyle w:val="4"/>
        <w:ind w:firstLine="640"/>
      </w:pPr>
      <w:bookmarkStart w:id="47" w:name="_Toc357"/>
      <w:bookmarkStart w:id="48" w:name="_Toc60738514"/>
      <w:r>
        <w:rPr>
          <w:rFonts w:hint="eastAsia"/>
        </w:rPr>
        <w:t>3</w:t>
      </w:r>
      <w:r>
        <w:t>.</w:t>
      </w:r>
      <w:r>
        <w:rPr>
          <w:rFonts w:hint="eastAsia"/>
        </w:rPr>
        <w:t>3</w:t>
      </w:r>
      <w:r>
        <w:t xml:space="preserve">.2 </w:t>
      </w:r>
      <w:r>
        <w:rPr>
          <w:rFonts w:hint="eastAsia"/>
        </w:rPr>
        <w:t>电子桩和电子告示牌布设密度</w:t>
      </w:r>
      <w:bookmarkEnd w:id="47"/>
      <w:bookmarkEnd w:id="48"/>
    </w:p>
    <w:p>
      <w:pPr>
        <w:ind w:firstLine="640"/>
      </w:pPr>
      <w:r>
        <w:rPr>
          <w:rFonts w:hint="eastAsia"/>
        </w:rPr>
        <w:t>根据水利部印发的《河湖及水利工程界桩、告示牌制作安装标准》（建安〔</w:t>
      </w:r>
      <w:r>
        <w:t>2016〕87号），界桩密度为100~1000m，关键部位适当加密，相邻两界桩之间尽量相互通视。在水利工程无生产、生活等人类活动的陡崖、荒山、森林等地段，根据实际情况加大间距。</w:t>
      </w:r>
    </w:p>
    <w:p>
      <w:pPr>
        <w:ind w:firstLine="640"/>
      </w:pPr>
      <w:r>
        <w:rPr>
          <w:rFonts w:hint="eastAsia"/>
        </w:rPr>
        <w:t>对以下情况增设界桩：</w:t>
      </w:r>
    </w:p>
    <w:p>
      <w:pPr>
        <w:ind w:firstLine="640"/>
      </w:pPr>
      <w:r>
        <w:t>1）水利工程坝区、取水口、电站等重要设施处；</w:t>
      </w:r>
    </w:p>
    <w:p>
      <w:pPr>
        <w:ind w:firstLine="640"/>
      </w:pPr>
      <w:r>
        <w:t>2）水利工程拐弯（角度小于120°）处；</w:t>
      </w:r>
    </w:p>
    <w:p>
      <w:pPr>
        <w:ind w:firstLine="640"/>
      </w:pPr>
      <w:r>
        <w:t>3）水事纠纷和水事案件易发地段或县级以上行政区域边界。</w:t>
      </w:r>
    </w:p>
    <w:p>
      <w:pPr>
        <w:pStyle w:val="4"/>
        <w:ind w:firstLine="640"/>
      </w:pPr>
      <w:bookmarkStart w:id="49" w:name="_Toc60738515"/>
      <w:bookmarkStart w:id="50" w:name="_Toc22849"/>
      <w:r>
        <w:rPr>
          <w:rFonts w:hint="eastAsia"/>
        </w:rPr>
        <w:t>3</w:t>
      </w:r>
      <w:r>
        <w:t>.</w:t>
      </w:r>
      <w:r>
        <w:rPr>
          <w:rFonts w:hint="eastAsia"/>
        </w:rPr>
        <w:t>3</w:t>
      </w:r>
      <w:r>
        <w:t xml:space="preserve">.3 </w:t>
      </w:r>
      <w:r>
        <w:rPr>
          <w:rFonts w:hint="eastAsia"/>
        </w:rPr>
        <w:t>管理与保护范围界桩编号原则</w:t>
      </w:r>
      <w:bookmarkEnd w:id="49"/>
      <w:bookmarkEnd w:id="50"/>
    </w:p>
    <w:p>
      <w:pPr>
        <w:ind w:firstLine="640"/>
      </w:pPr>
      <w:r>
        <w:rPr>
          <w:rFonts w:hint="eastAsia"/>
        </w:rPr>
        <w:t>水库库区界桩序号按照先左岸后右岸编排；坝区界桩序号按照管理需要编排；灌区工程界桩编号从源头开始按照从上往下、从左至右方式分渠道续编界桩编号；水电站、水闸、泵站和其他水利工程编号按照管理需要编排。</w:t>
      </w:r>
    </w:p>
    <w:p>
      <w:pPr>
        <w:pStyle w:val="4"/>
        <w:ind w:firstLine="640"/>
      </w:pPr>
      <w:bookmarkStart w:id="51" w:name="_Toc4292"/>
      <w:bookmarkStart w:id="52" w:name="_Toc60738516"/>
      <w:r>
        <w:rPr>
          <w:rFonts w:hint="eastAsia"/>
        </w:rPr>
        <w:t>3</w:t>
      </w:r>
      <w:r>
        <w:t>.</w:t>
      </w:r>
      <w:r>
        <w:rPr>
          <w:rFonts w:hint="eastAsia"/>
        </w:rPr>
        <w:t>3</w:t>
      </w:r>
      <w:r>
        <w:t xml:space="preserve">.4 </w:t>
      </w:r>
      <w:r>
        <w:rPr>
          <w:rFonts w:hint="eastAsia"/>
        </w:rPr>
        <w:t>管理与保护范围界桩编码规则</w:t>
      </w:r>
      <w:bookmarkEnd w:id="51"/>
      <w:bookmarkEnd w:id="52"/>
    </w:p>
    <w:p>
      <w:pPr>
        <w:ind w:firstLine="640"/>
        <w:rPr>
          <w:color w:val="000000" w:themeColor="text1"/>
          <w14:textFill>
            <w14:solidFill>
              <w14:schemeClr w14:val="tx1"/>
            </w14:solidFill>
          </w14:textFill>
        </w:rPr>
      </w:pPr>
      <w:r>
        <w:rPr>
          <w:rFonts w:hint="eastAsia"/>
        </w:rPr>
        <w:t>水利工程界桩编码，按“水利工程名称首字母”</w:t>
      </w:r>
      <w:r>
        <w:t>-</w:t>
      </w:r>
      <w:r>
        <w:rPr>
          <w:rFonts w:hint="eastAsia"/>
        </w:rPr>
        <w:t>“</w:t>
      </w:r>
      <w:r>
        <w:t>水利工程类型首字母</w:t>
      </w:r>
      <w:r>
        <w:rPr>
          <w:rFonts w:hint="eastAsia"/>
        </w:rPr>
        <w:t>”</w:t>
      </w:r>
      <w:r>
        <w:t>（灌区为干渠名称）-</w:t>
      </w:r>
      <w:r>
        <w:rPr>
          <w:rFonts w:hint="eastAsia"/>
        </w:rPr>
        <w:t>“</w:t>
      </w:r>
      <w:r>
        <w:t>G（表示管理范围界桩）</w:t>
      </w:r>
      <w:r>
        <w:rPr>
          <w:rFonts w:hint="eastAsia"/>
        </w:rPr>
        <w:t>”</w:t>
      </w:r>
      <w:r>
        <w:t>或</w:t>
      </w:r>
      <w:r>
        <w:rPr>
          <w:rFonts w:hint="eastAsia"/>
        </w:rPr>
        <w:t>“</w:t>
      </w:r>
      <w:r>
        <w:t>B（保护范围界桩）</w:t>
      </w:r>
      <w:r>
        <w:rPr>
          <w:rFonts w:hint="eastAsia"/>
        </w:rPr>
        <w:t>”</w:t>
      </w:r>
      <w:r>
        <w:t>-</w:t>
      </w:r>
      <w:r>
        <w:rPr>
          <w:rFonts w:hint="eastAsia"/>
        </w:rPr>
        <w:t>“</w:t>
      </w:r>
      <w:r>
        <w:t>（L或R）顺序码</w:t>
      </w:r>
      <w:r>
        <w:rPr>
          <w:rFonts w:hint="eastAsia"/>
        </w:rPr>
        <w:t>”</w:t>
      </w:r>
      <w:r>
        <w:t>表示（堤防需要区分左右岸的以</w:t>
      </w:r>
      <w:r>
        <w:rPr>
          <w:rFonts w:hint="eastAsia"/>
        </w:rPr>
        <w:t>“</w:t>
      </w:r>
      <w:r>
        <w:t>L</w:t>
      </w:r>
      <w:r>
        <w:rPr>
          <w:rFonts w:hint="eastAsia"/>
        </w:rPr>
        <w:t>”“</w:t>
      </w:r>
      <w:r>
        <w:t>R</w:t>
      </w:r>
      <w:r>
        <w:rPr>
          <w:rFonts w:hint="eastAsia"/>
        </w:rPr>
        <w:t>”</w:t>
      </w:r>
      <w:r>
        <w:t>加顺序码区分）。其中</w:t>
      </w:r>
      <w:r>
        <w:rPr>
          <w:rFonts w:hint="eastAsia"/>
        </w:rPr>
        <w:t>“</w:t>
      </w:r>
      <w:r>
        <w:t>水利工程类型首字母</w:t>
      </w:r>
      <w:r>
        <w:rPr>
          <w:rFonts w:hint="eastAsia"/>
        </w:rPr>
        <w:t>”</w:t>
      </w:r>
      <w:r>
        <w:t>有如下表示：水库</w:t>
      </w:r>
      <w:r>
        <w:rPr>
          <w:rFonts w:hint="eastAsia"/>
        </w:rPr>
        <w:t>“</w:t>
      </w:r>
      <w:r>
        <w:t>SK</w:t>
      </w:r>
      <w:r>
        <w:rPr>
          <w:rFonts w:hint="eastAsia"/>
        </w:rPr>
        <w:t>”</w:t>
      </w:r>
      <w:r>
        <w:t>、水电站</w:t>
      </w:r>
      <w:r>
        <w:rPr>
          <w:rFonts w:hint="eastAsia"/>
        </w:rPr>
        <w:t>“</w:t>
      </w:r>
      <w:r>
        <w:t>SDZ</w:t>
      </w:r>
      <w:r>
        <w:rPr>
          <w:rFonts w:hint="eastAsia"/>
        </w:rPr>
        <w:t>”</w:t>
      </w:r>
      <w:r>
        <w:t>、水闸</w:t>
      </w:r>
      <w:r>
        <w:rPr>
          <w:rFonts w:hint="eastAsia"/>
        </w:rPr>
        <w:t>“</w:t>
      </w:r>
      <w:r>
        <w:t>SZ</w:t>
      </w:r>
      <w:r>
        <w:rPr>
          <w:rFonts w:hint="eastAsia"/>
        </w:rPr>
        <w:t>”</w:t>
      </w:r>
      <w:r>
        <w:t>、泵站</w:t>
      </w:r>
      <w:r>
        <w:rPr>
          <w:rFonts w:hint="eastAsia"/>
        </w:rPr>
        <w:t>“</w:t>
      </w:r>
      <w:r>
        <w:t>BZ</w:t>
      </w:r>
      <w:r>
        <w:rPr>
          <w:rFonts w:hint="eastAsia"/>
        </w:rPr>
        <w:t>”</w:t>
      </w:r>
      <w:r>
        <w:t>、堤防</w:t>
      </w:r>
      <w:r>
        <w:rPr>
          <w:rFonts w:hint="eastAsia"/>
        </w:rPr>
        <w:t>“</w:t>
      </w:r>
      <w:r>
        <w:t>DF</w:t>
      </w:r>
      <w:r>
        <w:rPr>
          <w:rFonts w:hint="eastAsia"/>
        </w:rPr>
        <w:t>”</w:t>
      </w:r>
      <w:r>
        <w:t>、灌区</w:t>
      </w:r>
      <w:r>
        <w:rPr>
          <w:rFonts w:hint="eastAsia"/>
        </w:rPr>
        <w:t>“</w:t>
      </w:r>
      <w:r>
        <w:t>GQ</w:t>
      </w:r>
      <w:r>
        <w:rPr>
          <w:rFonts w:hint="eastAsia"/>
        </w:rPr>
        <w:t>”</w:t>
      </w:r>
      <w:r>
        <w:t>。</w:t>
      </w:r>
      <w:r>
        <w:rPr>
          <w:color w:val="000000" w:themeColor="text1"/>
          <w14:textFill>
            <w14:solidFill>
              <w14:schemeClr w14:val="tx1"/>
            </w14:solidFill>
          </w14:textFill>
        </w:rPr>
        <w:t>例如</w:t>
      </w:r>
      <w:r>
        <w:rPr>
          <w:rFonts w:hint="eastAsia"/>
          <w:color w:val="000000" w:themeColor="text1"/>
          <w14:textFill>
            <w14:solidFill>
              <w14:schemeClr w14:val="tx1"/>
            </w14:solidFill>
          </w14:textFill>
        </w:rPr>
        <w:t>周头水库的管理范围</w:t>
      </w:r>
      <w:r>
        <w:rPr>
          <w:color w:val="000000" w:themeColor="text1"/>
          <w14:textFill>
            <w14:solidFill>
              <w14:schemeClr w14:val="tx1"/>
            </w14:solidFill>
          </w14:textFill>
        </w:rPr>
        <w:t>001号界桩表示为</w:t>
      </w:r>
      <w:r>
        <w:rPr>
          <w:rFonts w:hint="eastAsia"/>
          <w:color w:val="000000" w:themeColor="text1"/>
          <w14:textFill>
            <w14:solidFill>
              <w14:schemeClr w14:val="tx1"/>
            </w14:solidFill>
          </w14:textFill>
        </w:rPr>
        <w:t>“ZT</w:t>
      </w:r>
      <w:r>
        <w:rPr>
          <w:color w:val="000000" w:themeColor="text1"/>
          <w14:textFill>
            <w14:solidFill>
              <w14:schemeClr w14:val="tx1"/>
            </w14:solidFill>
          </w14:textFill>
        </w:rPr>
        <w:t>-SK-G001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，保护</w:t>
      </w:r>
      <w:r>
        <w:rPr>
          <w:rFonts w:hint="eastAsia"/>
          <w:color w:val="000000" w:themeColor="text1"/>
          <w14:textFill>
            <w14:solidFill>
              <w14:schemeClr w14:val="tx1"/>
            </w14:solidFill>
          </w14:textFill>
        </w:rPr>
        <w:t>范围</w:t>
      </w:r>
      <w:r>
        <w:rPr>
          <w:color w:val="000000" w:themeColor="text1"/>
          <w14:textFill>
            <w14:solidFill>
              <w14:schemeClr w14:val="tx1"/>
            </w14:solidFill>
          </w14:textFill>
        </w:rPr>
        <w:t>001号界桩表示为</w:t>
      </w:r>
      <w:r>
        <w:rPr>
          <w:rFonts w:hint="eastAsia"/>
          <w:color w:val="000000" w:themeColor="text1"/>
          <w14:textFill>
            <w14:solidFill>
              <w14:schemeClr w14:val="tx1"/>
            </w14:solidFill>
          </w14:textFill>
        </w:rPr>
        <w:t>“ZT</w:t>
      </w:r>
      <w:r>
        <w:rPr>
          <w:color w:val="000000" w:themeColor="text1"/>
          <w14:textFill>
            <w14:solidFill>
              <w14:schemeClr w14:val="tx1"/>
            </w14:solidFill>
          </w14:textFill>
        </w:rPr>
        <w:t>-SK</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B001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pStyle w:val="4"/>
        <w:ind w:firstLine="640"/>
      </w:pPr>
      <w:bookmarkStart w:id="53" w:name="_Toc32741"/>
      <w:bookmarkStart w:id="54" w:name="_Toc60738517"/>
      <w:r>
        <w:rPr>
          <w:rFonts w:hint="eastAsia"/>
        </w:rPr>
        <w:t>3</w:t>
      </w:r>
      <w:r>
        <w:t>.</w:t>
      </w:r>
      <w:r>
        <w:rPr>
          <w:rFonts w:hint="eastAsia"/>
        </w:rPr>
        <w:t>3</w:t>
      </w:r>
      <w:r>
        <w:t>.5 管理与保护范围告示牌编码规则</w:t>
      </w:r>
      <w:bookmarkEnd w:id="53"/>
      <w:bookmarkEnd w:id="54"/>
    </w:p>
    <w:p>
      <w:pPr>
        <w:ind w:firstLine="640"/>
      </w:pPr>
      <w:r>
        <w:rPr>
          <w:rFonts w:hint="eastAsia"/>
        </w:rPr>
        <w:t>水利工程管理与保护范围告示牌，按“水利工程名称首字母”</w:t>
      </w:r>
      <w:r>
        <w:t>-</w:t>
      </w:r>
      <w:r>
        <w:rPr>
          <w:rFonts w:hint="eastAsia"/>
        </w:rPr>
        <w:t>“</w:t>
      </w:r>
      <w:r>
        <w:t>GSP</w:t>
      </w:r>
      <w:r>
        <w:rPr>
          <w:rFonts w:hint="eastAsia"/>
        </w:rPr>
        <w:t>”-“</w:t>
      </w:r>
      <w:r>
        <w:t>G（表示管理范围界桩）</w:t>
      </w:r>
      <w:r>
        <w:rPr>
          <w:rFonts w:hint="eastAsia"/>
        </w:rPr>
        <w:t>”</w:t>
      </w:r>
      <w:r>
        <w:t>或</w:t>
      </w:r>
      <w:r>
        <w:rPr>
          <w:rFonts w:hint="eastAsia"/>
        </w:rPr>
        <w:t>“</w:t>
      </w:r>
      <w:r>
        <w:t>B（保护范围界桩）</w:t>
      </w:r>
      <w:r>
        <w:rPr>
          <w:rFonts w:hint="eastAsia"/>
        </w:rPr>
        <w:t>”</w:t>
      </w:r>
      <w:r>
        <w:t>-</w:t>
      </w:r>
      <w:r>
        <w:rPr>
          <w:rFonts w:hint="eastAsia"/>
        </w:rPr>
        <w:t>“</w:t>
      </w:r>
      <w:r>
        <w:t>（L</w:t>
      </w:r>
      <w:r>
        <w:rPr>
          <w:rFonts w:hint="eastAsia"/>
        </w:rPr>
        <w:t>或</w:t>
      </w:r>
      <w:r>
        <w:t>R）顺序码</w:t>
      </w:r>
      <w:r>
        <w:rPr>
          <w:rFonts w:hint="eastAsia"/>
        </w:rPr>
        <w:t>”</w:t>
      </w:r>
      <w:r>
        <w:t>表示</w:t>
      </w:r>
      <w:r>
        <w:rPr>
          <w:rFonts w:hint="eastAsia"/>
        </w:rPr>
        <w:t>。例如周头水库的管理范围</w:t>
      </w:r>
      <w:r>
        <w:t>001号告示牌表示为</w:t>
      </w:r>
      <w:r>
        <w:rPr>
          <w:rFonts w:hint="eastAsia"/>
        </w:rPr>
        <w:t>“ZT</w:t>
      </w:r>
      <w:r>
        <w:t>-GSP-G001</w:t>
      </w:r>
      <w:r>
        <w:rPr>
          <w:rFonts w:hint="eastAsia"/>
        </w:rPr>
        <w:t>”</w:t>
      </w:r>
      <w:r>
        <w:t>，保护范围001号告示牌表示为</w:t>
      </w:r>
      <w:r>
        <w:rPr>
          <w:rFonts w:hint="eastAsia"/>
        </w:rPr>
        <w:t>“ZT</w:t>
      </w:r>
      <w:r>
        <w:t>-GSP-B001”。</w:t>
      </w:r>
    </w:p>
    <w:p>
      <w:pPr>
        <w:widowControl/>
        <w:spacing w:line="240" w:lineRule="auto"/>
        <w:ind w:firstLine="0" w:firstLineChars="0"/>
        <w:jc w:val="left"/>
        <w:rPr>
          <w:rFonts w:eastAsia="黑体" w:cs="Times New Roman"/>
          <w:b/>
          <w:sz w:val="28"/>
          <w:szCs w:val="28"/>
        </w:rPr>
      </w:pPr>
      <w:r>
        <w:rPr>
          <w:rFonts w:eastAsia="黑体" w:cs="Times New Roman"/>
          <w:b/>
          <w:sz w:val="28"/>
          <w:szCs w:val="28"/>
        </w:rPr>
        <w:br w:type="page"/>
      </w:r>
    </w:p>
    <w:p>
      <w:pPr>
        <w:pStyle w:val="2"/>
      </w:pPr>
      <w:bookmarkStart w:id="55" w:name="_Toc14521"/>
      <w:bookmarkStart w:id="56" w:name="_Toc4600"/>
      <w:r>
        <w:rPr>
          <w:rFonts w:hint="eastAsia"/>
        </w:rPr>
        <w:t>4</w:t>
      </w:r>
      <w:r>
        <w:t xml:space="preserve"> 管理与保护范围线核实勘定</w:t>
      </w:r>
      <w:bookmarkEnd w:id="55"/>
      <w:bookmarkEnd w:id="56"/>
    </w:p>
    <w:p>
      <w:pPr>
        <w:ind w:firstLine="640"/>
      </w:pPr>
      <w:r>
        <w:rPr>
          <w:rFonts w:hint="eastAsia"/>
        </w:rPr>
        <w:t>经现场核实勘定</w:t>
      </w:r>
      <w:r>
        <w:t>后</w:t>
      </w:r>
      <w:r>
        <w:rPr>
          <w:rFonts w:hint="eastAsia"/>
        </w:rPr>
        <w:t>，最</w:t>
      </w:r>
      <w:r>
        <w:t>终</w:t>
      </w:r>
      <w:r>
        <w:rPr>
          <w:rFonts w:hint="eastAsia"/>
        </w:rPr>
        <w:t>确定的管理与保护范围</w:t>
      </w:r>
      <w:r>
        <w:t>线</w:t>
      </w:r>
      <w:r>
        <w:rPr>
          <w:rFonts w:hint="eastAsia"/>
        </w:rPr>
        <w:t>、电子界桩和电子告示牌统计情况</w:t>
      </w:r>
      <w:r>
        <w:t>如</w:t>
      </w:r>
      <w:r>
        <w:rPr>
          <w:rFonts w:hint="eastAsia"/>
        </w:rPr>
        <w:t>表4</w:t>
      </w:r>
      <w:r>
        <w:t>-1</w:t>
      </w:r>
      <w:r>
        <w:rPr>
          <w:rFonts w:hint="eastAsia"/>
        </w:rPr>
        <w:t>所示</w:t>
      </w:r>
      <w:r>
        <w:t>。</w:t>
      </w:r>
    </w:p>
    <w:p>
      <w:pPr>
        <w:pStyle w:val="58"/>
        <w:ind w:firstLine="422"/>
      </w:pPr>
      <w:r>
        <w:t>表</w:t>
      </w:r>
      <w:r>
        <w:rPr>
          <w:rFonts w:hint="eastAsia"/>
        </w:rPr>
        <w:t>4</w:t>
      </w:r>
      <w:r>
        <w:t>-1 管理</w:t>
      </w:r>
      <w:r>
        <w:rPr>
          <w:rFonts w:hint="eastAsia"/>
        </w:rPr>
        <w:t>与保护</w:t>
      </w:r>
      <w:r>
        <w:t>范围</w:t>
      </w:r>
      <w:r>
        <w:rPr>
          <w:rFonts w:hint="eastAsia"/>
        </w:rPr>
        <w:t>划界成果统计表</w:t>
      </w:r>
    </w:p>
    <w:tbl>
      <w:tblPr>
        <w:tblStyle w:val="16"/>
        <w:tblW w:w="5000" w:type="pct"/>
        <w:tblInd w:w="0" w:type="dxa"/>
        <w:tblLayout w:type="autofit"/>
        <w:tblCellMar>
          <w:top w:w="0" w:type="dxa"/>
          <w:left w:w="108" w:type="dxa"/>
          <w:bottom w:w="0" w:type="dxa"/>
          <w:right w:w="108" w:type="dxa"/>
        </w:tblCellMar>
      </w:tblPr>
      <w:tblGrid>
        <w:gridCol w:w="2671"/>
        <w:gridCol w:w="1229"/>
        <w:gridCol w:w="969"/>
        <w:gridCol w:w="939"/>
        <w:gridCol w:w="939"/>
        <w:gridCol w:w="1213"/>
        <w:gridCol w:w="1214"/>
      </w:tblGrid>
      <w:tr>
        <w:tblPrEx>
          <w:tblCellMar>
            <w:top w:w="0" w:type="dxa"/>
            <w:left w:w="108" w:type="dxa"/>
            <w:bottom w:w="0" w:type="dxa"/>
            <w:right w:w="108" w:type="dxa"/>
          </w:tblCellMar>
        </w:tblPrEx>
        <w:trPr>
          <w:trHeight w:val="765" w:hRule="atLeast"/>
          <w:tblHeader/>
        </w:trPr>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水库名称</w:t>
            </w:r>
          </w:p>
        </w:tc>
        <w:tc>
          <w:tcPr>
            <w:tcW w:w="67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管理范围线长度（千米）</w:t>
            </w:r>
          </w:p>
        </w:tc>
        <w:tc>
          <w:tcPr>
            <w:tcW w:w="52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保护范围线长度(千米)</w:t>
            </w:r>
          </w:p>
        </w:tc>
        <w:tc>
          <w:tcPr>
            <w:tcW w:w="51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界桩数量（个）</w:t>
            </w:r>
          </w:p>
        </w:tc>
        <w:tc>
          <w:tcPr>
            <w:tcW w:w="51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告示牌数量（个）</w:t>
            </w:r>
          </w:p>
        </w:tc>
        <w:tc>
          <w:tcPr>
            <w:tcW w:w="6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管理范围面积(亩）</w:t>
            </w:r>
          </w:p>
        </w:tc>
        <w:tc>
          <w:tcPr>
            <w:tcW w:w="6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保护范围面积（亩）</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金江水库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20.82</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19.</w:t>
            </w:r>
            <w:r>
              <w:rPr>
                <w:rFonts w:ascii="仿宋" w:hAnsi="仿宋" w:eastAsia="仿宋" w:cs="宋体"/>
                <w:color w:val="000000"/>
                <w:kern w:val="0"/>
                <w:sz w:val="22"/>
              </w:rPr>
              <w:t>01</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334</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1982.689</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1729.981</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双江水库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7.</w:t>
            </w:r>
            <w:r>
              <w:rPr>
                <w:rFonts w:ascii="仿宋" w:hAnsi="仿宋" w:eastAsia="仿宋" w:cs="宋体"/>
                <w:color w:val="000000"/>
                <w:kern w:val="0"/>
                <w:sz w:val="22"/>
              </w:rPr>
              <w:t>51</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6.86</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148</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595.671</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516.972</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松江水库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9.3</w:t>
            </w:r>
            <w:r>
              <w:rPr>
                <w:rFonts w:ascii="仿宋" w:hAnsi="仿宋" w:eastAsia="仿宋" w:cs="宋体"/>
                <w:color w:val="000000"/>
                <w:kern w:val="0"/>
                <w:sz w:val="22"/>
              </w:rPr>
              <w:t>3</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9.83</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176</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929.510</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755.444</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大兴水库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w:t>
            </w:r>
            <w:r>
              <w:rPr>
                <w:rFonts w:hint="eastAsia" w:ascii="仿宋" w:hAnsi="仿宋" w:eastAsia="仿宋" w:cs="宋体"/>
                <w:color w:val="000000"/>
                <w:kern w:val="0"/>
                <w:sz w:val="22"/>
              </w:rPr>
              <w:t xml:space="preserve">.12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w:t>
            </w:r>
            <w:r>
              <w:rPr>
                <w:rFonts w:ascii="仿宋" w:hAnsi="仿宋" w:eastAsia="仿宋" w:cs="宋体"/>
                <w:color w:val="000000"/>
                <w:kern w:val="0"/>
                <w:sz w:val="22"/>
              </w:rPr>
              <w:t>13</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76</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185.084</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232.338</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龙溪水库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3.3</w:t>
            </w:r>
            <w:r>
              <w:rPr>
                <w:rFonts w:ascii="仿宋" w:hAnsi="仿宋" w:eastAsia="仿宋" w:cs="宋体"/>
                <w:color w:val="000000"/>
                <w:kern w:val="0"/>
                <w:sz w:val="22"/>
              </w:rPr>
              <w:t>7</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3.3</w:t>
            </w:r>
            <w:r>
              <w:rPr>
                <w:rFonts w:ascii="仿宋" w:hAnsi="仿宋" w:eastAsia="仿宋" w:cs="宋体"/>
                <w:color w:val="000000"/>
                <w:kern w:val="0"/>
                <w:sz w:val="22"/>
              </w:rPr>
              <w:t>7</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107</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159.929</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250.463</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险峰水库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15</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53</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31</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85.719</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103.725</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妙江水库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1.6</w:t>
            </w:r>
            <w:r>
              <w:rPr>
                <w:rFonts w:ascii="仿宋" w:hAnsi="仿宋" w:eastAsia="仿宋" w:cs="宋体"/>
                <w:color w:val="000000"/>
                <w:kern w:val="0"/>
                <w:sz w:val="22"/>
              </w:rPr>
              <w:t>7</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1.9</w:t>
            </w:r>
            <w:r>
              <w:rPr>
                <w:rFonts w:ascii="仿宋" w:hAnsi="仿宋" w:eastAsia="仿宋" w:cs="宋体"/>
                <w:color w:val="000000"/>
                <w:kern w:val="0"/>
                <w:sz w:val="22"/>
              </w:rPr>
              <w:t>3</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39</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92.760</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133.182</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龙江水库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55</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1.7</w:t>
            </w:r>
            <w:r>
              <w:rPr>
                <w:rFonts w:ascii="仿宋" w:hAnsi="仿宋" w:eastAsia="仿宋" w:cs="宋体"/>
                <w:color w:val="000000"/>
                <w:kern w:val="0"/>
                <w:sz w:val="22"/>
              </w:rPr>
              <w:t>5</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41</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76.648</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121.348</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大盛水库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3.3</w:t>
            </w:r>
            <w:r>
              <w:rPr>
                <w:rFonts w:ascii="仿宋" w:hAnsi="仿宋" w:eastAsia="仿宋" w:cs="宋体"/>
                <w:color w:val="000000"/>
                <w:kern w:val="0"/>
                <w:sz w:val="22"/>
              </w:rPr>
              <w:t>8</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 xml:space="preserve">3.42 </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59</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179.916</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257.723</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金溪水库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2.8</w:t>
            </w:r>
            <w:r>
              <w:rPr>
                <w:rFonts w:ascii="仿宋" w:hAnsi="仿宋" w:eastAsia="仿宋" w:cs="宋体"/>
                <w:color w:val="000000"/>
                <w:kern w:val="0"/>
                <w:sz w:val="22"/>
              </w:rPr>
              <w:t>7</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68</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53</w:t>
            </w:r>
          </w:p>
        </w:tc>
        <w:tc>
          <w:tcPr>
            <w:tcW w:w="51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329.104</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222.656</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卫星水库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2.9</w:t>
            </w:r>
            <w:r>
              <w:rPr>
                <w:rFonts w:ascii="仿宋" w:hAnsi="仿宋" w:eastAsia="仿宋" w:cs="宋体"/>
                <w:color w:val="000000"/>
                <w:kern w:val="0"/>
                <w:sz w:val="22"/>
              </w:rPr>
              <w:t>6</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90</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65</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156.197</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222.487</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大田水库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w:t>
            </w:r>
            <w:r>
              <w:rPr>
                <w:rFonts w:ascii="仿宋" w:hAnsi="仿宋" w:eastAsia="仿宋" w:cs="宋体"/>
                <w:color w:val="000000"/>
                <w:kern w:val="0"/>
                <w:sz w:val="22"/>
              </w:rPr>
              <w:t>33</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w:t>
            </w:r>
            <w:r>
              <w:rPr>
                <w:rFonts w:ascii="仿宋" w:hAnsi="仿宋" w:eastAsia="仿宋" w:cs="宋体"/>
                <w:color w:val="000000"/>
                <w:kern w:val="0"/>
                <w:sz w:val="22"/>
              </w:rPr>
              <w:t>50</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72</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382.463</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258.339</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坪一水库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5.</w:t>
            </w:r>
            <w:r>
              <w:rPr>
                <w:rFonts w:ascii="仿宋" w:hAnsi="仿宋" w:eastAsia="仿宋" w:cs="宋体"/>
                <w:color w:val="000000"/>
                <w:kern w:val="0"/>
                <w:sz w:val="22"/>
              </w:rPr>
              <w:t>85</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5.</w:t>
            </w:r>
            <w:r>
              <w:rPr>
                <w:rFonts w:ascii="仿宋" w:hAnsi="仿宋" w:eastAsia="仿宋" w:cs="宋体"/>
                <w:color w:val="000000"/>
                <w:kern w:val="0"/>
                <w:sz w:val="22"/>
              </w:rPr>
              <w:t>42</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83</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734.301</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443.429</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群伍水库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w:t>
            </w:r>
            <w:r>
              <w:rPr>
                <w:rFonts w:ascii="仿宋" w:hAnsi="仿宋" w:eastAsia="仿宋" w:cs="宋体"/>
                <w:color w:val="000000"/>
                <w:kern w:val="0"/>
                <w:sz w:val="22"/>
              </w:rPr>
              <w:t>58</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3.1</w:t>
            </w:r>
            <w:r>
              <w:rPr>
                <w:rFonts w:ascii="仿宋" w:hAnsi="仿宋" w:eastAsia="仿宋" w:cs="宋体"/>
                <w:color w:val="000000"/>
                <w:kern w:val="0"/>
                <w:sz w:val="22"/>
              </w:rPr>
              <w:t>9</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70</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300.380</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252.780</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凤江水库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93</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3.1</w:t>
            </w:r>
            <w:r>
              <w:rPr>
                <w:rFonts w:ascii="仿宋" w:hAnsi="仿宋" w:eastAsia="仿宋" w:cs="宋体"/>
                <w:color w:val="000000"/>
                <w:kern w:val="0"/>
                <w:sz w:val="22"/>
              </w:rPr>
              <w:t>7</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55</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180.093</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228.113</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福江水库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28</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33</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48</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121.589</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175.951</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飞跃水库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1.6</w:t>
            </w:r>
            <w:r>
              <w:rPr>
                <w:rFonts w:ascii="仿宋" w:hAnsi="仿宋" w:eastAsia="仿宋" w:cs="宋体"/>
                <w:color w:val="000000"/>
                <w:kern w:val="0"/>
                <w:sz w:val="22"/>
              </w:rPr>
              <w:t>7</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86</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25</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90.743</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133.784</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新江水库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56</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7</w:t>
            </w:r>
            <w:r>
              <w:rPr>
                <w:rFonts w:hint="eastAsia" w:ascii="仿宋" w:hAnsi="仿宋" w:eastAsia="仿宋" w:cs="宋体"/>
                <w:color w:val="000000"/>
                <w:kern w:val="0"/>
                <w:sz w:val="22"/>
              </w:rPr>
              <w:t xml:space="preserve">1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63</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173.775</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190.512</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群江水库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74</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2.00</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47</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64.677</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139.680</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陶江水库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41</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2.5</w:t>
            </w:r>
            <w:r>
              <w:rPr>
                <w:rFonts w:ascii="仿宋" w:hAnsi="仿宋" w:eastAsia="仿宋" w:cs="宋体"/>
                <w:color w:val="000000"/>
                <w:kern w:val="0"/>
                <w:sz w:val="22"/>
              </w:rPr>
              <w:t>0</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61</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97.981</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170.096</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天堂水库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1.7</w:t>
            </w:r>
            <w:r>
              <w:rPr>
                <w:rFonts w:ascii="仿宋" w:hAnsi="仿宋" w:eastAsia="仿宋" w:cs="宋体"/>
                <w:color w:val="000000"/>
                <w:kern w:val="0"/>
                <w:sz w:val="22"/>
              </w:rPr>
              <w:t>3</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1.98</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53</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155.468</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139.302</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大古塘水库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4.0</w:t>
            </w:r>
            <w:r>
              <w:rPr>
                <w:rFonts w:ascii="仿宋" w:hAnsi="仿宋" w:eastAsia="仿宋" w:cs="宋体"/>
                <w:color w:val="000000"/>
                <w:kern w:val="0"/>
                <w:sz w:val="22"/>
              </w:rPr>
              <w:t>6</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3.97</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84</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453.</w:t>
            </w:r>
            <w:r>
              <w:rPr>
                <w:rFonts w:ascii="仿宋" w:hAnsi="仿宋" w:eastAsia="仿宋" w:cs="宋体"/>
                <w:color w:val="000000"/>
                <w:kern w:val="0"/>
                <w:sz w:val="22"/>
              </w:rPr>
              <w:t>253</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305.152</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超美水库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w:t>
            </w:r>
            <w:r>
              <w:rPr>
                <w:rFonts w:ascii="仿宋" w:hAnsi="仿宋" w:eastAsia="仿宋" w:cs="宋体"/>
                <w:color w:val="000000"/>
                <w:kern w:val="0"/>
                <w:sz w:val="22"/>
              </w:rPr>
              <w:t>14</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3.25</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76</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259.</w:t>
            </w:r>
            <w:r>
              <w:rPr>
                <w:rFonts w:ascii="仿宋" w:hAnsi="仿宋" w:eastAsia="仿宋" w:cs="宋体"/>
                <w:color w:val="000000"/>
                <w:kern w:val="0"/>
                <w:sz w:val="22"/>
              </w:rPr>
              <w:t>540</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243.622</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东源水库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91</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2.1</w:t>
            </w:r>
            <w:r>
              <w:rPr>
                <w:rFonts w:ascii="仿宋" w:hAnsi="仿宋" w:eastAsia="仿宋" w:cs="宋体"/>
                <w:color w:val="000000"/>
                <w:kern w:val="0"/>
                <w:sz w:val="22"/>
              </w:rPr>
              <w:t>2</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49</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19</w:t>
            </w:r>
            <w:r>
              <w:rPr>
                <w:rFonts w:ascii="仿宋" w:hAnsi="仿宋" w:eastAsia="仿宋" w:cs="宋体"/>
                <w:color w:val="000000"/>
                <w:kern w:val="0"/>
                <w:sz w:val="22"/>
              </w:rPr>
              <w:t>8.852</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148.266</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白石江水库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w:t>
            </w:r>
            <w:r>
              <w:rPr>
                <w:rFonts w:ascii="仿宋" w:hAnsi="仿宋" w:eastAsia="仿宋" w:cs="宋体"/>
                <w:color w:val="000000"/>
                <w:kern w:val="0"/>
                <w:sz w:val="22"/>
              </w:rPr>
              <w:t>29</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3.4</w:t>
            </w:r>
            <w:r>
              <w:rPr>
                <w:rFonts w:ascii="仿宋" w:hAnsi="仿宋" w:eastAsia="仿宋" w:cs="宋体"/>
                <w:color w:val="000000"/>
                <w:kern w:val="0"/>
                <w:sz w:val="22"/>
              </w:rPr>
              <w:t>5</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71</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70.947</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255.959</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群峰水库</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3.2</w:t>
            </w:r>
            <w:r>
              <w:rPr>
                <w:rFonts w:ascii="仿宋" w:hAnsi="仿宋" w:eastAsia="仿宋" w:cs="宋体"/>
                <w:color w:val="000000"/>
                <w:kern w:val="0"/>
                <w:sz w:val="22"/>
              </w:rPr>
              <w:t>9</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w:t>
            </w:r>
            <w:r>
              <w:rPr>
                <w:rFonts w:ascii="仿宋" w:hAnsi="仿宋" w:eastAsia="仿宋" w:cs="宋体"/>
                <w:color w:val="000000"/>
                <w:kern w:val="0"/>
                <w:sz w:val="22"/>
              </w:rPr>
              <w:t>11</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74</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16</w:t>
            </w:r>
            <w:r>
              <w:rPr>
                <w:rFonts w:ascii="仿宋" w:hAnsi="仿宋" w:eastAsia="仿宋" w:cs="宋体"/>
                <w:color w:val="000000"/>
                <w:kern w:val="0"/>
                <w:sz w:val="22"/>
              </w:rPr>
              <w:t>5.153</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229.206</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金江水库灌区</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145.</w:t>
            </w:r>
            <w:r>
              <w:rPr>
                <w:rFonts w:ascii="仿宋" w:hAnsi="仿宋" w:eastAsia="仿宋" w:cs="宋体"/>
                <w:color w:val="000000"/>
                <w:kern w:val="0"/>
                <w:sz w:val="22"/>
              </w:rPr>
              <w:t>76</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144.0</w:t>
            </w:r>
            <w:r>
              <w:rPr>
                <w:rFonts w:ascii="仿宋" w:hAnsi="仿宋" w:eastAsia="仿宋" w:cs="宋体"/>
                <w:color w:val="000000"/>
                <w:kern w:val="0"/>
                <w:sz w:val="22"/>
              </w:rPr>
              <w:t>9</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859</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75</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489.</w:t>
            </w:r>
            <w:r>
              <w:rPr>
                <w:rFonts w:ascii="仿宋" w:hAnsi="仿宋" w:eastAsia="仿宋" w:cs="宋体"/>
                <w:color w:val="000000"/>
                <w:kern w:val="0"/>
                <w:sz w:val="22"/>
              </w:rPr>
              <w:t>827</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1080.601</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扬江河坝水闸</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0.7</w:t>
            </w:r>
            <w:r>
              <w:rPr>
                <w:rFonts w:ascii="仿宋" w:hAnsi="仿宋" w:eastAsia="仿宋" w:cs="宋体"/>
                <w:color w:val="000000"/>
                <w:kern w:val="0"/>
                <w:sz w:val="22"/>
              </w:rPr>
              <w:t>8</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67</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37</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41.470</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189.890</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紫江河坝水闸</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0.8</w:t>
            </w:r>
            <w:r>
              <w:rPr>
                <w:rFonts w:ascii="仿宋" w:hAnsi="仿宋" w:eastAsia="仿宋" w:cs="宋体"/>
                <w:color w:val="000000"/>
                <w:kern w:val="0"/>
                <w:sz w:val="22"/>
              </w:rPr>
              <w:t>8</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40</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33</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31.287</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145.394</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湘江水轮泵站</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 xml:space="preserve">3.29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 xml:space="preserve">3.31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48</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56.90</w:t>
            </w:r>
            <w:r>
              <w:rPr>
                <w:rFonts w:ascii="仿宋" w:hAnsi="仿宋" w:eastAsia="仿宋" w:cs="宋体"/>
                <w:color w:val="000000"/>
                <w:kern w:val="0"/>
                <w:sz w:val="22"/>
              </w:rPr>
              <w:t>2</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42.98</w:t>
            </w:r>
            <w:r>
              <w:rPr>
                <w:rFonts w:ascii="仿宋" w:hAnsi="仿宋" w:eastAsia="仿宋" w:cs="宋体"/>
                <w:color w:val="000000"/>
                <w:kern w:val="0"/>
                <w:sz w:val="22"/>
              </w:rPr>
              <w:t>4</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国营石期市机电排灌站</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 xml:space="preserve">2.69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1.91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171</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19</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5</w:t>
            </w:r>
            <w:r>
              <w:rPr>
                <w:rFonts w:ascii="仿宋" w:hAnsi="仿宋" w:eastAsia="仿宋" w:cs="宋体"/>
                <w:color w:val="000000"/>
                <w:kern w:val="0"/>
                <w:sz w:val="22"/>
              </w:rPr>
              <w:t>5.835</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21.98</w:t>
            </w:r>
            <w:r>
              <w:rPr>
                <w:rFonts w:ascii="仿宋" w:hAnsi="仿宋" w:eastAsia="仿宋" w:cs="宋体"/>
                <w:color w:val="000000"/>
                <w:kern w:val="0"/>
                <w:sz w:val="22"/>
              </w:rPr>
              <w:t>4</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芦洪市机电排灌站</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16</w:t>
            </w:r>
            <w:r>
              <w:rPr>
                <w:rFonts w:hint="eastAsia" w:ascii="仿宋" w:hAnsi="仿宋" w:eastAsia="仿宋" w:cs="宋体"/>
                <w:color w:val="000000"/>
                <w:kern w:val="0"/>
                <w:sz w:val="22"/>
              </w:rPr>
              <w:t xml:space="preserve"> </w:t>
            </w:r>
          </w:p>
        </w:tc>
        <w:tc>
          <w:tcPr>
            <w:tcW w:w="5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1.7</w:t>
            </w:r>
            <w:r>
              <w:rPr>
                <w:rFonts w:ascii="仿宋" w:hAnsi="仿宋" w:eastAsia="仿宋" w:cs="宋体"/>
                <w:color w:val="000000"/>
                <w:kern w:val="0"/>
                <w:sz w:val="22"/>
              </w:rPr>
              <w:t>2</w:t>
            </w:r>
            <w:r>
              <w:rPr>
                <w:rFonts w:hint="eastAsia" w:ascii="仿宋" w:hAnsi="仿宋" w:eastAsia="仿宋" w:cs="宋体"/>
                <w:color w:val="000000"/>
                <w:kern w:val="0"/>
                <w:sz w:val="22"/>
              </w:rPr>
              <w:t xml:space="preserve"> </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43</w:t>
            </w:r>
          </w:p>
        </w:tc>
        <w:tc>
          <w:tcPr>
            <w:tcW w:w="5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24</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宋体"/>
                <w:color w:val="000000"/>
                <w:kern w:val="0"/>
                <w:sz w:val="22"/>
              </w:rPr>
              <w:t>9.062</w:t>
            </w:r>
            <w:r>
              <w:rPr>
                <w:rFonts w:hint="eastAsia" w:ascii="仿宋" w:hAnsi="仿宋" w:eastAsia="仿宋" w:cs="宋体"/>
                <w:color w:val="000000"/>
                <w:kern w:val="0"/>
                <w:sz w:val="22"/>
              </w:rPr>
              <w:t xml:space="preserve"> </w:t>
            </w:r>
          </w:p>
        </w:tc>
        <w:tc>
          <w:tcPr>
            <w:tcW w:w="66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7</w:t>
            </w:r>
            <w:r>
              <w:rPr>
                <w:rFonts w:hint="eastAsia" w:ascii="仿宋" w:hAnsi="仿宋" w:eastAsia="仿宋" w:cs="宋体"/>
                <w:color w:val="000000"/>
                <w:kern w:val="0"/>
                <w:sz w:val="22"/>
              </w:rPr>
              <w:t>.</w:t>
            </w:r>
            <w:r>
              <w:rPr>
                <w:rFonts w:ascii="仿宋" w:hAnsi="仿宋" w:eastAsia="仿宋" w:cs="宋体"/>
                <w:color w:val="000000"/>
                <w:kern w:val="0"/>
                <w:sz w:val="22"/>
              </w:rPr>
              <w:t>896</w:t>
            </w:r>
            <w:r>
              <w:rPr>
                <w:rFonts w:hint="eastAsia" w:ascii="仿宋" w:hAnsi="仿宋" w:eastAsia="仿宋" w:cs="宋体"/>
                <w:color w:val="000000"/>
                <w:kern w:val="0"/>
                <w:sz w:val="22"/>
              </w:rPr>
              <w:t xml:space="preserve"> </w:t>
            </w:r>
          </w:p>
        </w:tc>
      </w:tr>
      <w:tr>
        <w:tblPrEx>
          <w:tblCellMar>
            <w:top w:w="0" w:type="dxa"/>
            <w:left w:w="108" w:type="dxa"/>
            <w:bottom w:w="0" w:type="dxa"/>
            <w:right w:w="108" w:type="dxa"/>
          </w:tblCellMar>
        </w:tblPrEx>
        <w:trPr>
          <w:trHeight w:val="285" w:hRule="atLeast"/>
        </w:trPr>
        <w:tc>
          <w:tcPr>
            <w:tcW w:w="14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合计</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Times New Roman"/>
                <w:color w:val="000000"/>
                <w:sz w:val="22"/>
              </w:rPr>
              <w:t>25</w:t>
            </w:r>
            <w:r>
              <w:rPr>
                <w:rFonts w:ascii="仿宋" w:hAnsi="仿宋" w:eastAsia="仿宋" w:cs="Times New Roman"/>
                <w:color w:val="000000"/>
                <w:sz w:val="22"/>
              </w:rPr>
              <w:t>6</w:t>
            </w:r>
            <w:r>
              <w:rPr>
                <w:rFonts w:hint="eastAsia" w:ascii="仿宋" w:hAnsi="仿宋" w:eastAsia="仿宋" w:cs="Times New Roman"/>
                <w:color w:val="000000"/>
                <w:sz w:val="22"/>
              </w:rPr>
              <w:t>.</w:t>
            </w:r>
            <w:r>
              <w:rPr>
                <w:rFonts w:ascii="仿宋" w:hAnsi="仿宋" w:eastAsia="仿宋" w:cs="Times New Roman"/>
                <w:color w:val="000000"/>
                <w:sz w:val="22"/>
              </w:rPr>
              <w:t>10</w:t>
            </w:r>
            <w:r>
              <w:rPr>
                <w:rFonts w:hint="eastAsia" w:ascii="仿宋" w:hAnsi="仿宋" w:eastAsia="仿宋" w:cs="Times New Roman"/>
                <w:color w:val="000000"/>
                <w:sz w:val="22"/>
              </w:rPr>
              <w:t xml:space="preserve"> </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Times New Roman"/>
                <w:color w:val="000000"/>
                <w:sz w:val="22"/>
              </w:rPr>
              <w:t>25</w:t>
            </w:r>
            <w:r>
              <w:rPr>
                <w:rFonts w:ascii="仿宋" w:hAnsi="仿宋" w:eastAsia="仿宋" w:cs="Times New Roman"/>
                <w:color w:val="000000"/>
                <w:sz w:val="22"/>
              </w:rPr>
              <w:t>5</w:t>
            </w:r>
            <w:r>
              <w:rPr>
                <w:rFonts w:hint="eastAsia" w:ascii="仿宋" w:hAnsi="仿宋" w:eastAsia="仿宋" w:cs="Times New Roman"/>
                <w:color w:val="000000"/>
                <w:sz w:val="22"/>
              </w:rPr>
              <w:t>.</w:t>
            </w:r>
            <w:r>
              <w:rPr>
                <w:rFonts w:ascii="仿宋" w:hAnsi="仿宋" w:eastAsia="仿宋" w:cs="Times New Roman"/>
                <w:color w:val="000000"/>
                <w:sz w:val="22"/>
              </w:rPr>
              <w:t>06</w:t>
            </w:r>
            <w:r>
              <w:rPr>
                <w:rFonts w:hint="eastAsia" w:ascii="仿宋" w:hAnsi="仿宋" w:eastAsia="仿宋" w:cs="Times New Roman"/>
                <w:color w:val="000000"/>
                <w:sz w:val="22"/>
              </w:rPr>
              <w:t xml:space="preserve"> </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Times New Roman"/>
                <w:color w:val="000000"/>
                <w:sz w:val="22"/>
              </w:rPr>
              <w:t>3365</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Times New Roman"/>
                <w:color w:val="000000"/>
                <w:sz w:val="22"/>
              </w:rPr>
              <w:t>1</w:t>
            </w:r>
            <w:r>
              <w:rPr>
                <w:rFonts w:ascii="仿宋" w:hAnsi="仿宋" w:eastAsia="仿宋" w:cs="Times New Roman"/>
                <w:color w:val="000000"/>
                <w:sz w:val="22"/>
              </w:rPr>
              <w:t>86</w:t>
            </w: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ascii="仿宋" w:hAnsi="仿宋" w:eastAsia="仿宋" w:cs="Times New Roman"/>
                <w:color w:val="000000"/>
                <w:sz w:val="22"/>
              </w:rPr>
              <w:t>9006.825</w:t>
            </w:r>
            <w:r>
              <w:rPr>
                <w:rFonts w:hint="eastAsia" w:ascii="仿宋" w:hAnsi="仿宋" w:eastAsia="仿宋" w:cs="Times New Roman"/>
                <w:color w:val="000000"/>
                <w:sz w:val="22"/>
              </w:rPr>
              <w:t xml:space="preserve"> </w:t>
            </w: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Times New Roman"/>
                <w:color w:val="000000"/>
                <w:sz w:val="22"/>
              </w:rPr>
              <w:t>9</w:t>
            </w:r>
            <w:r>
              <w:rPr>
                <w:rFonts w:ascii="仿宋" w:hAnsi="仿宋" w:eastAsia="仿宋" w:cs="Times New Roman"/>
                <w:color w:val="000000"/>
                <w:sz w:val="22"/>
              </w:rPr>
              <w:t>3</w:t>
            </w:r>
            <w:r>
              <w:rPr>
                <w:rFonts w:hint="eastAsia" w:ascii="仿宋" w:hAnsi="仿宋" w:eastAsia="仿宋" w:cs="Times New Roman"/>
                <w:color w:val="000000"/>
                <w:sz w:val="22"/>
              </w:rPr>
              <w:t>5</w:t>
            </w:r>
            <w:r>
              <w:rPr>
                <w:rFonts w:ascii="仿宋" w:hAnsi="仿宋" w:eastAsia="仿宋" w:cs="Times New Roman"/>
                <w:color w:val="000000"/>
                <w:sz w:val="22"/>
              </w:rPr>
              <w:t>9</w:t>
            </w:r>
            <w:r>
              <w:rPr>
                <w:rFonts w:hint="eastAsia" w:ascii="仿宋" w:hAnsi="仿宋" w:eastAsia="仿宋" w:cs="Times New Roman"/>
                <w:color w:val="000000"/>
                <w:sz w:val="22"/>
              </w:rPr>
              <w:t>.</w:t>
            </w:r>
            <w:r>
              <w:rPr>
                <w:rFonts w:ascii="仿宋" w:hAnsi="仿宋" w:eastAsia="仿宋" w:cs="Times New Roman"/>
                <w:color w:val="000000"/>
                <w:sz w:val="22"/>
              </w:rPr>
              <w:t>257</w:t>
            </w:r>
            <w:r>
              <w:rPr>
                <w:rFonts w:hint="eastAsia" w:ascii="仿宋" w:hAnsi="仿宋" w:eastAsia="仿宋" w:cs="Times New Roman"/>
                <w:color w:val="000000"/>
                <w:sz w:val="22"/>
              </w:rPr>
              <w:t xml:space="preserve"> </w:t>
            </w:r>
          </w:p>
        </w:tc>
      </w:tr>
    </w:tbl>
    <w:p>
      <w:pPr>
        <w:pStyle w:val="58"/>
        <w:spacing w:beforeAutospacing="0" w:afterAutospacing="0" w:line="360" w:lineRule="auto"/>
      </w:pPr>
    </w:p>
    <w:sectPr>
      <w:footerReference r:id="rId12" w:type="default"/>
      <w:pgSz w:w="11906" w:h="16838"/>
      <w:pgMar w:top="1871" w:right="1474" w:bottom="1701" w:left="1474" w:header="851" w:footer="1361"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等线 Light">
    <w:altName w:val="朗太書体"/>
    <w:panose1 w:val="00000000000000000000"/>
    <w:charset w:val="00"/>
    <w:family w:val="auto"/>
    <w:pitch w:val="default"/>
    <w:sig w:usb0="00000000" w:usb1="00000000" w:usb2="00000000" w:usb3="00000000" w:csb0="00000000" w:csb1="00000000"/>
  </w:font>
  <w:font w:name="朗太書体">
    <w:panose1 w:val="02000009000000000000"/>
    <w:charset w:val="80"/>
    <w:family w:val="auto"/>
    <w:pitch w:val="default"/>
    <w:sig w:usb0="800002A3" w:usb1="38C7ECF8" w:usb2="00000016"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7362474"/>
    </w:sdtPr>
    <w:sdtContent>
      <w:p>
        <w:pPr>
          <w:pStyle w:val="11"/>
          <w:ind w:firstLine="360"/>
          <w:jc w:val="center"/>
        </w:pPr>
        <w:r>
          <w:fldChar w:fldCharType="begin"/>
        </w:r>
        <w:r>
          <w:instrText xml:space="preserve">PAGE   \* MERGEFORMAT</w:instrText>
        </w:r>
        <w:r>
          <w:fldChar w:fldCharType="separate"/>
        </w:r>
        <w:r>
          <w:rPr>
            <w:lang w:val="zh-CN"/>
          </w:rPr>
          <w:t>13</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2923955"/>
    </w:sdtPr>
    <w:sdtEndPr>
      <w:rPr>
        <w:rFonts w:cs="Times New Roman"/>
        <w:sz w:val="21"/>
        <w:szCs w:val="21"/>
      </w:rPr>
    </w:sdtEndPr>
    <w:sdtContent>
      <w:p>
        <w:pPr>
          <w:pStyle w:val="11"/>
          <w:ind w:firstLine="360"/>
          <w:jc w:val="center"/>
          <w:rPr>
            <w:rFonts w:cs="Times New Roman"/>
            <w:sz w:val="21"/>
            <w:szCs w:val="21"/>
          </w:rPr>
        </w:pPr>
        <w:r>
          <w:rPr>
            <w:rFonts w:cs="Times New Roman"/>
            <w:sz w:val="21"/>
            <w:szCs w:val="21"/>
          </w:rPr>
          <w:fldChar w:fldCharType="begin"/>
        </w:r>
        <w:r>
          <w:rPr>
            <w:rFonts w:cs="Times New Roman"/>
            <w:sz w:val="21"/>
            <w:szCs w:val="21"/>
          </w:rPr>
          <w:instrText xml:space="preserve">PAGE   \* MERGEFORMAT</w:instrText>
        </w:r>
        <w:r>
          <w:rPr>
            <w:rFonts w:cs="Times New Roman"/>
            <w:sz w:val="21"/>
            <w:szCs w:val="21"/>
          </w:rPr>
          <w:fldChar w:fldCharType="separate"/>
        </w:r>
        <w:r>
          <w:rPr>
            <w:rFonts w:cs="Times New Roman"/>
            <w:sz w:val="21"/>
            <w:szCs w:val="21"/>
            <w:lang w:val="zh-CN"/>
          </w:rPr>
          <w:t>40</w:t>
        </w:r>
        <w:r>
          <w:rPr>
            <w:rFonts w:cs="Times New Roman"/>
            <w:sz w:val="21"/>
            <w:szCs w:val="21"/>
          </w:rP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hideSpellingErrors/>
  <w:hideGrammaticalErrors/>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EyMjYwYjFjYjMwNjIwODYyMTM5YjI1MjUxNTMifQ=="/>
  </w:docVars>
  <w:rsids>
    <w:rsidRoot w:val="00172A27"/>
    <w:rsid w:val="0000238A"/>
    <w:rsid w:val="0000448E"/>
    <w:rsid w:val="0000478B"/>
    <w:rsid w:val="00004B68"/>
    <w:rsid w:val="000056BA"/>
    <w:rsid w:val="00007E8B"/>
    <w:rsid w:val="000107A5"/>
    <w:rsid w:val="00014981"/>
    <w:rsid w:val="000162F2"/>
    <w:rsid w:val="00020694"/>
    <w:rsid w:val="00020767"/>
    <w:rsid w:val="0002401A"/>
    <w:rsid w:val="00025142"/>
    <w:rsid w:val="0002597C"/>
    <w:rsid w:val="00027AAC"/>
    <w:rsid w:val="00027D3D"/>
    <w:rsid w:val="00030F41"/>
    <w:rsid w:val="00030F63"/>
    <w:rsid w:val="00032D7E"/>
    <w:rsid w:val="00033D0C"/>
    <w:rsid w:val="00041908"/>
    <w:rsid w:val="00042693"/>
    <w:rsid w:val="00042D45"/>
    <w:rsid w:val="0004351A"/>
    <w:rsid w:val="00043814"/>
    <w:rsid w:val="0004424D"/>
    <w:rsid w:val="00044C13"/>
    <w:rsid w:val="000477C6"/>
    <w:rsid w:val="00054A5F"/>
    <w:rsid w:val="00055A0B"/>
    <w:rsid w:val="00056270"/>
    <w:rsid w:val="00061ACA"/>
    <w:rsid w:val="00061DC7"/>
    <w:rsid w:val="00065C31"/>
    <w:rsid w:val="0006635F"/>
    <w:rsid w:val="000666F4"/>
    <w:rsid w:val="00066A99"/>
    <w:rsid w:val="000679B4"/>
    <w:rsid w:val="00067DE9"/>
    <w:rsid w:val="000726D1"/>
    <w:rsid w:val="00075D66"/>
    <w:rsid w:val="00076D38"/>
    <w:rsid w:val="00077EC8"/>
    <w:rsid w:val="0008150A"/>
    <w:rsid w:val="00082059"/>
    <w:rsid w:val="00085DC7"/>
    <w:rsid w:val="00092BA0"/>
    <w:rsid w:val="0009336F"/>
    <w:rsid w:val="000A07EA"/>
    <w:rsid w:val="000A1C09"/>
    <w:rsid w:val="000A275C"/>
    <w:rsid w:val="000A2AFD"/>
    <w:rsid w:val="000A4541"/>
    <w:rsid w:val="000A4C8F"/>
    <w:rsid w:val="000A58F6"/>
    <w:rsid w:val="000A5A37"/>
    <w:rsid w:val="000B16E8"/>
    <w:rsid w:val="000B1F90"/>
    <w:rsid w:val="000B3A68"/>
    <w:rsid w:val="000B6096"/>
    <w:rsid w:val="000C5A46"/>
    <w:rsid w:val="000D26B2"/>
    <w:rsid w:val="000D3D61"/>
    <w:rsid w:val="000D715F"/>
    <w:rsid w:val="000D7CF7"/>
    <w:rsid w:val="000D7EF4"/>
    <w:rsid w:val="000E054B"/>
    <w:rsid w:val="000E136D"/>
    <w:rsid w:val="000E18F8"/>
    <w:rsid w:val="000E1984"/>
    <w:rsid w:val="000E210D"/>
    <w:rsid w:val="000E2688"/>
    <w:rsid w:val="000E2AC3"/>
    <w:rsid w:val="000E30C8"/>
    <w:rsid w:val="000E394F"/>
    <w:rsid w:val="000E4746"/>
    <w:rsid w:val="000E643F"/>
    <w:rsid w:val="000F00C3"/>
    <w:rsid w:val="000F0255"/>
    <w:rsid w:val="000F2214"/>
    <w:rsid w:val="000F3CBB"/>
    <w:rsid w:val="000F4D5E"/>
    <w:rsid w:val="000F4F69"/>
    <w:rsid w:val="000F5B81"/>
    <w:rsid w:val="000F67E1"/>
    <w:rsid w:val="001006F0"/>
    <w:rsid w:val="00102111"/>
    <w:rsid w:val="00105C4D"/>
    <w:rsid w:val="00105FAD"/>
    <w:rsid w:val="00106FA5"/>
    <w:rsid w:val="00107390"/>
    <w:rsid w:val="00110729"/>
    <w:rsid w:val="0011099C"/>
    <w:rsid w:val="00110CF6"/>
    <w:rsid w:val="00111ED1"/>
    <w:rsid w:val="001120C0"/>
    <w:rsid w:val="00113FBF"/>
    <w:rsid w:val="0011401E"/>
    <w:rsid w:val="001140F3"/>
    <w:rsid w:val="001153EE"/>
    <w:rsid w:val="001161BF"/>
    <w:rsid w:val="00117670"/>
    <w:rsid w:val="00117808"/>
    <w:rsid w:val="00120090"/>
    <w:rsid w:val="00121765"/>
    <w:rsid w:val="00122DCD"/>
    <w:rsid w:val="00125912"/>
    <w:rsid w:val="001262DB"/>
    <w:rsid w:val="001274EB"/>
    <w:rsid w:val="00130AEB"/>
    <w:rsid w:val="00132710"/>
    <w:rsid w:val="00133AF5"/>
    <w:rsid w:val="00135447"/>
    <w:rsid w:val="00135E8D"/>
    <w:rsid w:val="00136288"/>
    <w:rsid w:val="00140173"/>
    <w:rsid w:val="00140915"/>
    <w:rsid w:val="0014127F"/>
    <w:rsid w:val="00141B91"/>
    <w:rsid w:val="00141C44"/>
    <w:rsid w:val="00142B58"/>
    <w:rsid w:val="001469D3"/>
    <w:rsid w:val="00146F2F"/>
    <w:rsid w:val="0014707D"/>
    <w:rsid w:val="001505E2"/>
    <w:rsid w:val="00151309"/>
    <w:rsid w:val="00152E42"/>
    <w:rsid w:val="0015320C"/>
    <w:rsid w:val="0015505A"/>
    <w:rsid w:val="00155DCA"/>
    <w:rsid w:val="00157AE7"/>
    <w:rsid w:val="00160955"/>
    <w:rsid w:val="00161D38"/>
    <w:rsid w:val="00164495"/>
    <w:rsid w:val="00165C33"/>
    <w:rsid w:val="00171558"/>
    <w:rsid w:val="00172A27"/>
    <w:rsid w:val="001763D6"/>
    <w:rsid w:val="00177BE6"/>
    <w:rsid w:val="00180324"/>
    <w:rsid w:val="00181301"/>
    <w:rsid w:val="0018586A"/>
    <w:rsid w:val="00186C05"/>
    <w:rsid w:val="0019244A"/>
    <w:rsid w:val="00192561"/>
    <w:rsid w:val="001938FE"/>
    <w:rsid w:val="00194EBB"/>
    <w:rsid w:val="00195141"/>
    <w:rsid w:val="00197C5B"/>
    <w:rsid w:val="001A28F7"/>
    <w:rsid w:val="001A2CD4"/>
    <w:rsid w:val="001A4128"/>
    <w:rsid w:val="001A4237"/>
    <w:rsid w:val="001B24E5"/>
    <w:rsid w:val="001B3B45"/>
    <w:rsid w:val="001B3D0E"/>
    <w:rsid w:val="001B3DD8"/>
    <w:rsid w:val="001B47D8"/>
    <w:rsid w:val="001B74D8"/>
    <w:rsid w:val="001C10E1"/>
    <w:rsid w:val="001C2FBE"/>
    <w:rsid w:val="001C5A2D"/>
    <w:rsid w:val="001C6520"/>
    <w:rsid w:val="001D1B19"/>
    <w:rsid w:val="001D217E"/>
    <w:rsid w:val="001D2D80"/>
    <w:rsid w:val="001D33AC"/>
    <w:rsid w:val="001D53DC"/>
    <w:rsid w:val="001D5EDA"/>
    <w:rsid w:val="001E1FB6"/>
    <w:rsid w:val="001E30E3"/>
    <w:rsid w:val="001E436F"/>
    <w:rsid w:val="001E5EE3"/>
    <w:rsid w:val="001E68F0"/>
    <w:rsid w:val="001E69AE"/>
    <w:rsid w:val="001F0EE1"/>
    <w:rsid w:val="001F198E"/>
    <w:rsid w:val="001F529C"/>
    <w:rsid w:val="001F660C"/>
    <w:rsid w:val="001F67D8"/>
    <w:rsid w:val="002013F4"/>
    <w:rsid w:val="00206E12"/>
    <w:rsid w:val="002078AB"/>
    <w:rsid w:val="00207DAA"/>
    <w:rsid w:val="00210595"/>
    <w:rsid w:val="0021111F"/>
    <w:rsid w:val="0021479E"/>
    <w:rsid w:val="0021520F"/>
    <w:rsid w:val="00217167"/>
    <w:rsid w:val="00220D42"/>
    <w:rsid w:val="002211B6"/>
    <w:rsid w:val="0022337E"/>
    <w:rsid w:val="00231456"/>
    <w:rsid w:val="00234B15"/>
    <w:rsid w:val="00234BF7"/>
    <w:rsid w:val="00236A2F"/>
    <w:rsid w:val="0023798C"/>
    <w:rsid w:val="00242325"/>
    <w:rsid w:val="00243B66"/>
    <w:rsid w:val="00244AA4"/>
    <w:rsid w:val="00250000"/>
    <w:rsid w:val="00250828"/>
    <w:rsid w:val="002515D9"/>
    <w:rsid w:val="002540E8"/>
    <w:rsid w:val="00260D1A"/>
    <w:rsid w:val="002612C2"/>
    <w:rsid w:val="002624CB"/>
    <w:rsid w:val="00263401"/>
    <w:rsid w:val="00263703"/>
    <w:rsid w:val="00264BEF"/>
    <w:rsid w:val="00265243"/>
    <w:rsid w:val="00270509"/>
    <w:rsid w:val="002708E6"/>
    <w:rsid w:val="00270E82"/>
    <w:rsid w:val="00270EB7"/>
    <w:rsid w:val="002710EA"/>
    <w:rsid w:val="00272233"/>
    <w:rsid w:val="00272871"/>
    <w:rsid w:val="002736F6"/>
    <w:rsid w:val="00275510"/>
    <w:rsid w:val="002755E1"/>
    <w:rsid w:val="00275A43"/>
    <w:rsid w:val="0027670C"/>
    <w:rsid w:val="00276737"/>
    <w:rsid w:val="002768CE"/>
    <w:rsid w:val="00281125"/>
    <w:rsid w:val="00284704"/>
    <w:rsid w:val="0028519E"/>
    <w:rsid w:val="002877E7"/>
    <w:rsid w:val="00287D6A"/>
    <w:rsid w:val="00292675"/>
    <w:rsid w:val="002927C5"/>
    <w:rsid w:val="002951B5"/>
    <w:rsid w:val="002A0E0A"/>
    <w:rsid w:val="002A5CE5"/>
    <w:rsid w:val="002A6BB6"/>
    <w:rsid w:val="002A7009"/>
    <w:rsid w:val="002B01A7"/>
    <w:rsid w:val="002B2FDE"/>
    <w:rsid w:val="002B3420"/>
    <w:rsid w:val="002B3D5E"/>
    <w:rsid w:val="002B4A14"/>
    <w:rsid w:val="002B5907"/>
    <w:rsid w:val="002C04CE"/>
    <w:rsid w:val="002C0B60"/>
    <w:rsid w:val="002C28FD"/>
    <w:rsid w:val="002C3BA5"/>
    <w:rsid w:val="002C4449"/>
    <w:rsid w:val="002C55BB"/>
    <w:rsid w:val="002D046C"/>
    <w:rsid w:val="002D067C"/>
    <w:rsid w:val="002D069C"/>
    <w:rsid w:val="002D214E"/>
    <w:rsid w:val="002D2B47"/>
    <w:rsid w:val="002D2C5B"/>
    <w:rsid w:val="002D48E1"/>
    <w:rsid w:val="002D4DC5"/>
    <w:rsid w:val="002E0448"/>
    <w:rsid w:val="002E3428"/>
    <w:rsid w:val="002E72D8"/>
    <w:rsid w:val="002F0865"/>
    <w:rsid w:val="002F150F"/>
    <w:rsid w:val="002F7102"/>
    <w:rsid w:val="0030062E"/>
    <w:rsid w:val="003008ED"/>
    <w:rsid w:val="00300B64"/>
    <w:rsid w:val="00303DED"/>
    <w:rsid w:val="003044AD"/>
    <w:rsid w:val="00304BE7"/>
    <w:rsid w:val="003054C5"/>
    <w:rsid w:val="00307551"/>
    <w:rsid w:val="00311792"/>
    <w:rsid w:val="00313724"/>
    <w:rsid w:val="00313BB8"/>
    <w:rsid w:val="00313C03"/>
    <w:rsid w:val="00315435"/>
    <w:rsid w:val="0032096F"/>
    <w:rsid w:val="00320DB8"/>
    <w:rsid w:val="0032321F"/>
    <w:rsid w:val="00326B96"/>
    <w:rsid w:val="00333AF6"/>
    <w:rsid w:val="00335294"/>
    <w:rsid w:val="00335614"/>
    <w:rsid w:val="00336857"/>
    <w:rsid w:val="003419D0"/>
    <w:rsid w:val="00342D05"/>
    <w:rsid w:val="00342E4E"/>
    <w:rsid w:val="003441A9"/>
    <w:rsid w:val="00347671"/>
    <w:rsid w:val="00347B9E"/>
    <w:rsid w:val="003503B0"/>
    <w:rsid w:val="00351459"/>
    <w:rsid w:val="003525E4"/>
    <w:rsid w:val="00352BAF"/>
    <w:rsid w:val="0035477E"/>
    <w:rsid w:val="00355596"/>
    <w:rsid w:val="0036021E"/>
    <w:rsid w:val="00360A55"/>
    <w:rsid w:val="00363736"/>
    <w:rsid w:val="00365B42"/>
    <w:rsid w:val="0036608E"/>
    <w:rsid w:val="003665DB"/>
    <w:rsid w:val="00366AB8"/>
    <w:rsid w:val="00367D8B"/>
    <w:rsid w:val="003717D6"/>
    <w:rsid w:val="00372949"/>
    <w:rsid w:val="003730CC"/>
    <w:rsid w:val="0037383C"/>
    <w:rsid w:val="00374AF2"/>
    <w:rsid w:val="003755A3"/>
    <w:rsid w:val="00376B17"/>
    <w:rsid w:val="00376F61"/>
    <w:rsid w:val="003824FE"/>
    <w:rsid w:val="0039100E"/>
    <w:rsid w:val="00392F5E"/>
    <w:rsid w:val="00395E66"/>
    <w:rsid w:val="003A03D9"/>
    <w:rsid w:val="003A1E52"/>
    <w:rsid w:val="003A424E"/>
    <w:rsid w:val="003A5426"/>
    <w:rsid w:val="003A5BC6"/>
    <w:rsid w:val="003A6187"/>
    <w:rsid w:val="003A7193"/>
    <w:rsid w:val="003A7A6C"/>
    <w:rsid w:val="003B07F3"/>
    <w:rsid w:val="003B112E"/>
    <w:rsid w:val="003B1F3D"/>
    <w:rsid w:val="003B25C8"/>
    <w:rsid w:val="003B37B4"/>
    <w:rsid w:val="003B58B2"/>
    <w:rsid w:val="003B6FBD"/>
    <w:rsid w:val="003C2961"/>
    <w:rsid w:val="003C39F2"/>
    <w:rsid w:val="003C4713"/>
    <w:rsid w:val="003D11CF"/>
    <w:rsid w:val="003D2137"/>
    <w:rsid w:val="003D37A9"/>
    <w:rsid w:val="003D47B8"/>
    <w:rsid w:val="003D4ED6"/>
    <w:rsid w:val="003D7E18"/>
    <w:rsid w:val="003E0657"/>
    <w:rsid w:val="003E0B25"/>
    <w:rsid w:val="003E1926"/>
    <w:rsid w:val="003E303B"/>
    <w:rsid w:val="003F1D6D"/>
    <w:rsid w:val="003F2400"/>
    <w:rsid w:val="003F25DF"/>
    <w:rsid w:val="003F4FFB"/>
    <w:rsid w:val="003F50EA"/>
    <w:rsid w:val="003F53A3"/>
    <w:rsid w:val="003F7A23"/>
    <w:rsid w:val="004007D6"/>
    <w:rsid w:val="00402616"/>
    <w:rsid w:val="004039B2"/>
    <w:rsid w:val="00403C03"/>
    <w:rsid w:val="00404AB5"/>
    <w:rsid w:val="00405666"/>
    <w:rsid w:val="004074FF"/>
    <w:rsid w:val="0040799F"/>
    <w:rsid w:val="00407F6E"/>
    <w:rsid w:val="00410A53"/>
    <w:rsid w:val="00413EF6"/>
    <w:rsid w:val="00414DD6"/>
    <w:rsid w:val="00415730"/>
    <w:rsid w:val="00417301"/>
    <w:rsid w:val="00420BAC"/>
    <w:rsid w:val="004217B4"/>
    <w:rsid w:val="004232D5"/>
    <w:rsid w:val="004245B9"/>
    <w:rsid w:val="00425C5E"/>
    <w:rsid w:val="004265B9"/>
    <w:rsid w:val="004277CB"/>
    <w:rsid w:val="00427E0B"/>
    <w:rsid w:val="00430918"/>
    <w:rsid w:val="0043297E"/>
    <w:rsid w:val="0043770E"/>
    <w:rsid w:val="004406F1"/>
    <w:rsid w:val="0044184D"/>
    <w:rsid w:val="004432D8"/>
    <w:rsid w:val="0044348A"/>
    <w:rsid w:val="004435D1"/>
    <w:rsid w:val="004447F3"/>
    <w:rsid w:val="00445A7F"/>
    <w:rsid w:val="00447990"/>
    <w:rsid w:val="00447D2B"/>
    <w:rsid w:val="00451966"/>
    <w:rsid w:val="00455664"/>
    <w:rsid w:val="00457D9A"/>
    <w:rsid w:val="004673C8"/>
    <w:rsid w:val="00467E71"/>
    <w:rsid w:val="004728DF"/>
    <w:rsid w:val="00473463"/>
    <w:rsid w:val="0047348B"/>
    <w:rsid w:val="00475456"/>
    <w:rsid w:val="00475603"/>
    <w:rsid w:val="0047648D"/>
    <w:rsid w:val="0047652F"/>
    <w:rsid w:val="00476E2F"/>
    <w:rsid w:val="00476FEA"/>
    <w:rsid w:val="00477D95"/>
    <w:rsid w:val="00480543"/>
    <w:rsid w:val="0048198B"/>
    <w:rsid w:val="00481BB0"/>
    <w:rsid w:val="0048319A"/>
    <w:rsid w:val="00487BFB"/>
    <w:rsid w:val="00490E9F"/>
    <w:rsid w:val="004930D5"/>
    <w:rsid w:val="004931A2"/>
    <w:rsid w:val="0049507E"/>
    <w:rsid w:val="004A016B"/>
    <w:rsid w:val="004A1259"/>
    <w:rsid w:val="004A1487"/>
    <w:rsid w:val="004A14DA"/>
    <w:rsid w:val="004A25B6"/>
    <w:rsid w:val="004A35AF"/>
    <w:rsid w:val="004A3C91"/>
    <w:rsid w:val="004A3DB1"/>
    <w:rsid w:val="004A40B1"/>
    <w:rsid w:val="004A48B8"/>
    <w:rsid w:val="004A4F0A"/>
    <w:rsid w:val="004A513C"/>
    <w:rsid w:val="004B2FB9"/>
    <w:rsid w:val="004B360C"/>
    <w:rsid w:val="004B5643"/>
    <w:rsid w:val="004B626C"/>
    <w:rsid w:val="004B7C27"/>
    <w:rsid w:val="004C2607"/>
    <w:rsid w:val="004C265B"/>
    <w:rsid w:val="004C6C5E"/>
    <w:rsid w:val="004D41F3"/>
    <w:rsid w:val="004D4E4C"/>
    <w:rsid w:val="004E4430"/>
    <w:rsid w:val="004E633E"/>
    <w:rsid w:val="004E7349"/>
    <w:rsid w:val="004F0F19"/>
    <w:rsid w:val="004F3850"/>
    <w:rsid w:val="004F67DC"/>
    <w:rsid w:val="004F6E29"/>
    <w:rsid w:val="004F73C1"/>
    <w:rsid w:val="005002A4"/>
    <w:rsid w:val="00500365"/>
    <w:rsid w:val="00502B09"/>
    <w:rsid w:val="00504D05"/>
    <w:rsid w:val="00511EB9"/>
    <w:rsid w:val="00512523"/>
    <w:rsid w:val="005133FE"/>
    <w:rsid w:val="00517637"/>
    <w:rsid w:val="00520FBF"/>
    <w:rsid w:val="005213A0"/>
    <w:rsid w:val="0052199F"/>
    <w:rsid w:val="0052415C"/>
    <w:rsid w:val="00525A06"/>
    <w:rsid w:val="00525F59"/>
    <w:rsid w:val="005332A6"/>
    <w:rsid w:val="005333EA"/>
    <w:rsid w:val="0053570D"/>
    <w:rsid w:val="00535945"/>
    <w:rsid w:val="00536842"/>
    <w:rsid w:val="0054040B"/>
    <w:rsid w:val="005413B3"/>
    <w:rsid w:val="00544854"/>
    <w:rsid w:val="00544BB5"/>
    <w:rsid w:val="005451D8"/>
    <w:rsid w:val="0054619A"/>
    <w:rsid w:val="005461D7"/>
    <w:rsid w:val="00551E7E"/>
    <w:rsid w:val="0055282E"/>
    <w:rsid w:val="00553096"/>
    <w:rsid w:val="005535FE"/>
    <w:rsid w:val="00553CC9"/>
    <w:rsid w:val="005547BF"/>
    <w:rsid w:val="005548A3"/>
    <w:rsid w:val="00556A90"/>
    <w:rsid w:val="00556BC2"/>
    <w:rsid w:val="00560AD8"/>
    <w:rsid w:val="00571372"/>
    <w:rsid w:val="005752A0"/>
    <w:rsid w:val="00575D45"/>
    <w:rsid w:val="0058102E"/>
    <w:rsid w:val="00582B14"/>
    <w:rsid w:val="00583B7B"/>
    <w:rsid w:val="00586FCE"/>
    <w:rsid w:val="005879EE"/>
    <w:rsid w:val="005903FC"/>
    <w:rsid w:val="0059232F"/>
    <w:rsid w:val="005973EA"/>
    <w:rsid w:val="005A1657"/>
    <w:rsid w:val="005A5B9B"/>
    <w:rsid w:val="005B3A7D"/>
    <w:rsid w:val="005B4234"/>
    <w:rsid w:val="005B5CB5"/>
    <w:rsid w:val="005B5E4D"/>
    <w:rsid w:val="005B6E97"/>
    <w:rsid w:val="005B7CB8"/>
    <w:rsid w:val="005C098F"/>
    <w:rsid w:val="005C68B1"/>
    <w:rsid w:val="005D2B21"/>
    <w:rsid w:val="005D3F32"/>
    <w:rsid w:val="005D611A"/>
    <w:rsid w:val="005D6406"/>
    <w:rsid w:val="005D6ED6"/>
    <w:rsid w:val="005E0175"/>
    <w:rsid w:val="005E10F7"/>
    <w:rsid w:val="005E7BEA"/>
    <w:rsid w:val="005F0B1F"/>
    <w:rsid w:val="005F19C7"/>
    <w:rsid w:val="005F1E67"/>
    <w:rsid w:val="005F4C5F"/>
    <w:rsid w:val="005F5DE8"/>
    <w:rsid w:val="005F613D"/>
    <w:rsid w:val="00600A3B"/>
    <w:rsid w:val="006028F7"/>
    <w:rsid w:val="00603412"/>
    <w:rsid w:val="00603998"/>
    <w:rsid w:val="006057ED"/>
    <w:rsid w:val="00605C48"/>
    <w:rsid w:val="00605E9C"/>
    <w:rsid w:val="00606B1F"/>
    <w:rsid w:val="0060782A"/>
    <w:rsid w:val="00610963"/>
    <w:rsid w:val="00610CC0"/>
    <w:rsid w:val="00613794"/>
    <w:rsid w:val="00614221"/>
    <w:rsid w:val="00614C13"/>
    <w:rsid w:val="00615124"/>
    <w:rsid w:val="00615FE1"/>
    <w:rsid w:val="00621E37"/>
    <w:rsid w:val="00622B88"/>
    <w:rsid w:val="006231A1"/>
    <w:rsid w:val="0062474B"/>
    <w:rsid w:val="0062558A"/>
    <w:rsid w:val="0062632C"/>
    <w:rsid w:val="00627B08"/>
    <w:rsid w:val="00631E65"/>
    <w:rsid w:val="00632377"/>
    <w:rsid w:val="00632E35"/>
    <w:rsid w:val="006335BD"/>
    <w:rsid w:val="00637C21"/>
    <w:rsid w:val="0064203A"/>
    <w:rsid w:val="00642F07"/>
    <w:rsid w:val="0064551B"/>
    <w:rsid w:val="00646730"/>
    <w:rsid w:val="00647B0C"/>
    <w:rsid w:val="0065261F"/>
    <w:rsid w:val="006572F7"/>
    <w:rsid w:val="00662774"/>
    <w:rsid w:val="00665984"/>
    <w:rsid w:val="006665A4"/>
    <w:rsid w:val="00666C23"/>
    <w:rsid w:val="00675D4A"/>
    <w:rsid w:val="00676CA2"/>
    <w:rsid w:val="00677E5C"/>
    <w:rsid w:val="006845F8"/>
    <w:rsid w:val="00684A65"/>
    <w:rsid w:val="00687002"/>
    <w:rsid w:val="00690299"/>
    <w:rsid w:val="00690B84"/>
    <w:rsid w:val="00691686"/>
    <w:rsid w:val="00693D63"/>
    <w:rsid w:val="00693EF5"/>
    <w:rsid w:val="0069735D"/>
    <w:rsid w:val="006974C6"/>
    <w:rsid w:val="00697B85"/>
    <w:rsid w:val="00697E22"/>
    <w:rsid w:val="006A0341"/>
    <w:rsid w:val="006A3776"/>
    <w:rsid w:val="006A6513"/>
    <w:rsid w:val="006A782A"/>
    <w:rsid w:val="006A7D72"/>
    <w:rsid w:val="006B049C"/>
    <w:rsid w:val="006B163F"/>
    <w:rsid w:val="006B39A3"/>
    <w:rsid w:val="006C0A93"/>
    <w:rsid w:val="006C2165"/>
    <w:rsid w:val="006C2BA0"/>
    <w:rsid w:val="006C3184"/>
    <w:rsid w:val="006C394D"/>
    <w:rsid w:val="006C40C2"/>
    <w:rsid w:val="006C4910"/>
    <w:rsid w:val="006C4A11"/>
    <w:rsid w:val="006C5A0A"/>
    <w:rsid w:val="006C759B"/>
    <w:rsid w:val="006C7C08"/>
    <w:rsid w:val="006D26EA"/>
    <w:rsid w:val="006D3FC3"/>
    <w:rsid w:val="006D4EBD"/>
    <w:rsid w:val="006D657D"/>
    <w:rsid w:val="006E179D"/>
    <w:rsid w:val="006E1AED"/>
    <w:rsid w:val="006E2B6E"/>
    <w:rsid w:val="006E3BCC"/>
    <w:rsid w:val="006E509A"/>
    <w:rsid w:val="006E7D14"/>
    <w:rsid w:val="006E7DAC"/>
    <w:rsid w:val="006F0CA0"/>
    <w:rsid w:val="006F53D1"/>
    <w:rsid w:val="006F67CD"/>
    <w:rsid w:val="007002F1"/>
    <w:rsid w:val="007005B0"/>
    <w:rsid w:val="00700601"/>
    <w:rsid w:val="007007A4"/>
    <w:rsid w:val="00701260"/>
    <w:rsid w:val="00701EF1"/>
    <w:rsid w:val="007024E3"/>
    <w:rsid w:val="00704C33"/>
    <w:rsid w:val="00707365"/>
    <w:rsid w:val="007133B9"/>
    <w:rsid w:val="00717477"/>
    <w:rsid w:val="00720D0B"/>
    <w:rsid w:val="00723545"/>
    <w:rsid w:val="00723996"/>
    <w:rsid w:val="007245F4"/>
    <w:rsid w:val="007251B2"/>
    <w:rsid w:val="00725D71"/>
    <w:rsid w:val="007270C5"/>
    <w:rsid w:val="007345E5"/>
    <w:rsid w:val="00735208"/>
    <w:rsid w:val="0073553E"/>
    <w:rsid w:val="007414FA"/>
    <w:rsid w:val="00744116"/>
    <w:rsid w:val="00747428"/>
    <w:rsid w:val="007527FD"/>
    <w:rsid w:val="00752DDE"/>
    <w:rsid w:val="007556D0"/>
    <w:rsid w:val="00762AEA"/>
    <w:rsid w:val="00765D48"/>
    <w:rsid w:val="007702D0"/>
    <w:rsid w:val="00770A9A"/>
    <w:rsid w:val="00777BEF"/>
    <w:rsid w:val="00784DB9"/>
    <w:rsid w:val="00791A92"/>
    <w:rsid w:val="007927BD"/>
    <w:rsid w:val="00792840"/>
    <w:rsid w:val="00793B08"/>
    <w:rsid w:val="00793E78"/>
    <w:rsid w:val="0079403C"/>
    <w:rsid w:val="0079608C"/>
    <w:rsid w:val="007A2CC9"/>
    <w:rsid w:val="007A37EF"/>
    <w:rsid w:val="007A59B4"/>
    <w:rsid w:val="007A5DA4"/>
    <w:rsid w:val="007A6328"/>
    <w:rsid w:val="007B17A6"/>
    <w:rsid w:val="007B1D45"/>
    <w:rsid w:val="007B2B20"/>
    <w:rsid w:val="007B2ED4"/>
    <w:rsid w:val="007B4C10"/>
    <w:rsid w:val="007B687F"/>
    <w:rsid w:val="007B7CEC"/>
    <w:rsid w:val="007C272C"/>
    <w:rsid w:val="007C3856"/>
    <w:rsid w:val="007C7904"/>
    <w:rsid w:val="007D010D"/>
    <w:rsid w:val="007D0736"/>
    <w:rsid w:val="007D09B6"/>
    <w:rsid w:val="007D2D4F"/>
    <w:rsid w:val="007D3C66"/>
    <w:rsid w:val="007D789A"/>
    <w:rsid w:val="007E1A63"/>
    <w:rsid w:val="007E4C01"/>
    <w:rsid w:val="007E7D21"/>
    <w:rsid w:val="007F059B"/>
    <w:rsid w:val="007F0C45"/>
    <w:rsid w:val="007F1095"/>
    <w:rsid w:val="007F36C3"/>
    <w:rsid w:val="007F4073"/>
    <w:rsid w:val="007F62AD"/>
    <w:rsid w:val="007F782A"/>
    <w:rsid w:val="008018BC"/>
    <w:rsid w:val="00803931"/>
    <w:rsid w:val="00805181"/>
    <w:rsid w:val="0080543C"/>
    <w:rsid w:val="00806814"/>
    <w:rsid w:val="008136A2"/>
    <w:rsid w:val="0081420B"/>
    <w:rsid w:val="00817265"/>
    <w:rsid w:val="008202A1"/>
    <w:rsid w:val="00820B6A"/>
    <w:rsid w:val="00820FAD"/>
    <w:rsid w:val="00821712"/>
    <w:rsid w:val="0082433E"/>
    <w:rsid w:val="00827D59"/>
    <w:rsid w:val="00832516"/>
    <w:rsid w:val="00832FF7"/>
    <w:rsid w:val="00834977"/>
    <w:rsid w:val="00836FA5"/>
    <w:rsid w:val="00837C79"/>
    <w:rsid w:val="008411DE"/>
    <w:rsid w:val="0084120D"/>
    <w:rsid w:val="008436AE"/>
    <w:rsid w:val="00845D68"/>
    <w:rsid w:val="0084640A"/>
    <w:rsid w:val="00847CF3"/>
    <w:rsid w:val="008518FD"/>
    <w:rsid w:val="0085290A"/>
    <w:rsid w:val="0085708A"/>
    <w:rsid w:val="0086062F"/>
    <w:rsid w:val="00860E93"/>
    <w:rsid w:val="00860F77"/>
    <w:rsid w:val="008615C9"/>
    <w:rsid w:val="00862800"/>
    <w:rsid w:val="00862F66"/>
    <w:rsid w:val="00872EFF"/>
    <w:rsid w:val="00873819"/>
    <w:rsid w:val="00873DEF"/>
    <w:rsid w:val="008758F0"/>
    <w:rsid w:val="00875AFD"/>
    <w:rsid w:val="00880D2E"/>
    <w:rsid w:val="008850A0"/>
    <w:rsid w:val="0088576A"/>
    <w:rsid w:val="00887A45"/>
    <w:rsid w:val="00892706"/>
    <w:rsid w:val="00893517"/>
    <w:rsid w:val="00896C55"/>
    <w:rsid w:val="008A18C0"/>
    <w:rsid w:val="008A1987"/>
    <w:rsid w:val="008A2AF8"/>
    <w:rsid w:val="008A3544"/>
    <w:rsid w:val="008A67F4"/>
    <w:rsid w:val="008B02AD"/>
    <w:rsid w:val="008B07A4"/>
    <w:rsid w:val="008B1236"/>
    <w:rsid w:val="008B1EC8"/>
    <w:rsid w:val="008B2285"/>
    <w:rsid w:val="008B4415"/>
    <w:rsid w:val="008B45A7"/>
    <w:rsid w:val="008C27D8"/>
    <w:rsid w:val="008C288F"/>
    <w:rsid w:val="008C2B73"/>
    <w:rsid w:val="008C56F2"/>
    <w:rsid w:val="008D13E8"/>
    <w:rsid w:val="008D14A4"/>
    <w:rsid w:val="008D1AF7"/>
    <w:rsid w:val="008D2AB2"/>
    <w:rsid w:val="008D5027"/>
    <w:rsid w:val="008D580C"/>
    <w:rsid w:val="008D5F81"/>
    <w:rsid w:val="008D6E0C"/>
    <w:rsid w:val="008D7881"/>
    <w:rsid w:val="008E0372"/>
    <w:rsid w:val="008E2CB8"/>
    <w:rsid w:val="008E39BD"/>
    <w:rsid w:val="008E4202"/>
    <w:rsid w:val="008E5B55"/>
    <w:rsid w:val="008E75E5"/>
    <w:rsid w:val="008F1767"/>
    <w:rsid w:val="008F4531"/>
    <w:rsid w:val="008F4FE0"/>
    <w:rsid w:val="008F7BF1"/>
    <w:rsid w:val="00902B74"/>
    <w:rsid w:val="009030E1"/>
    <w:rsid w:val="0090327E"/>
    <w:rsid w:val="00905BD5"/>
    <w:rsid w:val="009120C5"/>
    <w:rsid w:val="00912198"/>
    <w:rsid w:val="0091253E"/>
    <w:rsid w:val="00912871"/>
    <w:rsid w:val="0091382B"/>
    <w:rsid w:val="009157B5"/>
    <w:rsid w:val="00915ECA"/>
    <w:rsid w:val="0091676C"/>
    <w:rsid w:val="00921381"/>
    <w:rsid w:val="00922C67"/>
    <w:rsid w:val="00923C9E"/>
    <w:rsid w:val="00924212"/>
    <w:rsid w:val="009253C0"/>
    <w:rsid w:val="0092595B"/>
    <w:rsid w:val="009305CF"/>
    <w:rsid w:val="00932B55"/>
    <w:rsid w:val="009334EF"/>
    <w:rsid w:val="0093514F"/>
    <w:rsid w:val="0093657B"/>
    <w:rsid w:val="0093704F"/>
    <w:rsid w:val="00940DE5"/>
    <w:rsid w:val="00941C94"/>
    <w:rsid w:val="009445C7"/>
    <w:rsid w:val="009453CE"/>
    <w:rsid w:val="0094541D"/>
    <w:rsid w:val="0094563D"/>
    <w:rsid w:val="00946FB7"/>
    <w:rsid w:val="00950515"/>
    <w:rsid w:val="00950BD9"/>
    <w:rsid w:val="009516EE"/>
    <w:rsid w:val="009551F9"/>
    <w:rsid w:val="00955BE5"/>
    <w:rsid w:val="009572B3"/>
    <w:rsid w:val="009625A7"/>
    <w:rsid w:val="00962AEF"/>
    <w:rsid w:val="00963250"/>
    <w:rsid w:val="0096608C"/>
    <w:rsid w:val="00966F51"/>
    <w:rsid w:val="00970D22"/>
    <w:rsid w:val="00972A5B"/>
    <w:rsid w:val="009734FD"/>
    <w:rsid w:val="00974680"/>
    <w:rsid w:val="00974CD3"/>
    <w:rsid w:val="00975C56"/>
    <w:rsid w:val="00976AEB"/>
    <w:rsid w:val="00977AB0"/>
    <w:rsid w:val="00985AA4"/>
    <w:rsid w:val="0098710A"/>
    <w:rsid w:val="00991172"/>
    <w:rsid w:val="009969DF"/>
    <w:rsid w:val="00997ACB"/>
    <w:rsid w:val="009A38E2"/>
    <w:rsid w:val="009A40DD"/>
    <w:rsid w:val="009A6247"/>
    <w:rsid w:val="009A6617"/>
    <w:rsid w:val="009A7F19"/>
    <w:rsid w:val="009B01D9"/>
    <w:rsid w:val="009B1A37"/>
    <w:rsid w:val="009B2557"/>
    <w:rsid w:val="009B3E9D"/>
    <w:rsid w:val="009B5584"/>
    <w:rsid w:val="009B5E65"/>
    <w:rsid w:val="009B6A09"/>
    <w:rsid w:val="009C105F"/>
    <w:rsid w:val="009C1C53"/>
    <w:rsid w:val="009C4B26"/>
    <w:rsid w:val="009C638C"/>
    <w:rsid w:val="009C79B2"/>
    <w:rsid w:val="009E01F9"/>
    <w:rsid w:val="009E1BD1"/>
    <w:rsid w:val="009E20EC"/>
    <w:rsid w:val="009E2B6F"/>
    <w:rsid w:val="009E3B41"/>
    <w:rsid w:val="009E4B2D"/>
    <w:rsid w:val="009E4E0E"/>
    <w:rsid w:val="009E6551"/>
    <w:rsid w:val="009F164A"/>
    <w:rsid w:val="009F38D4"/>
    <w:rsid w:val="009F40B6"/>
    <w:rsid w:val="009F4737"/>
    <w:rsid w:val="009F654B"/>
    <w:rsid w:val="009F7235"/>
    <w:rsid w:val="00A01249"/>
    <w:rsid w:val="00A06623"/>
    <w:rsid w:val="00A115CE"/>
    <w:rsid w:val="00A15D94"/>
    <w:rsid w:val="00A17DE3"/>
    <w:rsid w:val="00A20173"/>
    <w:rsid w:val="00A209D0"/>
    <w:rsid w:val="00A211D1"/>
    <w:rsid w:val="00A22095"/>
    <w:rsid w:val="00A220D6"/>
    <w:rsid w:val="00A221BF"/>
    <w:rsid w:val="00A234E3"/>
    <w:rsid w:val="00A23CC7"/>
    <w:rsid w:val="00A24211"/>
    <w:rsid w:val="00A259D0"/>
    <w:rsid w:val="00A274E7"/>
    <w:rsid w:val="00A30CEE"/>
    <w:rsid w:val="00A31C48"/>
    <w:rsid w:val="00A36368"/>
    <w:rsid w:val="00A36565"/>
    <w:rsid w:val="00A40D22"/>
    <w:rsid w:val="00A44D1D"/>
    <w:rsid w:val="00A45CCD"/>
    <w:rsid w:val="00A4712D"/>
    <w:rsid w:val="00A50EB4"/>
    <w:rsid w:val="00A5438F"/>
    <w:rsid w:val="00A54D21"/>
    <w:rsid w:val="00A555E6"/>
    <w:rsid w:val="00A562D1"/>
    <w:rsid w:val="00A6259F"/>
    <w:rsid w:val="00A6284E"/>
    <w:rsid w:val="00A65B03"/>
    <w:rsid w:val="00A65F22"/>
    <w:rsid w:val="00A66B09"/>
    <w:rsid w:val="00A67B52"/>
    <w:rsid w:val="00A7312D"/>
    <w:rsid w:val="00A74675"/>
    <w:rsid w:val="00A747FD"/>
    <w:rsid w:val="00A80663"/>
    <w:rsid w:val="00A8196A"/>
    <w:rsid w:val="00A834C2"/>
    <w:rsid w:val="00A83803"/>
    <w:rsid w:val="00A84E7B"/>
    <w:rsid w:val="00A854B2"/>
    <w:rsid w:val="00A85B09"/>
    <w:rsid w:val="00A85E60"/>
    <w:rsid w:val="00A9023F"/>
    <w:rsid w:val="00A90B20"/>
    <w:rsid w:val="00A952AD"/>
    <w:rsid w:val="00A9640F"/>
    <w:rsid w:val="00AA0F4C"/>
    <w:rsid w:val="00AA1EEA"/>
    <w:rsid w:val="00AA3FF0"/>
    <w:rsid w:val="00AA4FBE"/>
    <w:rsid w:val="00AA5BE8"/>
    <w:rsid w:val="00AA5DF9"/>
    <w:rsid w:val="00AB3FBC"/>
    <w:rsid w:val="00AB5153"/>
    <w:rsid w:val="00AB7849"/>
    <w:rsid w:val="00AC13B5"/>
    <w:rsid w:val="00AC582C"/>
    <w:rsid w:val="00AC5CD1"/>
    <w:rsid w:val="00AC5D7B"/>
    <w:rsid w:val="00AC623E"/>
    <w:rsid w:val="00AC6292"/>
    <w:rsid w:val="00AC78F3"/>
    <w:rsid w:val="00AD0996"/>
    <w:rsid w:val="00AD1A65"/>
    <w:rsid w:val="00AD4AB6"/>
    <w:rsid w:val="00AD4F41"/>
    <w:rsid w:val="00AD66BA"/>
    <w:rsid w:val="00AD6808"/>
    <w:rsid w:val="00AD77C8"/>
    <w:rsid w:val="00AE5428"/>
    <w:rsid w:val="00AE730D"/>
    <w:rsid w:val="00AF122D"/>
    <w:rsid w:val="00AF4649"/>
    <w:rsid w:val="00AF636A"/>
    <w:rsid w:val="00B0231A"/>
    <w:rsid w:val="00B02AAC"/>
    <w:rsid w:val="00B02AB5"/>
    <w:rsid w:val="00B03081"/>
    <w:rsid w:val="00B05B1E"/>
    <w:rsid w:val="00B07E3B"/>
    <w:rsid w:val="00B10378"/>
    <w:rsid w:val="00B1086A"/>
    <w:rsid w:val="00B11BD6"/>
    <w:rsid w:val="00B14EED"/>
    <w:rsid w:val="00B16FD5"/>
    <w:rsid w:val="00B2220D"/>
    <w:rsid w:val="00B30883"/>
    <w:rsid w:val="00B30BD0"/>
    <w:rsid w:val="00B315D1"/>
    <w:rsid w:val="00B32501"/>
    <w:rsid w:val="00B341B6"/>
    <w:rsid w:val="00B349A3"/>
    <w:rsid w:val="00B36531"/>
    <w:rsid w:val="00B40947"/>
    <w:rsid w:val="00B409B4"/>
    <w:rsid w:val="00B4185C"/>
    <w:rsid w:val="00B42178"/>
    <w:rsid w:val="00B43B9B"/>
    <w:rsid w:val="00B44147"/>
    <w:rsid w:val="00B453E9"/>
    <w:rsid w:val="00B4600D"/>
    <w:rsid w:val="00B4799A"/>
    <w:rsid w:val="00B517BA"/>
    <w:rsid w:val="00B55321"/>
    <w:rsid w:val="00B555D8"/>
    <w:rsid w:val="00B57E13"/>
    <w:rsid w:val="00B60C64"/>
    <w:rsid w:val="00B61A53"/>
    <w:rsid w:val="00B61B05"/>
    <w:rsid w:val="00B63905"/>
    <w:rsid w:val="00B63DFB"/>
    <w:rsid w:val="00B66293"/>
    <w:rsid w:val="00B67DEF"/>
    <w:rsid w:val="00B70ACC"/>
    <w:rsid w:val="00B7171F"/>
    <w:rsid w:val="00B75575"/>
    <w:rsid w:val="00B763DD"/>
    <w:rsid w:val="00B77CDC"/>
    <w:rsid w:val="00B81EE4"/>
    <w:rsid w:val="00B82D18"/>
    <w:rsid w:val="00B84A30"/>
    <w:rsid w:val="00B850AA"/>
    <w:rsid w:val="00B858EB"/>
    <w:rsid w:val="00B85BA0"/>
    <w:rsid w:val="00B905F5"/>
    <w:rsid w:val="00B90C1F"/>
    <w:rsid w:val="00B91FA6"/>
    <w:rsid w:val="00B922C7"/>
    <w:rsid w:val="00B933E2"/>
    <w:rsid w:val="00B9380D"/>
    <w:rsid w:val="00B93E78"/>
    <w:rsid w:val="00B9471E"/>
    <w:rsid w:val="00B95FB2"/>
    <w:rsid w:val="00B96956"/>
    <w:rsid w:val="00B97121"/>
    <w:rsid w:val="00B97CE4"/>
    <w:rsid w:val="00BA0C3C"/>
    <w:rsid w:val="00BA35DA"/>
    <w:rsid w:val="00BA36CA"/>
    <w:rsid w:val="00BA3738"/>
    <w:rsid w:val="00BA4BCD"/>
    <w:rsid w:val="00BA58B4"/>
    <w:rsid w:val="00BA6E63"/>
    <w:rsid w:val="00BB03A2"/>
    <w:rsid w:val="00BB0EFF"/>
    <w:rsid w:val="00BB186F"/>
    <w:rsid w:val="00BB3139"/>
    <w:rsid w:val="00BB353B"/>
    <w:rsid w:val="00BC04D9"/>
    <w:rsid w:val="00BC3DD7"/>
    <w:rsid w:val="00BD0FA9"/>
    <w:rsid w:val="00BD105C"/>
    <w:rsid w:val="00BD2798"/>
    <w:rsid w:val="00BD378C"/>
    <w:rsid w:val="00BD4D6F"/>
    <w:rsid w:val="00BD585E"/>
    <w:rsid w:val="00BD63E0"/>
    <w:rsid w:val="00BD7312"/>
    <w:rsid w:val="00BD7F37"/>
    <w:rsid w:val="00BE1A0A"/>
    <w:rsid w:val="00BE1E9C"/>
    <w:rsid w:val="00BE2684"/>
    <w:rsid w:val="00BE5F6A"/>
    <w:rsid w:val="00BE72C5"/>
    <w:rsid w:val="00BE7421"/>
    <w:rsid w:val="00BE7AEC"/>
    <w:rsid w:val="00BE7FAC"/>
    <w:rsid w:val="00BF0A6B"/>
    <w:rsid w:val="00BF24FA"/>
    <w:rsid w:val="00BF2A9B"/>
    <w:rsid w:val="00BF34E4"/>
    <w:rsid w:val="00BF4EA1"/>
    <w:rsid w:val="00BF53CF"/>
    <w:rsid w:val="00BF6365"/>
    <w:rsid w:val="00BF6D95"/>
    <w:rsid w:val="00BF6F34"/>
    <w:rsid w:val="00BF7B4B"/>
    <w:rsid w:val="00C00E49"/>
    <w:rsid w:val="00C02659"/>
    <w:rsid w:val="00C034BC"/>
    <w:rsid w:val="00C04C70"/>
    <w:rsid w:val="00C078E3"/>
    <w:rsid w:val="00C07BF4"/>
    <w:rsid w:val="00C10EA7"/>
    <w:rsid w:val="00C131B9"/>
    <w:rsid w:val="00C160B2"/>
    <w:rsid w:val="00C20BDF"/>
    <w:rsid w:val="00C2167A"/>
    <w:rsid w:val="00C22EAC"/>
    <w:rsid w:val="00C24D1F"/>
    <w:rsid w:val="00C25340"/>
    <w:rsid w:val="00C25811"/>
    <w:rsid w:val="00C25D3C"/>
    <w:rsid w:val="00C3671F"/>
    <w:rsid w:val="00C36DD6"/>
    <w:rsid w:val="00C423CF"/>
    <w:rsid w:val="00C430C9"/>
    <w:rsid w:val="00C44A99"/>
    <w:rsid w:val="00C45267"/>
    <w:rsid w:val="00C45407"/>
    <w:rsid w:val="00C46FBE"/>
    <w:rsid w:val="00C473A4"/>
    <w:rsid w:val="00C518E1"/>
    <w:rsid w:val="00C51D7A"/>
    <w:rsid w:val="00C56189"/>
    <w:rsid w:val="00C61E30"/>
    <w:rsid w:val="00C64A54"/>
    <w:rsid w:val="00C653C8"/>
    <w:rsid w:val="00C67C97"/>
    <w:rsid w:val="00C70008"/>
    <w:rsid w:val="00C700DF"/>
    <w:rsid w:val="00C71EC3"/>
    <w:rsid w:val="00C7229B"/>
    <w:rsid w:val="00C723F1"/>
    <w:rsid w:val="00C745E1"/>
    <w:rsid w:val="00C76104"/>
    <w:rsid w:val="00C76BDD"/>
    <w:rsid w:val="00C77C12"/>
    <w:rsid w:val="00C831DA"/>
    <w:rsid w:val="00C8400E"/>
    <w:rsid w:val="00C85F4E"/>
    <w:rsid w:val="00C90B16"/>
    <w:rsid w:val="00C93DD0"/>
    <w:rsid w:val="00C947EB"/>
    <w:rsid w:val="00C9566B"/>
    <w:rsid w:val="00C9608B"/>
    <w:rsid w:val="00C97C52"/>
    <w:rsid w:val="00CA0702"/>
    <w:rsid w:val="00CA2500"/>
    <w:rsid w:val="00CA4C46"/>
    <w:rsid w:val="00CA6C6B"/>
    <w:rsid w:val="00CA72C2"/>
    <w:rsid w:val="00CA768C"/>
    <w:rsid w:val="00CB23A3"/>
    <w:rsid w:val="00CB2EF0"/>
    <w:rsid w:val="00CB2F3C"/>
    <w:rsid w:val="00CC011A"/>
    <w:rsid w:val="00CC3664"/>
    <w:rsid w:val="00CC37D9"/>
    <w:rsid w:val="00CC3D25"/>
    <w:rsid w:val="00CC61DF"/>
    <w:rsid w:val="00CC7B87"/>
    <w:rsid w:val="00CD023B"/>
    <w:rsid w:val="00CD09D4"/>
    <w:rsid w:val="00CD27F0"/>
    <w:rsid w:val="00CD37C1"/>
    <w:rsid w:val="00CD3D1A"/>
    <w:rsid w:val="00CD4102"/>
    <w:rsid w:val="00CE0CA3"/>
    <w:rsid w:val="00CE4498"/>
    <w:rsid w:val="00CE5925"/>
    <w:rsid w:val="00CE5B71"/>
    <w:rsid w:val="00CE6A3F"/>
    <w:rsid w:val="00CE6EAE"/>
    <w:rsid w:val="00CF7376"/>
    <w:rsid w:val="00D0023C"/>
    <w:rsid w:val="00D00275"/>
    <w:rsid w:val="00D01519"/>
    <w:rsid w:val="00D02005"/>
    <w:rsid w:val="00D0348C"/>
    <w:rsid w:val="00D0369C"/>
    <w:rsid w:val="00D04CAE"/>
    <w:rsid w:val="00D073E8"/>
    <w:rsid w:val="00D10EF8"/>
    <w:rsid w:val="00D11E88"/>
    <w:rsid w:val="00D11F27"/>
    <w:rsid w:val="00D128B3"/>
    <w:rsid w:val="00D141AC"/>
    <w:rsid w:val="00D16020"/>
    <w:rsid w:val="00D17780"/>
    <w:rsid w:val="00D17A7B"/>
    <w:rsid w:val="00D22952"/>
    <w:rsid w:val="00D2544C"/>
    <w:rsid w:val="00D2690A"/>
    <w:rsid w:val="00D26F9A"/>
    <w:rsid w:val="00D27488"/>
    <w:rsid w:val="00D348AC"/>
    <w:rsid w:val="00D35672"/>
    <w:rsid w:val="00D375FF"/>
    <w:rsid w:val="00D433B3"/>
    <w:rsid w:val="00D441A6"/>
    <w:rsid w:val="00D444AE"/>
    <w:rsid w:val="00D46438"/>
    <w:rsid w:val="00D500BF"/>
    <w:rsid w:val="00D52ABE"/>
    <w:rsid w:val="00D531CB"/>
    <w:rsid w:val="00D54548"/>
    <w:rsid w:val="00D6118E"/>
    <w:rsid w:val="00D6349A"/>
    <w:rsid w:val="00D66BE4"/>
    <w:rsid w:val="00D671CA"/>
    <w:rsid w:val="00D6792E"/>
    <w:rsid w:val="00D714D9"/>
    <w:rsid w:val="00D71EF1"/>
    <w:rsid w:val="00D71FF9"/>
    <w:rsid w:val="00D75DED"/>
    <w:rsid w:val="00D77C1A"/>
    <w:rsid w:val="00D802CB"/>
    <w:rsid w:val="00D81D50"/>
    <w:rsid w:val="00D8358E"/>
    <w:rsid w:val="00D835BE"/>
    <w:rsid w:val="00D83920"/>
    <w:rsid w:val="00D84DAB"/>
    <w:rsid w:val="00D85405"/>
    <w:rsid w:val="00D87E06"/>
    <w:rsid w:val="00D92BEF"/>
    <w:rsid w:val="00D92CAF"/>
    <w:rsid w:val="00D93598"/>
    <w:rsid w:val="00D95AFE"/>
    <w:rsid w:val="00D9737E"/>
    <w:rsid w:val="00DA0DB2"/>
    <w:rsid w:val="00DA0F92"/>
    <w:rsid w:val="00DA299A"/>
    <w:rsid w:val="00DA69A2"/>
    <w:rsid w:val="00DB0AA4"/>
    <w:rsid w:val="00DB1063"/>
    <w:rsid w:val="00DB1710"/>
    <w:rsid w:val="00DB2761"/>
    <w:rsid w:val="00DB3D24"/>
    <w:rsid w:val="00DB7E88"/>
    <w:rsid w:val="00DC2D46"/>
    <w:rsid w:val="00DC52F0"/>
    <w:rsid w:val="00DC542B"/>
    <w:rsid w:val="00DC76B7"/>
    <w:rsid w:val="00DD26FB"/>
    <w:rsid w:val="00DD2A11"/>
    <w:rsid w:val="00DD342B"/>
    <w:rsid w:val="00DD7ADB"/>
    <w:rsid w:val="00DE234E"/>
    <w:rsid w:val="00DE2516"/>
    <w:rsid w:val="00DE2965"/>
    <w:rsid w:val="00DE59C5"/>
    <w:rsid w:val="00DE703E"/>
    <w:rsid w:val="00DE7065"/>
    <w:rsid w:val="00DE7468"/>
    <w:rsid w:val="00DE7E63"/>
    <w:rsid w:val="00DF1777"/>
    <w:rsid w:val="00DF1D56"/>
    <w:rsid w:val="00DF2483"/>
    <w:rsid w:val="00DF47ED"/>
    <w:rsid w:val="00E008EC"/>
    <w:rsid w:val="00E00D57"/>
    <w:rsid w:val="00E0523C"/>
    <w:rsid w:val="00E05D92"/>
    <w:rsid w:val="00E11DE5"/>
    <w:rsid w:val="00E1284D"/>
    <w:rsid w:val="00E1390E"/>
    <w:rsid w:val="00E15789"/>
    <w:rsid w:val="00E20985"/>
    <w:rsid w:val="00E2284B"/>
    <w:rsid w:val="00E22BAE"/>
    <w:rsid w:val="00E23F2E"/>
    <w:rsid w:val="00E2438D"/>
    <w:rsid w:val="00E2552F"/>
    <w:rsid w:val="00E33E03"/>
    <w:rsid w:val="00E35386"/>
    <w:rsid w:val="00E3550A"/>
    <w:rsid w:val="00E355B7"/>
    <w:rsid w:val="00E3683D"/>
    <w:rsid w:val="00E36D48"/>
    <w:rsid w:val="00E40120"/>
    <w:rsid w:val="00E4032F"/>
    <w:rsid w:val="00E41AD8"/>
    <w:rsid w:val="00E4343A"/>
    <w:rsid w:val="00E438D1"/>
    <w:rsid w:val="00E449A0"/>
    <w:rsid w:val="00E57201"/>
    <w:rsid w:val="00E57DF3"/>
    <w:rsid w:val="00E63E80"/>
    <w:rsid w:val="00E648EC"/>
    <w:rsid w:val="00E66390"/>
    <w:rsid w:val="00E67BEC"/>
    <w:rsid w:val="00E717D4"/>
    <w:rsid w:val="00E74D13"/>
    <w:rsid w:val="00E76A31"/>
    <w:rsid w:val="00E76BA0"/>
    <w:rsid w:val="00E76E5A"/>
    <w:rsid w:val="00E773E4"/>
    <w:rsid w:val="00E829A5"/>
    <w:rsid w:val="00E83D7F"/>
    <w:rsid w:val="00E84C57"/>
    <w:rsid w:val="00E850B2"/>
    <w:rsid w:val="00E86F01"/>
    <w:rsid w:val="00E912D9"/>
    <w:rsid w:val="00E93974"/>
    <w:rsid w:val="00E94300"/>
    <w:rsid w:val="00E952EE"/>
    <w:rsid w:val="00EA015B"/>
    <w:rsid w:val="00EA0427"/>
    <w:rsid w:val="00EA18F0"/>
    <w:rsid w:val="00EA2A8C"/>
    <w:rsid w:val="00EA33A5"/>
    <w:rsid w:val="00EA39A7"/>
    <w:rsid w:val="00EA66DB"/>
    <w:rsid w:val="00EA7318"/>
    <w:rsid w:val="00EA7BBC"/>
    <w:rsid w:val="00EB08D1"/>
    <w:rsid w:val="00EB2718"/>
    <w:rsid w:val="00EB2834"/>
    <w:rsid w:val="00EB4A8D"/>
    <w:rsid w:val="00EB668C"/>
    <w:rsid w:val="00EB7B49"/>
    <w:rsid w:val="00EC03B2"/>
    <w:rsid w:val="00EC090F"/>
    <w:rsid w:val="00EC3CCA"/>
    <w:rsid w:val="00ED0014"/>
    <w:rsid w:val="00ED1AB3"/>
    <w:rsid w:val="00ED26D9"/>
    <w:rsid w:val="00EF430E"/>
    <w:rsid w:val="00EF6A2D"/>
    <w:rsid w:val="00EF7AEE"/>
    <w:rsid w:val="00F03110"/>
    <w:rsid w:val="00F0373C"/>
    <w:rsid w:val="00F03B28"/>
    <w:rsid w:val="00F0429C"/>
    <w:rsid w:val="00F05A33"/>
    <w:rsid w:val="00F0629F"/>
    <w:rsid w:val="00F0702F"/>
    <w:rsid w:val="00F10686"/>
    <w:rsid w:val="00F12E5C"/>
    <w:rsid w:val="00F1392E"/>
    <w:rsid w:val="00F1574D"/>
    <w:rsid w:val="00F1751A"/>
    <w:rsid w:val="00F22D38"/>
    <w:rsid w:val="00F301F7"/>
    <w:rsid w:val="00F302F5"/>
    <w:rsid w:val="00F31AE6"/>
    <w:rsid w:val="00F34D0E"/>
    <w:rsid w:val="00F36936"/>
    <w:rsid w:val="00F36ABF"/>
    <w:rsid w:val="00F408FF"/>
    <w:rsid w:val="00F40DEC"/>
    <w:rsid w:val="00F41B5B"/>
    <w:rsid w:val="00F42085"/>
    <w:rsid w:val="00F4694B"/>
    <w:rsid w:val="00F474E8"/>
    <w:rsid w:val="00F50F45"/>
    <w:rsid w:val="00F5218C"/>
    <w:rsid w:val="00F53467"/>
    <w:rsid w:val="00F53FB5"/>
    <w:rsid w:val="00F5480E"/>
    <w:rsid w:val="00F5612A"/>
    <w:rsid w:val="00F572BF"/>
    <w:rsid w:val="00F575AE"/>
    <w:rsid w:val="00F60C50"/>
    <w:rsid w:val="00F61C56"/>
    <w:rsid w:val="00F61C65"/>
    <w:rsid w:val="00F63E8A"/>
    <w:rsid w:val="00F6558E"/>
    <w:rsid w:val="00F710BD"/>
    <w:rsid w:val="00F71A08"/>
    <w:rsid w:val="00F744A9"/>
    <w:rsid w:val="00F866C9"/>
    <w:rsid w:val="00F9027B"/>
    <w:rsid w:val="00F94C42"/>
    <w:rsid w:val="00FA00D4"/>
    <w:rsid w:val="00FA01F0"/>
    <w:rsid w:val="00FA02FB"/>
    <w:rsid w:val="00FA57ED"/>
    <w:rsid w:val="00FA5C59"/>
    <w:rsid w:val="00FA64D0"/>
    <w:rsid w:val="00FA7646"/>
    <w:rsid w:val="00FA78A3"/>
    <w:rsid w:val="00FB0957"/>
    <w:rsid w:val="00FB0B3F"/>
    <w:rsid w:val="00FB214B"/>
    <w:rsid w:val="00FB30B1"/>
    <w:rsid w:val="00FB34C8"/>
    <w:rsid w:val="00FB5F53"/>
    <w:rsid w:val="00FC0B63"/>
    <w:rsid w:val="00FC15C0"/>
    <w:rsid w:val="00FC53EF"/>
    <w:rsid w:val="00FD2506"/>
    <w:rsid w:val="00FD4D0D"/>
    <w:rsid w:val="00FD6812"/>
    <w:rsid w:val="00FD70EB"/>
    <w:rsid w:val="00FE0900"/>
    <w:rsid w:val="00FE2B70"/>
    <w:rsid w:val="00FE3D95"/>
    <w:rsid w:val="00FE4031"/>
    <w:rsid w:val="00FE759D"/>
    <w:rsid w:val="00FE776B"/>
    <w:rsid w:val="00FE79D8"/>
    <w:rsid w:val="00FF2102"/>
    <w:rsid w:val="00FF27E6"/>
    <w:rsid w:val="00FF2D1B"/>
    <w:rsid w:val="00FF3676"/>
    <w:rsid w:val="00FF3C39"/>
    <w:rsid w:val="00FF3C8E"/>
    <w:rsid w:val="021D3C39"/>
    <w:rsid w:val="043B0A87"/>
    <w:rsid w:val="04AD27D6"/>
    <w:rsid w:val="04C1497D"/>
    <w:rsid w:val="0599193D"/>
    <w:rsid w:val="0618722A"/>
    <w:rsid w:val="087E6DB4"/>
    <w:rsid w:val="08985F75"/>
    <w:rsid w:val="0C7B105E"/>
    <w:rsid w:val="0CF4024C"/>
    <w:rsid w:val="0E5B7332"/>
    <w:rsid w:val="0F097D6F"/>
    <w:rsid w:val="0F8A33A0"/>
    <w:rsid w:val="10945A29"/>
    <w:rsid w:val="12611C19"/>
    <w:rsid w:val="12FE1222"/>
    <w:rsid w:val="13D201B1"/>
    <w:rsid w:val="146A2831"/>
    <w:rsid w:val="15383702"/>
    <w:rsid w:val="153E45A3"/>
    <w:rsid w:val="159F1127"/>
    <w:rsid w:val="15A946D2"/>
    <w:rsid w:val="181F49D0"/>
    <w:rsid w:val="189468DD"/>
    <w:rsid w:val="18A46EA6"/>
    <w:rsid w:val="1A137C5A"/>
    <w:rsid w:val="1A49448A"/>
    <w:rsid w:val="1A5D64B9"/>
    <w:rsid w:val="1A693D8F"/>
    <w:rsid w:val="1BA64138"/>
    <w:rsid w:val="1CE3437F"/>
    <w:rsid w:val="1DD90F8D"/>
    <w:rsid w:val="1DFB1B25"/>
    <w:rsid w:val="1EFC55E3"/>
    <w:rsid w:val="1F3B6C05"/>
    <w:rsid w:val="1FAA2390"/>
    <w:rsid w:val="1FD20912"/>
    <w:rsid w:val="200D51C6"/>
    <w:rsid w:val="202C6C88"/>
    <w:rsid w:val="204955B7"/>
    <w:rsid w:val="21730596"/>
    <w:rsid w:val="23184753"/>
    <w:rsid w:val="236B54FC"/>
    <w:rsid w:val="23CA36E0"/>
    <w:rsid w:val="23CE16B9"/>
    <w:rsid w:val="244331F4"/>
    <w:rsid w:val="26A81162"/>
    <w:rsid w:val="271832CF"/>
    <w:rsid w:val="27CB412C"/>
    <w:rsid w:val="29534AC8"/>
    <w:rsid w:val="29A073AB"/>
    <w:rsid w:val="2BD76F13"/>
    <w:rsid w:val="2C9B5388"/>
    <w:rsid w:val="2CD31687"/>
    <w:rsid w:val="2E083B00"/>
    <w:rsid w:val="308A5F1D"/>
    <w:rsid w:val="33364AA0"/>
    <w:rsid w:val="3341189E"/>
    <w:rsid w:val="340A771B"/>
    <w:rsid w:val="358B3987"/>
    <w:rsid w:val="361F2F9B"/>
    <w:rsid w:val="36E42A77"/>
    <w:rsid w:val="375D2D45"/>
    <w:rsid w:val="39905238"/>
    <w:rsid w:val="3B867242"/>
    <w:rsid w:val="3BE709C2"/>
    <w:rsid w:val="3BFB443E"/>
    <w:rsid w:val="3C4A3122"/>
    <w:rsid w:val="3E995F29"/>
    <w:rsid w:val="3ED33CD7"/>
    <w:rsid w:val="3F3322A2"/>
    <w:rsid w:val="3F9C741A"/>
    <w:rsid w:val="40466F9F"/>
    <w:rsid w:val="40E15177"/>
    <w:rsid w:val="41121E3E"/>
    <w:rsid w:val="4136443E"/>
    <w:rsid w:val="415747BE"/>
    <w:rsid w:val="434E6A2C"/>
    <w:rsid w:val="43A905D2"/>
    <w:rsid w:val="46FE7DA6"/>
    <w:rsid w:val="47DF56AD"/>
    <w:rsid w:val="47F73EDB"/>
    <w:rsid w:val="4803223C"/>
    <w:rsid w:val="4BA628A0"/>
    <w:rsid w:val="4BE935A1"/>
    <w:rsid w:val="4C3F1DAE"/>
    <w:rsid w:val="4C7915F2"/>
    <w:rsid w:val="4D544769"/>
    <w:rsid w:val="4E0A1B63"/>
    <w:rsid w:val="4E9438C7"/>
    <w:rsid w:val="4EDF7A47"/>
    <w:rsid w:val="4F2C4FA6"/>
    <w:rsid w:val="4FE208D8"/>
    <w:rsid w:val="50134248"/>
    <w:rsid w:val="52B27A0D"/>
    <w:rsid w:val="531A2E77"/>
    <w:rsid w:val="53BC61B2"/>
    <w:rsid w:val="53D07965"/>
    <w:rsid w:val="54B01A28"/>
    <w:rsid w:val="54D031C1"/>
    <w:rsid w:val="54FF5890"/>
    <w:rsid w:val="55214023"/>
    <w:rsid w:val="55233842"/>
    <w:rsid w:val="575E77A6"/>
    <w:rsid w:val="59011AF1"/>
    <w:rsid w:val="59EC6AA9"/>
    <w:rsid w:val="5A7D7B14"/>
    <w:rsid w:val="5B0F3BB9"/>
    <w:rsid w:val="5B7D3A28"/>
    <w:rsid w:val="5B821AE1"/>
    <w:rsid w:val="5CD54625"/>
    <w:rsid w:val="5D371EC5"/>
    <w:rsid w:val="5D977FF4"/>
    <w:rsid w:val="5DCC7913"/>
    <w:rsid w:val="5E8C04CB"/>
    <w:rsid w:val="5F0E1D8C"/>
    <w:rsid w:val="5FB83041"/>
    <w:rsid w:val="604A0977"/>
    <w:rsid w:val="60E225C3"/>
    <w:rsid w:val="627A76FA"/>
    <w:rsid w:val="62CB5A78"/>
    <w:rsid w:val="63A7542D"/>
    <w:rsid w:val="63BF5199"/>
    <w:rsid w:val="64AF6935"/>
    <w:rsid w:val="658A740B"/>
    <w:rsid w:val="66A85273"/>
    <w:rsid w:val="681C1DC3"/>
    <w:rsid w:val="682F2C11"/>
    <w:rsid w:val="68394B4E"/>
    <w:rsid w:val="685046A5"/>
    <w:rsid w:val="693748F9"/>
    <w:rsid w:val="694E453C"/>
    <w:rsid w:val="698016E0"/>
    <w:rsid w:val="6A2617AF"/>
    <w:rsid w:val="6A2B494A"/>
    <w:rsid w:val="6B767D77"/>
    <w:rsid w:val="6D73073F"/>
    <w:rsid w:val="6D7D1793"/>
    <w:rsid w:val="6D9F4077"/>
    <w:rsid w:val="6DD71CD5"/>
    <w:rsid w:val="6DE97638"/>
    <w:rsid w:val="70F26280"/>
    <w:rsid w:val="71F86E92"/>
    <w:rsid w:val="72AA3F2D"/>
    <w:rsid w:val="76557B58"/>
    <w:rsid w:val="768A3B27"/>
    <w:rsid w:val="76D26395"/>
    <w:rsid w:val="77797971"/>
    <w:rsid w:val="77CA7E87"/>
    <w:rsid w:val="77CB2A2B"/>
    <w:rsid w:val="782433F5"/>
    <w:rsid w:val="78786E12"/>
    <w:rsid w:val="78DD4F37"/>
    <w:rsid w:val="791B4D88"/>
    <w:rsid w:val="794D2E07"/>
    <w:rsid w:val="7D055047"/>
    <w:rsid w:val="7D8C3A31"/>
    <w:rsid w:val="7DF97BC0"/>
    <w:rsid w:val="7E52673F"/>
    <w:rsid w:val="7E712E69"/>
    <w:rsid w:val="7F0D2F57"/>
    <w:rsid w:val="7F561EA6"/>
    <w:rsid w:val="7FC26D65"/>
    <w:rsid w:val="7FD35C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38"/>
    <w:qFormat/>
    <w:uiPriority w:val="9"/>
    <w:pPr>
      <w:keepNext/>
      <w:keepLines/>
      <w:spacing w:line="680" w:lineRule="exact"/>
      <w:ind w:firstLine="0" w:firstLineChars="0"/>
      <w:outlineLvl w:val="0"/>
    </w:pPr>
    <w:rPr>
      <w:rFonts w:eastAsia="黑体"/>
      <w:b/>
      <w:bCs/>
      <w:kern w:val="44"/>
      <w:sz w:val="36"/>
      <w:szCs w:val="44"/>
    </w:rPr>
  </w:style>
  <w:style w:type="paragraph" w:styleId="3">
    <w:name w:val="heading 2"/>
    <w:basedOn w:val="1"/>
    <w:next w:val="1"/>
    <w:link w:val="65"/>
    <w:unhideWhenUsed/>
    <w:qFormat/>
    <w:uiPriority w:val="9"/>
    <w:pPr>
      <w:keepNext/>
      <w:keepLines/>
      <w:spacing w:line="680" w:lineRule="exact"/>
      <w:outlineLvl w:val="1"/>
    </w:pPr>
    <w:rPr>
      <w:rFonts w:eastAsia="楷体_GB2312" w:cstheme="majorBidi"/>
      <w:b/>
      <w:bCs/>
      <w:szCs w:val="32"/>
    </w:rPr>
  </w:style>
  <w:style w:type="paragraph" w:styleId="4">
    <w:name w:val="heading 3"/>
    <w:basedOn w:val="1"/>
    <w:next w:val="1"/>
    <w:link w:val="64"/>
    <w:unhideWhenUsed/>
    <w:qFormat/>
    <w:uiPriority w:val="9"/>
    <w:pPr>
      <w:keepNext/>
      <w:keepLines/>
      <w:spacing w:line="680" w:lineRule="exact"/>
      <w:outlineLvl w:val="2"/>
    </w:pPr>
    <w:rPr>
      <w:bCs/>
      <w:szCs w:val="32"/>
    </w:rPr>
  </w:style>
  <w:style w:type="paragraph" w:styleId="5">
    <w:name w:val="heading 4"/>
    <w:basedOn w:val="1"/>
    <w:next w:val="1"/>
    <w:link w:val="67"/>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Document Map"/>
    <w:basedOn w:val="1"/>
    <w:link w:val="41"/>
    <w:unhideWhenUsed/>
    <w:qFormat/>
    <w:uiPriority w:val="99"/>
    <w:rPr>
      <w:rFonts w:ascii="宋体" w:eastAsia="宋体"/>
      <w:sz w:val="18"/>
      <w:szCs w:val="18"/>
    </w:rPr>
  </w:style>
  <w:style w:type="paragraph" w:styleId="7">
    <w:name w:val="toc 3"/>
    <w:basedOn w:val="1"/>
    <w:next w:val="1"/>
    <w:unhideWhenUsed/>
    <w:qFormat/>
    <w:uiPriority w:val="39"/>
    <w:pPr>
      <w:ind w:left="840" w:leftChars="400"/>
    </w:pPr>
  </w:style>
  <w:style w:type="paragraph" w:styleId="8">
    <w:name w:val="Date"/>
    <w:basedOn w:val="1"/>
    <w:next w:val="1"/>
    <w:link w:val="68"/>
    <w:unhideWhenUsed/>
    <w:qFormat/>
    <w:uiPriority w:val="99"/>
    <w:pPr>
      <w:spacing w:line="240" w:lineRule="auto"/>
      <w:ind w:left="100" w:leftChars="2500" w:firstLine="0" w:firstLineChars="0"/>
    </w:pPr>
    <w:rPr>
      <w:rFonts w:ascii="Calibri" w:hAnsi="Calibri" w:eastAsia="宋体"/>
      <w:sz w:val="21"/>
    </w:rPr>
  </w:style>
  <w:style w:type="paragraph" w:styleId="9">
    <w:name w:val="endnote text"/>
    <w:basedOn w:val="1"/>
    <w:link w:val="34"/>
    <w:unhideWhenUsed/>
    <w:qFormat/>
    <w:uiPriority w:val="99"/>
    <w:pPr>
      <w:snapToGrid w:val="0"/>
      <w:jc w:val="left"/>
    </w:pPr>
  </w:style>
  <w:style w:type="paragraph" w:styleId="10">
    <w:name w:val="Balloon Text"/>
    <w:basedOn w:val="1"/>
    <w:link w:val="36"/>
    <w:unhideWhenUsed/>
    <w:qFormat/>
    <w:uiPriority w:val="99"/>
    <w:rPr>
      <w:sz w:val="18"/>
      <w:szCs w:val="18"/>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endnote reference"/>
    <w:basedOn w:val="18"/>
    <w:unhideWhenUsed/>
    <w:qFormat/>
    <w:uiPriority w:val="99"/>
    <w:rPr>
      <w:vertAlign w:val="superscript"/>
    </w:rPr>
  </w:style>
  <w:style w:type="character" w:styleId="21">
    <w:name w:val="FollowedHyperlink"/>
    <w:basedOn w:val="18"/>
    <w:unhideWhenUsed/>
    <w:qFormat/>
    <w:uiPriority w:val="99"/>
    <w:rPr>
      <w:color w:val="954F72"/>
      <w:u w:val="single"/>
    </w:rPr>
  </w:style>
  <w:style w:type="character" w:styleId="22">
    <w:name w:val="Emphasis"/>
    <w:basedOn w:val="18"/>
    <w:qFormat/>
    <w:uiPriority w:val="20"/>
  </w:style>
  <w:style w:type="character" w:styleId="23">
    <w:name w:val="HTML Definition"/>
    <w:basedOn w:val="18"/>
    <w:unhideWhenUsed/>
    <w:qFormat/>
    <w:uiPriority w:val="99"/>
  </w:style>
  <w:style w:type="character" w:styleId="24">
    <w:name w:val="HTML Typewriter"/>
    <w:basedOn w:val="18"/>
    <w:unhideWhenUsed/>
    <w:qFormat/>
    <w:uiPriority w:val="99"/>
    <w:rPr>
      <w:rFonts w:ascii="monospace" w:hAnsi="monospace" w:eastAsia="monospace" w:cs="monospace"/>
      <w:sz w:val="20"/>
    </w:rPr>
  </w:style>
  <w:style w:type="character" w:styleId="25">
    <w:name w:val="HTML Acronym"/>
    <w:basedOn w:val="18"/>
    <w:unhideWhenUsed/>
    <w:qFormat/>
    <w:uiPriority w:val="99"/>
  </w:style>
  <w:style w:type="character" w:styleId="26">
    <w:name w:val="HTML Variable"/>
    <w:basedOn w:val="18"/>
    <w:unhideWhenUsed/>
    <w:qFormat/>
    <w:uiPriority w:val="99"/>
  </w:style>
  <w:style w:type="character" w:styleId="27">
    <w:name w:val="Hyperlink"/>
    <w:basedOn w:val="18"/>
    <w:unhideWhenUsed/>
    <w:qFormat/>
    <w:uiPriority w:val="99"/>
    <w:rPr>
      <w:color w:val="0563C1" w:themeColor="hyperlink"/>
      <w:u w:val="single"/>
      <w14:textFill>
        <w14:solidFill>
          <w14:schemeClr w14:val="hlink"/>
        </w14:solidFill>
      </w14:textFill>
    </w:rPr>
  </w:style>
  <w:style w:type="character" w:styleId="28">
    <w:name w:val="HTML Code"/>
    <w:basedOn w:val="18"/>
    <w:unhideWhenUsed/>
    <w:qFormat/>
    <w:uiPriority w:val="99"/>
    <w:rPr>
      <w:rFonts w:hint="default" w:ascii="monospace" w:hAnsi="monospace" w:eastAsia="monospace" w:cs="monospace"/>
      <w:sz w:val="20"/>
    </w:rPr>
  </w:style>
  <w:style w:type="character" w:styleId="29">
    <w:name w:val="HTML Cite"/>
    <w:basedOn w:val="18"/>
    <w:unhideWhenUsed/>
    <w:qFormat/>
    <w:uiPriority w:val="99"/>
  </w:style>
  <w:style w:type="character" w:styleId="30">
    <w:name w:val="HTML Keyboard"/>
    <w:basedOn w:val="18"/>
    <w:unhideWhenUsed/>
    <w:qFormat/>
    <w:uiPriority w:val="99"/>
    <w:rPr>
      <w:rFonts w:hint="default" w:ascii="monospace" w:hAnsi="monospace" w:eastAsia="monospace" w:cs="monospace"/>
      <w:sz w:val="20"/>
    </w:rPr>
  </w:style>
  <w:style w:type="character" w:styleId="31">
    <w:name w:val="HTML Sample"/>
    <w:basedOn w:val="18"/>
    <w:unhideWhenUsed/>
    <w:qFormat/>
    <w:uiPriority w:val="99"/>
    <w:rPr>
      <w:rFonts w:hint="default" w:ascii="monospace" w:hAnsi="monospace" w:eastAsia="monospace" w:cs="monospace"/>
    </w:rPr>
  </w:style>
  <w:style w:type="character" w:customStyle="1" w:styleId="32">
    <w:name w:val="页眉 字符"/>
    <w:basedOn w:val="18"/>
    <w:link w:val="12"/>
    <w:qFormat/>
    <w:uiPriority w:val="99"/>
    <w:rPr>
      <w:sz w:val="18"/>
      <w:szCs w:val="18"/>
    </w:rPr>
  </w:style>
  <w:style w:type="character" w:customStyle="1" w:styleId="33">
    <w:name w:val="页脚 字符"/>
    <w:basedOn w:val="18"/>
    <w:link w:val="11"/>
    <w:qFormat/>
    <w:uiPriority w:val="99"/>
    <w:rPr>
      <w:sz w:val="18"/>
      <w:szCs w:val="18"/>
    </w:rPr>
  </w:style>
  <w:style w:type="character" w:customStyle="1" w:styleId="34">
    <w:name w:val="尾注文本 字符"/>
    <w:basedOn w:val="18"/>
    <w:link w:val="9"/>
    <w:semiHidden/>
    <w:qFormat/>
    <w:uiPriority w:val="99"/>
  </w:style>
  <w:style w:type="paragraph" w:customStyle="1" w:styleId="35">
    <w:name w:val="Char Char Char Char Char Char Char Char Char Char Char Char Char Char Char Char Char Char"/>
    <w:basedOn w:val="1"/>
    <w:semiHidden/>
    <w:qFormat/>
    <w:uiPriority w:val="0"/>
    <w:rPr>
      <w:rFonts w:eastAsia="宋体" w:cs="Times New Roman"/>
      <w:szCs w:val="24"/>
    </w:rPr>
  </w:style>
  <w:style w:type="character" w:customStyle="1" w:styleId="36">
    <w:name w:val="批注框文本 字符"/>
    <w:basedOn w:val="18"/>
    <w:link w:val="10"/>
    <w:semiHidden/>
    <w:qFormat/>
    <w:uiPriority w:val="99"/>
    <w:rPr>
      <w:sz w:val="18"/>
      <w:szCs w:val="18"/>
    </w:rPr>
  </w:style>
  <w:style w:type="paragraph" w:customStyle="1" w:styleId="37">
    <w:name w:val="无间隔1"/>
    <w:qFormat/>
    <w:uiPriority w:val="1"/>
    <w:pPr>
      <w:widowControl w:val="0"/>
      <w:jc w:val="center"/>
    </w:pPr>
    <w:rPr>
      <w:rFonts w:ascii="Times New Roman" w:hAnsi="Times New Roman" w:eastAsia="宋体" w:cstheme="minorBidi"/>
      <w:kern w:val="2"/>
      <w:sz w:val="22"/>
      <w:szCs w:val="22"/>
      <w:lang w:val="en-US" w:eastAsia="zh-CN" w:bidi="ar-SA"/>
    </w:rPr>
  </w:style>
  <w:style w:type="character" w:customStyle="1" w:styleId="38">
    <w:name w:val="标题 1 字符"/>
    <w:basedOn w:val="18"/>
    <w:link w:val="2"/>
    <w:qFormat/>
    <w:uiPriority w:val="9"/>
    <w:rPr>
      <w:rFonts w:eastAsia="黑体" w:cstheme="minorBidi"/>
      <w:b/>
      <w:bCs/>
      <w:kern w:val="44"/>
      <w:sz w:val="36"/>
      <w:szCs w:val="44"/>
    </w:rPr>
  </w:style>
  <w:style w:type="paragraph" w:customStyle="1" w:styleId="39">
    <w:name w:val="列出段落1"/>
    <w:basedOn w:val="1"/>
    <w:qFormat/>
    <w:uiPriority w:val="34"/>
    <w:pPr>
      <w:ind w:firstLine="420"/>
    </w:pPr>
  </w:style>
  <w:style w:type="table" w:customStyle="1" w:styleId="40">
    <w:name w:val="网格型1"/>
    <w:basedOn w:val="1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文档结构图 字符"/>
    <w:basedOn w:val="18"/>
    <w:link w:val="6"/>
    <w:semiHidden/>
    <w:qFormat/>
    <w:uiPriority w:val="99"/>
    <w:rPr>
      <w:rFonts w:ascii="宋体" w:eastAsia="宋体"/>
      <w:sz w:val="18"/>
      <w:szCs w:val="18"/>
    </w:rPr>
  </w:style>
  <w:style w:type="table" w:customStyle="1" w:styleId="42">
    <w:name w:val="网格型2"/>
    <w:basedOn w:val="1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6">
    <w:name w:val="xl6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7">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8">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9">
    <w:name w:val="xl6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0">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1">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2">
    <w:name w:val="xl7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3">
    <w:name w:val="xl7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4">
    <w:name w:val="xl7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5">
    <w:name w:val="xl7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6">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7">
    <w:name w:val="xl8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8">
    <w:name w:val="表头"/>
    <w:basedOn w:val="1"/>
    <w:qFormat/>
    <w:uiPriority w:val="0"/>
    <w:pPr>
      <w:widowControl/>
      <w:spacing w:before="100" w:beforeAutospacing="1" w:after="100" w:afterAutospacing="1" w:line="240" w:lineRule="exact"/>
      <w:ind w:firstLine="0" w:firstLineChars="0"/>
      <w:jc w:val="center"/>
    </w:pPr>
    <w:rPr>
      <w:rFonts w:eastAsia="黑体" w:cs="宋体"/>
      <w:b/>
      <w:kern w:val="0"/>
      <w:sz w:val="21"/>
      <w:szCs w:val="24"/>
    </w:rPr>
  </w:style>
  <w:style w:type="character" w:customStyle="1" w:styleId="59">
    <w:name w:val="hover1"/>
    <w:basedOn w:val="18"/>
    <w:qFormat/>
    <w:uiPriority w:val="0"/>
    <w:rPr>
      <w:color w:val="000000"/>
      <w:shd w:val="clear" w:color="auto" w:fill="FFFFFF"/>
    </w:rPr>
  </w:style>
  <w:style w:type="character" w:customStyle="1" w:styleId="60">
    <w:name w:val="wx-space"/>
    <w:basedOn w:val="18"/>
    <w:qFormat/>
    <w:uiPriority w:val="0"/>
  </w:style>
  <w:style w:type="character" w:customStyle="1" w:styleId="61">
    <w:name w:val="wx-space1"/>
    <w:basedOn w:val="18"/>
    <w:qFormat/>
    <w:uiPriority w:val="0"/>
  </w:style>
  <w:style w:type="character" w:customStyle="1" w:styleId="62">
    <w:name w:val="fontstrikethrough"/>
    <w:basedOn w:val="18"/>
    <w:qFormat/>
    <w:uiPriority w:val="0"/>
    <w:rPr>
      <w:strike/>
    </w:rPr>
  </w:style>
  <w:style w:type="character" w:customStyle="1" w:styleId="63">
    <w:name w:val="fontborder"/>
    <w:basedOn w:val="18"/>
    <w:qFormat/>
    <w:uiPriority w:val="0"/>
    <w:rPr>
      <w:bdr w:val="single" w:color="000000" w:sz="4" w:space="0"/>
    </w:rPr>
  </w:style>
  <w:style w:type="character" w:customStyle="1" w:styleId="64">
    <w:name w:val="标题 3 字符"/>
    <w:basedOn w:val="18"/>
    <w:link w:val="4"/>
    <w:qFormat/>
    <w:uiPriority w:val="9"/>
    <w:rPr>
      <w:rFonts w:eastAsia="仿宋_GB2312" w:cstheme="minorBidi"/>
      <w:bCs/>
      <w:kern w:val="2"/>
      <w:sz w:val="32"/>
      <w:szCs w:val="32"/>
    </w:rPr>
  </w:style>
  <w:style w:type="character" w:customStyle="1" w:styleId="65">
    <w:name w:val="标题 2 字符"/>
    <w:basedOn w:val="18"/>
    <w:link w:val="3"/>
    <w:qFormat/>
    <w:uiPriority w:val="9"/>
    <w:rPr>
      <w:rFonts w:eastAsia="楷体_GB2312" w:cstheme="majorBidi"/>
      <w:b/>
      <w:bCs/>
      <w:kern w:val="2"/>
      <w:sz w:val="32"/>
      <w:szCs w:val="32"/>
    </w:rPr>
  </w:style>
  <w:style w:type="paragraph" w:customStyle="1" w:styleId="66">
    <w:name w:val="列出段落11"/>
    <w:basedOn w:val="1"/>
    <w:qFormat/>
    <w:uiPriority w:val="34"/>
    <w:pPr>
      <w:ind w:firstLine="420"/>
    </w:pPr>
  </w:style>
  <w:style w:type="character" w:customStyle="1" w:styleId="67">
    <w:name w:val="标题 4 字符"/>
    <w:basedOn w:val="18"/>
    <w:link w:val="5"/>
    <w:qFormat/>
    <w:uiPriority w:val="9"/>
    <w:rPr>
      <w:rFonts w:asciiTheme="majorHAnsi" w:hAnsiTheme="majorHAnsi" w:eastAsiaTheme="majorEastAsia" w:cstheme="majorBidi"/>
      <w:b/>
      <w:bCs/>
      <w:kern w:val="2"/>
      <w:sz w:val="28"/>
      <w:szCs w:val="28"/>
    </w:rPr>
  </w:style>
  <w:style w:type="character" w:customStyle="1" w:styleId="68">
    <w:name w:val="日期 字符"/>
    <w:basedOn w:val="18"/>
    <w:link w:val="8"/>
    <w:qFormat/>
    <w:uiPriority w:val="99"/>
    <w:rPr>
      <w:rFonts w:ascii="Calibri" w:hAnsi="Calibri" w:cstheme="minorBidi"/>
      <w:kern w:val="2"/>
      <w:sz w:val="21"/>
      <w:szCs w:val="22"/>
    </w:rPr>
  </w:style>
  <w:style w:type="table" w:customStyle="1" w:styleId="69">
    <w:name w:val="网格型3"/>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
    <w:name w:val="TOC 标题1"/>
    <w:basedOn w:val="2"/>
    <w:next w:val="1"/>
    <w:unhideWhenUsed/>
    <w:qFormat/>
    <w:uiPriority w:val="39"/>
    <w:pPr>
      <w:widowControl/>
      <w:spacing w:line="276" w:lineRule="auto"/>
      <w:jc w:val="left"/>
      <w:outlineLvl w:val="9"/>
    </w:pPr>
    <w:rPr>
      <w:rFonts w:ascii="Cambria" w:hAnsi="Cambria" w:eastAsia="宋体" w:cs="Times New Roman"/>
      <w:color w:val="365F91"/>
      <w:kern w:val="0"/>
      <w:sz w:val="28"/>
      <w:szCs w:val="28"/>
    </w:rPr>
  </w:style>
  <w:style w:type="paragraph" w:customStyle="1" w:styleId="71">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21"/>
      <w:szCs w:val="21"/>
    </w:rPr>
  </w:style>
  <w:style w:type="paragraph" w:customStyle="1" w:styleId="72">
    <w:name w:val="font7"/>
    <w:basedOn w:val="1"/>
    <w:qFormat/>
    <w:uiPriority w:val="0"/>
    <w:pPr>
      <w:widowControl/>
      <w:spacing w:before="100" w:beforeAutospacing="1" w:after="100" w:afterAutospacing="1" w:line="240" w:lineRule="auto"/>
      <w:ind w:firstLine="0" w:firstLineChars="0"/>
      <w:jc w:val="left"/>
    </w:pPr>
    <w:rPr>
      <w:rFonts w:ascii="Calibri" w:hAnsi="Calibri" w:eastAsia="宋体" w:cs="Calibri"/>
      <w:b/>
      <w:bCs/>
      <w:color w:val="000000"/>
      <w:kern w:val="0"/>
      <w:sz w:val="21"/>
      <w:szCs w:val="21"/>
    </w:rPr>
  </w:style>
  <w:style w:type="paragraph" w:customStyle="1" w:styleId="73">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1"/>
      <w:szCs w:val="21"/>
    </w:rPr>
  </w:style>
  <w:style w:type="paragraph" w:customStyle="1" w:styleId="7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21"/>
      <w:szCs w:val="21"/>
    </w:rPr>
  </w:style>
  <w:style w:type="paragraph" w:customStyle="1" w:styleId="7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color w:val="000000"/>
      <w:kern w:val="0"/>
      <w:sz w:val="21"/>
      <w:szCs w:val="21"/>
    </w:rPr>
  </w:style>
  <w:style w:type="paragraph" w:customStyle="1" w:styleId="76">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21"/>
      <w:szCs w:val="21"/>
    </w:rPr>
  </w:style>
  <w:style w:type="paragraph" w:customStyle="1" w:styleId="77">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21"/>
      <w:szCs w:val="21"/>
    </w:rPr>
  </w:style>
  <w:style w:type="character" w:customStyle="1" w:styleId="78">
    <w:name w:val="不明显强调1"/>
    <w:basedOn w:val="18"/>
    <w:qFormat/>
    <w:uiPriority w:val="19"/>
    <w:rPr>
      <w:i/>
      <w:iCs/>
      <w:color w:val="7F7F7F"/>
    </w:rPr>
  </w:style>
  <w:style w:type="table" w:customStyle="1" w:styleId="79">
    <w:name w:val="网格型4"/>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5"/>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网格型6"/>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7"/>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8"/>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9"/>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10"/>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font11"/>
    <w:basedOn w:val="18"/>
    <w:qFormat/>
    <w:uiPriority w:val="0"/>
    <w:rPr>
      <w:rFonts w:ascii="黑体" w:hAnsi="宋体" w:eastAsia="黑体" w:cs="黑体"/>
      <w:b/>
      <w:color w:val="000000"/>
      <w:sz w:val="21"/>
      <w:szCs w:val="21"/>
      <w:u w:val="none"/>
    </w:rPr>
  </w:style>
  <w:style w:type="paragraph" w:customStyle="1" w:styleId="87">
    <w:name w:val="表格"/>
    <w:basedOn w:val="1"/>
    <w:qFormat/>
    <w:uiPriority w:val="0"/>
    <w:pPr>
      <w:spacing w:line="240" w:lineRule="auto"/>
      <w:ind w:firstLine="0" w:firstLineChars="0"/>
      <w:jc w:val="center"/>
    </w:pPr>
    <w:rPr>
      <w:rFonts w:eastAsia="宋体"/>
      <w:sz w:val="22"/>
    </w:rPr>
  </w:style>
  <w:style w:type="character" w:customStyle="1" w:styleId="88">
    <w:name w:val="font21"/>
    <w:basedOn w:val="18"/>
    <w:qFormat/>
    <w:uiPriority w:val="0"/>
    <w:rPr>
      <w:rFonts w:ascii="黑体" w:hAnsi="宋体" w:eastAsia="黑体" w:cs="黑体"/>
      <w:b/>
      <w:color w:val="000000"/>
      <w:sz w:val="21"/>
      <w:szCs w:val="21"/>
      <w:u w:val="none"/>
    </w:rPr>
  </w:style>
  <w:style w:type="paragraph" w:customStyle="1" w:styleId="89">
    <w:name w:val="图表标题"/>
    <w:basedOn w:val="1"/>
    <w:link w:val="90"/>
    <w:qFormat/>
    <w:uiPriority w:val="0"/>
    <w:pPr>
      <w:widowControl/>
      <w:spacing w:line="360" w:lineRule="auto"/>
      <w:ind w:firstLine="0" w:firstLineChars="0"/>
      <w:jc w:val="center"/>
    </w:pPr>
    <w:rPr>
      <w:rFonts w:eastAsia="黑体" w:cs="Times New Roman"/>
      <w:color w:val="000000" w:themeColor="text1"/>
      <w:sz w:val="24"/>
      <w:szCs w:val="24"/>
      <w14:textFill>
        <w14:solidFill>
          <w14:schemeClr w14:val="tx1"/>
        </w14:solidFill>
      </w14:textFill>
    </w:rPr>
  </w:style>
  <w:style w:type="character" w:customStyle="1" w:styleId="90">
    <w:name w:val="图表标题 字符"/>
    <w:basedOn w:val="18"/>
    <w:link w:val="89"/>
    <w:uiPriority w:val="0"/>
    <w:rPr>
      <w:rFonts w:ascii="Times New Roman" w:hAnsi="Times New Roman" w:eastAsia="黑体" w:cs="Times New Roman"/>
      <w:color w:val="000000" w:themeColor="text1"/>
      <w:kern w:val="2"/>
      <w:sz w:val="24"/>
      <w:szCs w:val="24"/>
      <w14:textFill>
        <w14:solidFill>
          <w14:schemeClr w14:val="tx1"/>
        </w14:solidFill>
      </w14:textFill>
    </w:rPr>
  </w:style>
  <w:style w:type="paragraph" w:customStyle="1" w:styleId="91">
    <w:name w:val="图表正文"/>
    <w:basedOn w:val="1"/>
    <w:link w:val="92"/>
    <w:qFormat/>
    <w:uiPriority w:val="0"/>
    <w:pPr>
      <w:spacing w:line="240" w:lineRule="auto"/>
      <w:ind w:firstLine="0" w:firstLineChars="0"/>
      <w:jc w:val="center"/>
    </w:pPr>
    <w:rPr>
      <w:rFonts w:eastAsia="宋体" w:cs="Times New Roman"/>
      <w:color w:val="000000" w:themeColor="text1"/>
      <w:sz w:val="24"/>
      <w14:textFill>
        <w14:solidFill>
          <w14:schemeClr w14:val="tx1"/>
        </w14:solidFill>
      </w14:textFill>
    </w:rPr>
  </w:style>
  <w:style w:type="character" w:customStyle="1" w:styleId="92">
    <w:name w:val="图表正文 字符"/>
    <w:basedOn w:val="18"/>
    <w:link w:val="91"/>
    <w:uiPriority w:val="0"/>
    <w:rPr>
      <w:rFonts w:ascii="Times New Roman" w:hAnsi="Times New Roman" w:eastAsia="宋体" w:cs="Times New Roman"/>
      <w:color w:val="000000" w:themeColor="text1"/>
      <w:kern w:val="2"/>
      <w:sz w:val="24"/>
      <w:szCs w:val="22"/>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031F1-CE49-4518-94A5-AF9FF42AC94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22416</Words>
  <Characters>25574</Characters>
  <Lines>195</Lines>
  <Paragraphs>54</Paragraphs>
  <TotalTime>146</TotalTime>
  <ScaleCrop>false</ScaleCrop>
  <LinksUpToDate>false</LinksUpToDate>
  <CharactersWithSpaces>25828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2020-08-15T01:59:00Z</dcterms:created>
  <dc:creator>xwh</dc:creator>
  <cp:lastModifiedBy>WPS_1652411081</cp:lastModifiedBy>
  <cp:lastPrinted>2021-01-18T04:57:00Z</cp:lastPrinted>
  <dcterms:modified xsi:type="dcterms:W3CDTF">2022-07-29T08:43:04Z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14F9F8B68136400A9BFDFAE81DA2898D</vt:lpwstr>
  </property>
</Properties>
</file>