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</w:t>
      </w:r>
    </w:p>
    <w:p>
      <w:pPr>
        <w:spacing w:line="360" w:lineRule="exact"/>
        <w:jc w:val="center"/>
        <w:rPr>
          <w:rFonts w:ascii="仿宋" w:hAnsi="仿宋" w:eastAsia="仿宋" w:cs="黑体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部门整体支出绩效运行跟踪监控管理表</w:t>
      </w:r>
    </w:p>
    <w:p>
      <w:pPr>
        <w:jc w:val="center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（    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1</w:t>
      </w:r>
      <w:r>
        <w:rPr>
          <w:rFonts w:hint="eastAsia" w:ascii="楷体_GB2312" w:hAnsi="宋体" w:eastAsia="楷体_GB2312"/>
          <w:sz w:val="28"/>
          <w:szCs w:val="28"/>
        </w:rPr>
        <w:t xml:space="preserve">   年度）</w:t>
      </w:r>
    </w:p>
    <w:p>
      <w:pPr>
        <w:spacing w:line="360" w:lineRule="exact"/>
        <w:ind w:left="-359" w:leftChars="-171" w:right="-525" w:rightChars="-250"/>
        <w:jc w:val="left"/>
        <w:rPr>
          <w:rFonts w:ascii="仿宋_GB2312" w:hAnsi="仿宋_GB2312" w:eastAsia="仿宋_GB2312"/>
          <w:sz w:val="24"/>
          <w:szCs w:val="21"/>
        </w:rPr>
      </w:pPr>
      <w:r>
        <w:rPr>
          <w:rFonts w:hint="eastAsia" w:ascii="仿宋_GB2312" w:hAnsi="仿宋_GB2312" w:eastAsia="仿宋_GB2312"/>
          <w:sz w:val="24"/>
          <w:szCs w:val="21"/>
        </w:rPr>
        <w:t xml:space="preserve">填报单位：（盖章）                                                 金额单位：万元     </w:t>
      </w:r>
    </w:p>
    <w:tbl>
      <w:tblPr>
        <w:tblStyle w:val="8"/>
        <w:tblW w:w="9976" w:type="dxa"/>
        <w:tblInd w:w="-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832"/>
        <w:gridCol w:w="115"/>
        <w:gridCol w:w="301"/>
        <w:gridCol w:w="327"/>
        <w:gridCol w:w="105"/>
        <w:gridCol w:w="529"/>
        <w:gridCol w:w="57"/>
        <w:gridCol w:w="779"/>
        <w:gridCol w:w="424"/>
        <w:gridCol w:w="730"/>
        <w:gridCol w:w="557"/>
        <w:gridCol w:w="105"/>
        <w:gridCol w:w="811"/>
        <w:gridCol w:w="359"/>
        <w:gridCol w:w="63"/>
        <w:gridCol w:w="310"/>
        <w:gridCol w:w="338"/>
        <w:gridCol w:w="400"/>
        <w:gridCol w:w="630"/>
        <w:gridCol w:w="194"/>
        <w:gridCol w:w="436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单位名称</w:t>
            </w:r>
          </w:p>
        </w:tc>
        <w:tc>
          <w:tcPr>
            <w:tcW w:w="36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东安县卫生计生综合监督执法局</w:t>
            </w:r>
          </w:p>
        </w:tc>
        <w:tc>
          <w:tcPr>
            <w:tcW w:w="18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单位负责人</w:t>
            </w:r>
          </w:p>
        </w:tc>
        <w:tc>
          <w:tcPr>
            <w:tcW w:w="27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eastAsia="zh-CN"/>
              </w:rPr>
              <w:t>陈民福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人员编制数</w:t>
            </w:r>
          </w:p>
        </w:tc>
        <w:tc>
          <w:tcPr>
            <w:tcW w:w="36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2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6</w:t>
            </w:r>
          </w:p>
        </w:tc>
        <w:tc>
          <w:tcPr>
            <w:tcW w:w="18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实有人数</w:t>
            </w:r>
          </w:p>
        </w:tc>
        <w:tc>
          <w:tcPr>
            <w:tcW w:w="27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跟踪期限</w:t>
            </w:r>
          </w:p>
        </w:tc>
        <w:tc>
          <w:tcPr>
            <w:tcW w:w="8207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单位年度收入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527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127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年初结余</w:t>
            </w:r>
          </w:p>
        </w:tc>
        <w:tc>
          <w:tcPr>
            <w:tcW w:w="1935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年中预算调整数</w:t>
            </w:r>
          </w:p>
        </w:tc>
        <w:tc>
          <w:tcPr>
            <w:tcW w:w="14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预算调整率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收入合计</w:t>
            </w:r>
          </w:p>
        </w:tc>
        <w:tc>
          <w:tcPr>
            <w:tcW w:w="1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预算内拨款</w:t>
            </w: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非税收入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其他拨款</w:t>
            </w:r>
          </w:p>
        </w:tc>
        <w:tc>
          <w:tcPr>
            <w:tcW w:w="127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3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25.5165</w:t>
            </w:r>
          </w:p>
        </w:tc>
        <w:tc>
          <w:tcPr>
            <w:tcW w:w="1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3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05.5165</w:t>
            </w: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20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7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b/>
                <w:bCs/>
                <w:kern w:val="2"/>
                <w:sz w:val="24"/>
                <w:szCs w:val="21"/>
              </w:rPr>
              <w:t>年中预算调整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5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（列明年中预算调整内容及金额）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单位年度支出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支出合计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基本支出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3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25.5165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3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25.5165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122.1917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122.1917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203.3248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203.3248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其中</w:t>
            </w:r>
            <w:r>
              <w:rPr>
                <w:rFonts w:hint="eastAsia" w:ascii="仿宋_GB2312" w:hAnsi="仿宋_GB2312" w:eastAsia="仿宋_GB2312"/>
                <w:b/>
                <w:bCs/>
                <w:kern w:val="2"/>
                <w:sz w:val="24"/>
                <w:szCs w:val="21"/>
              </w:rPr>
              <w:t>：</w:t>
            </w: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三公经费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公务接待费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公务用车运行和购置费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因公出国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（境）费</w:t>
            </w: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三公经费合计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年初预算安排数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4.5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0.53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0.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3.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7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3.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6" w:hRule="atLeast"/>
        </w:trPr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绩效目标完成情况</w:t>
            </w:r>
          </w:p>
        </w:tc>
        <w:tc>
          <w:tcPr>
            <w:tcW w:w="945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目标1：</w:t>
            </w:r>
            <w:r>
              <w:rPr>
                <w:rFonts w:hint="eastAsia"/>
                <w:sz w:val="24"/>
              </w:rPr>
              <w:t>加强全县职业卫生、放射卫生、环境卫生、学校卫生和计划生育的监督管理，开展公共场所、饮用水安全、传染病防治、医疗机构和采供血机构的监督检查，整顿和规</w:t>
            </w:r>
          </w:p>
          <w:p>
            <w:pPr>
              <w:spacing w:line="360" w:lineRule="exact"/>
              <w:rPr>
                <w:rFonts w:ascii="宋体" w:hAnsi="宋体" w:cs="仿宋"/>
                <w:sz w:val="24"/>
              </w:rPr>
            </w:pPr>
            <w:r>
              <w:rPr>
                <w:rFonts w:hint="eastAsia"/>
                <w:sz w:val="24"/>
              </w:rPr>
              <w:t>范医疗服务市场，组织查处违法行为</w:t>
            </w:r>
            <w:r>
              <w:rPr>
                <w:rFonts w:hint="eastAsia" w:ascii="宋体" w:hAnsi="宋体" w:cs="仿宋"/>
                <w:sz w:val="24"/>
              </w:rPr>
              <w:t>。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目标2：</w:t>
            </w:r>
            <w:r>
              <w:rPr>
                <w:rFonts w:hint="eastAsia"/>
                <w:sz w:val="24"/>
              </w:rPr>
              <w:t>着力查办重大医疗卫生违法案件，进一步规范卫生计生综合监督执法行为。</w:t>
            </w:r>
          </w:p>
          <w:p>
            <w:pPr>
              <w:spacing w:line="360" w:lineRule="exact"/>
              <w:rPr>
                <w:rFonts w:ascii="宋体" w:hAnsi="宋体" w:cs="仿宋"/>
                <w:sz w:val="24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目标3:</w:t>
            </w:r>
            <w:r>
              <w:rPr>
                <w:rFonts w:hint="eastAsia" w:ascii="宋体" w:hAnsi="宋体" w:cs="仿宋"/>
                <w:sz w:val="24"/>
              </w:rPr>
              <w:t xml:space="preserve"> 严格执行国家财务制度和财经纪律，合理开支、厉行节约。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sz w:val="24"/>
                <w:szCs w:val="21"/>
              </w:rPr>
              <w:t>其中</w:t>
            </w:r>
          </w:p>
        </w:tc>
        <w:tc>
          <w:tcPr>
            <w:tcW w:w="12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一级指标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二级指标</w:t>
            </w: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指标内容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指标值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完成情况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完成率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目标1</w:t>
            </w: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333333"/>
                <w:szCs w:val="21"/>
              </w:rPr>
              <w:t>公共场所卫生监督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全县公共场所经营单位共256家，今年上半年的日常监督174家，覆盖率67.9%，量化分级管理率95%以上；建档率95%以上。上半年公共场所立案查处4起</w:t>
            </w:r>
          </w:p>
          <w:p>
            <w:pPr>
              <w:widowControl w:val="0"/>
              <w:spacing w:line="360" w:lineRule="exact"/>
              <w:jc w:val="both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3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333333"/>
                <w:szCs w:val="21"/>
              </w:rPr>
              <w:t>医疗执业监督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全县共有医疗机构401家。其中：县级医疗机构4家，民营医疗机构10家，个体诊所68家，乡镇卫生院18家，村卫生室301家，上半年共监督检查148监督覆盖率36.9%。共下达监督意见书69份，立案查处5起，已结案3起</w:t>
            </w:r>
          </w:p>
          <w:p>
            <w:pPr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3" w:hRule="atLeast"/>
        </w:trPr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绩效目标完成情况</w:t>
            </w: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目标2</w:t>
            </w: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/>
                <w:szCs w:val="21"/>
                <w:lang w:eastAsia="zh-CN"/>
              </w:rPr>
              <w:t>学校卫生监督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监督中小学校67所，其中小学33所，中学24所，高中4所，九年一体制义务教育6所，3月至6月我局共组织出动卫生监督员150人次，执法车辆60台次，对辖区内的67所学校卫生监督工作全面覆盖，监督覆盖率100%</w:t>
            </w:r>
            <w:bookmarkStart w:id="0" w:name="_GoBack"/>
            <w:bookmarkEnd w:id="0"/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  <w:t>生活饮用水监督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对全县10家集中式供水单位的日常监督实行了全覆盖。对市政自来水公司出厂水和末梢水监督监测，采水样42份，合格率100%。对乡镇集中式供水丰、枯水期进行抽祥，共监测13家，抽检水样52份，合格率100%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目标3</w:t>
            </w:r>
          </w:p>
        </w:tc>
        <w:tc>
          <w:tcPr>
            <w:tcW w:w="126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宋体" w:hAnsi="宋体"/>
                <w:kern w:val="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……</w:t>
            </w:r>
          </w:p>
        </w:tc>
        <w:tc>
          <w:tcPr>
            <w:tcW w:w="126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6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 存在问题及绩效目标出现偏差的原因</w:t>
            </w:r>
          </w:p>
        </w:tc>
        <w:tc>
          <w:tcPr>
            <w:tcW w:w="8207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预算执行存在偏差。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预算编制合理性有待提高。</w:t>
            </w:r>
          </w:p>
          <w:p>
            <w:pPr>
              <w:ind w:firstLine="480" w:firstLineChars="200"/>
              <w:rPr>
                <w:rFonts w:ascii="宋体" w:cs="宋体"/>
                <w:sz w:val="24"/>
                <w:szCs w:val="24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9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整改措施及下一步建议</w:t>
            </w:r>
          </w:p>
        </w:tc>
        <w:tc>
          <w:tcPr>
            <w:tcW w:w="8207" w:type="dxa"/>
            <w:gridSpan w:val="1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rPr>
                <w:rFonts w:ascii="宋体" w:hAnsi="宋体" w:cs="宋体"/>
                <w:color w:val="222222"/>
                <w:sz w:val="24"/>
                <w:szCs w:val="24"/>
              </w:rPr>
            </w:pPr>
            <w:r>
              <w:rPr>
                <w:rFonts w:ascii="宋体" w:hAnsi="宋体" w:cs="宋体"/>
                <w:color w:val="222222"/>
                <w:sz w:val="24"/>
                <w:szCs w:val="24"/>
              </w:rPr>
              <w:t xml:space="preserve">1. </w:t>
            </w:r>
            <w:r>
              <w:rPr>
                <w:rFonts w:hint="eastAsia" w:ascii="宋体" w:hAnsi="宋体" w:cs="宋体"/>
                <w:color w:val="222222"/>
                <w:sz w:val="24"/>
                <w:szCs w:val="24"/>
              </w:rPr>
              <w:t>细化预算编制工作，认真做好预算的编制。</w:t>
            </w:r>
          </w:p>
          <w:p>
            <w:pPr>
              <w:widowControl w:val="0"/>
              <w:spacing w:line="360" w:lineRule="exact"/>
              <w:rPr>
                <w:rFonts w:ascii="宋体" w:hAnsi="宋体" w:cs="宋体"/>
                <w:color w:val="222222"/>
                <w:sz w:val="24"/>
                <w:szCs w:val="24"/>
              </w:rPr>
            </w:pPr>
            <w:r>
              <w:rPr>
                <w:rFonts w:ascii="宋体" w:hAnsi="宋体" w:cs="宋体"/>
                <w:color w:val="222222"/>
                <w:sz w:val="24"/>
                <w:szCs w:val="24"/>
              </w:rPr>
              <w:t xml:space="preserve">2. </w:t>
            </w:r>
            <w:r>
              <w:rPr>
                <w:rFonts w:hint="eastAsia" w:ascii="宋体" w:hAnsi="宋体" w:cs="宋体"/>
                <w:color w:val="222222"/>
                <w:sz w:val="24"/>
                <w:szCs w:val="24"/>
              </w:rPr>
              <w:t>加强财务管理，严格财务审核。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ascii="宋体" w:hAnsi="宋体" w:cs="宋体"/>
                <w:color w:val="222222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222222"/>
                <w:sz w:val="24"/>
                <w:szCs w:val="24"/>
              </w:rPr>
              <w:t>．持续抓好“三公”经费控制管理</w:t>
            </w:r>
            <w:r>
              <w:rPr>
                <w:rFonts w:hint="eastAsia" w:ascii="宋体" w:hAnsi="宋体" w:cs="宋体"/>
                <w:color w:val="222222"/>
                <w:sz w:val="30"/>
                <w:szCs w:val="3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县财政局归口业务股室审核意见</w:t>
            </w: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</w:p>
        </w:tc>
        <w:tc>
          <w:tcPr>
            <w:tcW w:w="8207" w:type="dxa"/>
            <w:gridSpan w:val="1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  （公章）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 xml:space="preserve">          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县财政局预算绩效管理股意见</w:t>
            </w:r>
          </w:p>
        </w:tc>
        <w:tc>
          <w:tcPr>
            <w:tcW w:w="8207" w:type="dxa"/>
            <w:gridSpan w:val="1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    （公章）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 xml:space="preserve">                                              年     月     日</w:t>
            </w:r>
          </w:p>
        </w:tc>
      </w:tr>
    </w:tbl>
    <w:p>
      <w:pPr>
        <w:spacing w:beforeLines="50" w:line="360" w:lineRule="auto"/>
        <w:ind w:right="-1052" w:rightChars="-501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 xml:space="preserve">单位负责人（签章）： </w:t>
      </w:r>
      <w:r>
        <w:rPr>
          <w:rFonts w:hint="eastAsia" w:ascii="仿宋_GB2312" w:hAnsi="仿宋_GB2312" w:eastAsia="仿宋_GB2312"/>
          <w:bCs/>
          <w:sz w:val="24"/>
          <w:lang w:eastAsia="zh-CN"/>
        </w:rPr>
        <w:t>陈民福</w:t>
      </w:r>
      <w:r>
        <w:rPr>
          <w:rFonts w:hint="eastAsia" w:ascii="仿宋_GB2312" w:hAnsi="仿宋_GB2312" w:eastAsia="仿宋_GB2312"/>
          <w:bCs/>
          <w:sz w:val="24"/>
        </w:rPr>
        <w:t xml:space="preserve">                          填报人（签章）： 周琳                                        </w:t>
      </w:r>
    </w:p>
    <w:p>
      <w:pPr>
        <w:spacing w:line="360" w:lineRule="auto"/>
        <w:ind w:right="-1052" w:rightChars="-501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联系电话： 13574677768                               填报日期： 202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1</w:t>
      </w:r>
      <w:r>
        <w:rPr>
          <w:rFonts w:hint="eastAsia" w:ascii="仿宋_GB2312" w:hAnsi="仿宋_GB2312" w:eastAsia="仿宋_GB2312"/>
          <w:bCs/>
          <w:sz w:val="24"/>
        </w:rPr>
        <w:t xml:space="preserve">年  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8</w:t>
      </w:r>
      <w:r>
        <w:rPr>
          <w:rFonts w:hint="eastAsia" w:ascii="仿宋_GB2312" w:hAnsi="仿宋_GB2312" w:eastAsia="仿宋_GB2312"/>
          <w:bCs/>
          <w:sz w:val="24"/>
        </w:rPr>
        <w:t xml:space="preserve">月 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5</w:t>
      </w:r>
      <w:r>
        <w:rPr>
          <w:rFonts w:hint="eastAsia" w:ascii="仿宋_GB2312" w:hAnsi="仿宋_GB2312" w:eastAsia="仿宋_GB2312"/>
          <w:bCs/>
          <w:sz w:val="24"/>
        </w:rPr>
        <w:t xml:space="preserve"> 日</w:t>
      </w:r>
    </w:p>
    <w:sectPr>
      <w:footerReference r:id="rId3" w:type="even"/>
      <w:type w:val="continuous"/>
      <w:pgSz w:w="11907" w:h="16840"/>
      <w:pgMar w:top="1134" w:right="1247" w:bottom="737" w:left="1247" w:header="851" w:footer="567" w:gutter="0"/>
      <w:cols w:space="720" w:num="1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drawingGridHorizontalSpacing w:val="0"/>
  <w:drawingGridVerticalSpacing w:val="285"/>
  <w:displayHorizontalDrawingGridEvery w:val="0"/>
  <w:characterSpacingControl w:val="compressPunctuation"/>
  <w:doNotValidateAgainstSchema/>
  <w:doNotDemarcateInvalidXml/>
  <w:compat>
    <w:spaceForUL/>
    <w:doNotLeaveBackslashAlone/>
    <w:useFELayout/>
    <w:compatSetting w:name="compatibilityMode" w:uri="http://schemas.microsoft.com/office/word" w:val="12"/>
  </w:compat>
  <w:rsids>
    <w:rsidRoot w:val="00172A27"/>
    <w:rsid w:val="00005C71"/>
    <w:rsid w:val="00006735"/>
    <w:rsid w:val="0004067A"/>
    <w:rsid w:val="000456B7"/>
    <w:rsid w:val="000E3B1D"/>
    <w:rsid w:val="00134BB5"/>
    <w:rsid w:val="00140858"/>
    <w:rsid w:val="00152464"/>
    <w:rsid w:val="00170C42"/>
    <w:rsid w:val="00172A27"/>
    <w:rsid w:val="001E351E"/>
    <w:rsid w:val="00221790"/>
    <w:rsid w:val="00272DFC"/>
    <w:rsid w:val="002F070B"/>
    <w:rsid w:val="003504C9"/>
    <w:rsid w:val="003678A0"/>
    <w:rsid w:val="0037723E"/>
    <w:rsid w:val="00393E7B"/>
    <w:rsid w:val="003A2464"/>
    <w:rsid w:val="003C10E2"/>
    <w:rsid w:val="00430FB9"/>
    <w:rsid w:val="00473B4E"/>
    <w:rsid w:val="0050184E"/>
    <w:rsid w:val="00540826"/>
    <w:rsid w:val="005621C7"/>
    <w:rsid w:val="005C41F5"/>
    <w:rsid w:val="005D22B3"/>
    <w:rsid w:val="006377E7"/>
    <w:rsid w:val="00647261"/>
    <w:rsid w:val="006A277E"/>
    <w:rsid w:val="006A6487"/>
    <w:rsid w:val="006D195F"/>
    <w:rsid w:val="007651D7"/>
    <w:rsid w:val="00767707"/>
    <w:rsid w:val="007862E9"/>
    <w:rsid w:val="007B1D38"/>
    <w:rsid w:val="008158EA"/>
    <w:rsid w:val="008602C5"/>
    <w:rsid w:val="008667AB"/>
    <w:rsid w:val="008824C2"/>
    <w:rsid w:val="0088579F"/>
    <w:rsid w:val="008A7D30"/>
    <w:rsid w:val="008D6BB8"/>
    <w:rsid w:val="00903577"/>
    <w:rsid w:val="00914402"/>
    <w:rsid w:val="00960899"/>
    <w:rsid w:val="00A51A34"/>
    <w:rsid w:val="00A76DCF"/>
    <w:rsid w:val="00A8133C"/>
    <w:rsid w:val="00A93D4E"/>
    <w:rsid w:val="00A94816"/>
    <w:rsid w:val="00AC68CF"/>
    <w:rsid w:val="00B25180"/>
    <w:rsid w:val="00B271CC"/>
    <w:rsid w:val="00B35C07"/>
    <w:rsid w:val="00B56EAB"/>
    <w:rsid w:val="00BA23C3"/>
    <w:rsid w:val="00C512B9"/>
    <w:rsid w:val="00C964B6"/>
    <w:rsid w:val="00CB1781"/>
    <w:rsid w:val="00CD7327"/>
    <w:rsid w:val="00D04441"/>
    <w:rsid w:val="00D169CA"/>
    <w:rsid w:val="00D209C0"/>
    <w:rsid w:val="00D4747F"/>
    <w:rsid w:val="00D55550"/>
    <w:rsid w:val="00DA1164"/>
    <w:rsid w:val="00E431D2"/>
    <w:rsid w:val="00EA5817"/>
    <w:rsid w:val="00ED419D"/>
    <w:rsid w:val="00EF7E9A"/>
    <w:rsid w:val="00F0642E"/>
    <w:rsid w:val="00F37DDE"/>
    <w:rsid w:val="00F45B77"/>
    <w:rsid w:val="00F53473"/>
    <w:rsid w:val="00F55AF3"/>
    <w:rsid w:val="00F5723B"/>
    <w:rsid w:val="00F86B03"/>
    <w:rsid w:val="00F95F11"/>
    <w:rsid w:val="00FA5B91"/>
    <w:rsid w:val="00FD4345"/>
    <w:rsid w:val="00FD676A"/>
    <w:rsid w:val="188F7BA1"/>
    <w:rsid w:val="35EF5783"/>
    <w:rsid w:val="3DBC11BA"/>
    <w:rsid w:val="439D3CD3"/>
    <w:rsid w:val="4BEF222F"/>
    <w:rsid w:val="61D416B7"/>
    <w:rsid w:val="6FB912ED"/>
    <w:rsid w:val="7DBB03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</w:pPr>
    <w:rPr>
      <w:sz w:val="20"/>
    </w:rPr>
  </w:style>
  <w:style w:type="paragraph" w:styleId="6">
    <w:name w:val="header"/>
    <w:basedOn w:val="1"/>
    <w:uiPriority w:val="0"/>
    <w:pPr>
      <w:tabs>
        <w:tab w:val="center" w:pos="4153"/>
        <w:tab w:val="right" w:pos="8306"/>
      </w:tabs>
    </w:pPr>
    <w:rPr>
      <w:sz w:val="20"/>
    </w:rPr>
  </w:style>
  <w:style w:type="paragraph" w:styleId="7">
    <w:name w:val="Normal (Web)"/>
    <w:basedOn w:val="1"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10">
    <w:name w:val="page number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BGZ</Company>
  <Pages>4</Pages>
  <Words>251</Words>
  <Characters>1431</Characters>
  <Lines>11</Lines>
  <Paragraphs>3</Paragraphs>
  <TotalTime>2</TotalTime>
  <ScaleCrop>false</ScaleCrop>
  <LinksUpToDate>false</LinksUpToDate>
  <CharactersWithSpaces>1679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2016-09-19T01:45:00Z</dcterms:created>
  <dc:creator>史殿林</dc:creator>
  <cp:lastModifiedBy>WPS_1622599305</cp:lastModifiedBy>
  <cp:lastPrinted>2019-10-25T03:16:00Z</cp:lastPrinted>
  <dcterms:modified xsi:type="dcterms:W3CDTF">2021-08-05T03:07:36Z</dcterms:modified>
  <dc:title>国家税务总局文件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58698E25712B427595B9FF62B9AF0E69</vt:lpwstr>
  </property>
</Properties>
</file>