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600" w:lineRule="exact"/>
        <w:jc w:val="center"/>
        <w:rPr>
          <w:rFonts w:ascii="黑体" w:hAnsi="黑体" w:eastAsia="黑体" w:cs="Times New Roman"/>
          <w:b/>
          <w:sz w:val="36"/>
          <w:szCs w:val="36"/>
        </w:rPr>
      </w:pPr>
      <w:r>
        <w:rPr>
          <w:rFonts w:hint="eastAsia" w:ascii="黑体" w:hAnsi="黑体" w:eastAsia="黑体" w:cs="Times New Roman"/>
          <w:b/>
          <w:sz w:val="36"/>
          <w:szCs w:val="36"/>
        </w:rPr>
        <w:t>2020年度</w:t>
      </w:r>
      <w:r>
        <w:rPr>
          <w:rFonts w:hint="eastAsia" w:ascii="黑体" w:hAnsi="黑体" w:eastAsia="黑体" w:cs="Times New Roman"/>
          <w:b/>
          <w:sz w:val="36"/>
          <w:szCs w:val="36"/>
          <w:u w:val="single"/>
        </w:rPr>
        <w:t>东安县物资事务管理办公室</w:t>
      </w:r>
      <w:r>
        <w:rPr>
          <w:rFonts w:hint="eastAsia" w:ascii="黑体" w:hAnsi="黑体" w:eastAsia="黑体" w:cs="Times New Roman"/>
          <w:b/>
          <w:sz w:val="36"/>
          <w:szCs w:val="36"/>
        </w:rPr>
        <w:t>部门整体支出</w:t>
      </w:r>
    </w:p>
    <w:p>
      <w:pPr>
        <w:adjustRightInd w:val="0"/>
        <w:spacing w:line="600" w:lineRule="exact"/>
        <w:jc w:val="center"/>
        <w:rPr>
          <w:rFonts w:hint="eastAsia" w:ascii="黑体" w:hAnsi="黑体" w:eastAsia="黑体" w:cs="Times New Roman"/>
          <w:b/>
          <w:sz w:val="36"/>
          <w:szCs w:val="36"/>
        </w:rPr>
      </w:pPr>
      <w:r>
        <w:rPr>
          <w:rFonts w:hint="eastAsia" w:ascii="黑体" w:hAnsi="黑体" w:eastAsia="黑体" w:cs="Times New Roman"/>
          <w:b/>
          <w:sz w:val="36"/>
          <w:szCs w:val="36"/>
        </w:rPr>
        <w:t>绩效评价报告</w:t>
      </w:r>
    </w:p>
    <w:p>
      <w:pPr>
        <w:adjustRightInd w:val="0"/>
        <w:spacing w:line="600" w:lineRule="exact"/>
        <w:rPr>
          <w:rFonts w:hint="eastAsia" w:ascii="黑体" w:hAnsi="黑体" w:eastAsia="黑体" w:cs="Times New Roman"/>
          <w:b/>
          <w:sz w:val="32"/>
          <w:szCs w:val="32"/>
        </w:rPr>
      </w:pPr>
      <w:r>
        <w:rPr>
          <w:rFonts w:hint="eastAsia" w:ascii="黑体" w:hAnsi="黑体" w:eastAsia="黑体" w:cs="Times New Roman"/>
          <w:b/>
          <w:sz w:val="32"/>
          <w:szCs w:val="32"/>
        </w:rPr>
        <w:t xml:space="preserve"> </w:t>
      </w:r>
    </w:p>
    <w:p>
      <w:pPr>
        <w:adjustRightInd w:val="0"/>
        <w:snapToGrid w:val="0"/>
        <w:spacing w:line="600" w:lineRule="exact"/>
        <w:ind w:firstLine="640" w:firstLineChars="200"/>
        <w:rPr>
          <w:rFonts w:hint="eastAsia" w:ascii="Times New Roman" w:hAnsi="Times New Roman" w:eastAsia="黑体" w:cs="Times New Roman"/>
          <w:sz w:val="32"/>
          <w:szCs w:val="32"/>
        </w:rPr>
      </w:pPr>
      <w:r>
        <w:rPr>
          <w:rFonts w:ascii="黑体" w:hAnsi="黑体" w:eastAsia="黑体" w:cs="Times New Roman"/>
          <w:sz w:val="32"/>
          <w:szCs w:val="32"/>
        </w:rPr>
        <w:t>一、</w:t>
      </w:r>
      <w:r>
        <w:rPr>
          <w:rFonts w:hint="eastAsia" w:ascii="黑体" w:hAnsi="黑体" w:eastAsia="黑体" w:cs="Times New Roman"/>
          <w:sz w:val="32"/>
          <w:szCs w:val="32"/>
        </w:rPr>
        <w:t>部门</w:t>
      </w:r>
      <w:r>
        <w:rPr>
          <w:rFonts w:ascii="黑体" w:hAnsi="黑体" w:eastAsia="黑体" w:cs="Times New Roman"/>
          <w:sz w:val="32"/>
          <w:szCs w:val="32"/>
        </w:rPr>
        <w:t>概况</w:t>
      </w:r>
    </w:p>
    <w:p>
      <w:pPr>
        <w:ind w:firstLine="420" w:firstLineChars="150"/>
        <w:rPr>
          <w:rFonts w:ascii="宋体" w:hAnsi="宋体" w:eastAsia="宋体" w:cs="Times New Roman"/>
          <w:sz w:val="30"/>
          <w:szCs w:val="30"/>
        </w:rPr>
      </w:pPr>
      <w:r>
        <w:rPr>
          <w:rFonts w:hint="eastAsia" w:ascii="宋体" w:hAnsi="宋体" w:eastAsia="宋体" w:cs="宋体"/>
          <w:sz w:val="28"/>
          <w:szCs w:val="28"/>
        </w:rPr>
        <w:t>（一）</w:t>
      </w:r>
      <w:r>
        <w:rPr>
          <w:rFonts w:hint="eastAsia" w:ascii="宋体" w:hAnsi="宋体" w:eastAsia="宋体" w:cs="Times New Roman"/>
          <w:sz w:val="30"/>
          <w:szCs w:val="30"/>
        </w:rPr>
        <w:t>部门基本情况</w:t>
      </w:r>
    </w:p>
    <w:p>
      <w:pPr>
        <w:spacing w:line="580" w:lineRule="exact"/>
        <w:ind w:firstLine="588" w:firstLineChars="196"/>
        <w:rPr>
          <w:rFonts w:hint="eastAsia" w:ascii="仿宋_GB2312" w:hAnsi="宋体" w:eastAsia="宋体" w:cs="宋体"/>
          <w:sz w:val="32"/>
          <w:szCs w:val="32"/>
        </w:rPr>
      </w:pPr>
      <w:r>
        <w:rPr>
          <w:rFonts w:hint="eastAsia" w:ascii="宋体" w:hAnsi="宋体" w:eastAsia="宋体" w:cs="Times New Roman"/>
          <w:sz w:val="30"/>
          <w:szCs w:val="30"/>
        </w:rPr>
        <w:t>东安县物资事务管理办公室是全额拨款的参照公务员管理的正科级事业单位，内设办公室、财务室、政工股等股室。我单位现有在编在职人员11人，离退休12人。</w:t>
      </w:r>
    </w:p>
    <w:p>
      <w:pPr>
        <w:ind w:firstLine="450" w:firstLineChars="150"/>
        <w:rPr>
          <w:rFonts w:ascii="宋体" w:hAnsi="宋体" w:eastAsia="宋体" w:cs="Times New Roman"/>
          <w:sz w:val="30"/>
          <w:szCs w:val="30"/>
        </w:rPr>
      </w:pPr>
      <w:r>
        <w:rPr>
          <w:rFonts w:hint="eastAsia" w:ascii="宋体" w:hAnsi="宋体" w:eastAsia="宋体" w:cs="Times New Roman"/>
          <w:sz w:val="30"/>
          <w:szCs w:val="30"/>
        </w:rPr>
        <w:t>（二）部门整体支出规模、使用方向和主要内容、涉及范围等。</w:t>
      </w:r>
    </w:p>
    <w:p>
      <w:pPr>
        <w:spacing w:line="560" w:lineRule="exact"/>
        <w:rPr>
          <w:rFonts w:hint="eastAsia" w:ascii="仿宋_GB2312" w:hAnsi="仿宋_GB2312" w:eastAsia="宋体" w:cs="Times New Roman"/>
          <w:sz w:val="32"/>
          <w:szCs w:val="32"/>
        </w:rPr>
      </w:pPr>
      <w:r>
        <w:rPr>
          <w:rFonts w:hint="eastAsia" w:ascii="宋体" w:hAnsi="宋体" w:eastAsia="宋体" w:cs="Times New Roman"/>
          <w:sz w:val="30"/>
          <w:szCs w:val="30"/>
        </w:rPr>
        <w:t xml:space="preserve"> </w:t>
      </w:r>
      <w:r>
        <w:rPr>
          <w:rFonts w:hint="eastAsia" w:ascii="仿宋_GB2312" w:hAnsi="宋体" w:eastAsia="宋体" w:cs="Times New Roman"/>
          <w:sz w:val="30"/>
          <w:szCs w:val="30"/>
        </w:rPr>
        <w:t xml:space="preserve">  </w:t>
      </w:r>
      <w:r>
        <w:rPr>
          <w:rFonts w:hint="eastAsia" w:ascii="仿宋_GB2312" w:hAnsi="仿宋_GB2312" w:eastAsia="宋体" w:cs="Times New Roman"/>
          <w:sz w:val="30"/>
          <w:szCs w:val="30"/>
        </w:rPr>
        <w:t>2020</w:t>
      </w:r>
      <w:r>
        <w:rPr>
          <w:rFonts w:hint="eastAsia" w:ascii="宋体" w:hAnsi="宋体" w:eastAsia="宋体" w:cs="Times New Roman"/>
          <w:sz w:val="30"/>
          <w:szCs w:val="30"/>
        </w:rPr>
        <w:t>年支出决算</w:t>
      </w:r>
      <w:r>
        <w:rPr>
          <w:rFonts w:hint="eastAsia" w:ascii="仿宋_GB2312" w:hAnsi="仿宋_GB2312" w:eastAsia="宋体" w:cs="Times New Roman"/>
          <w:sz w:val="30"/>
          <w:szCs w:val="30"/>
        </w:rPr>
        <w:t>169.00</w:t>
      </w:r>
      <w:r>
        <w:rPr>
          <w:rFonts w:hint="eastAsia" w:ascii="宋体" w:hAnsi="宋体" w:eastAsia="宋体" w:cs="Times New Roman"/>
          <w:sz w:val="30"/>
          <w:szCs w:val="30"/>
        </w:rPr>
        <w:t>万元，其中行政运行</w:t>
      </w:r>
      <w:r>
        <w:rPr>
          <w:rFonts w:hint="eastAsia" w:ascii="仿宋_GB2312" w:hAnsi="仿宋_GB2312" w:eastAsia="宋体" w:cs="Times New Roman"/>
          <w:sz w:val="30"/>
          <w:szCs w:val="30"/>
        </w:rPr>
        <w:t>169.00</w:t>
      </w:r>
      <w:r>
        <w:rPr>
          <w:rFonts w:hint="eastAsia" w:ascii="宋体" w:hAnsi="宋体" w:eastAsia="宋体" w:cs="Times New Roman"/>
          <w:sz w:val="30"/>
          <w:szCs w:val="30"/>
        </w:rPr>
        <w:t>万元，同比增加</w:t>
      </w:r>
      <w:r>
        <w:rPr>
          <w:rFonts w:hint="eastAsia" w:ascii="仿宋_GB2312" w:hAnsi="仿宋_GB2312" w:eastAsia="宋体" w:cs="Times New Roman"/>
          <w:sz w:val="30"/>
          <w:szCs w:val="30"/>
        </w:rPr>
        <w:t>1.90</w:t>
      </w:r>
      <w:r>
        <w:rPr>
          <w:rFonts w:hint="eastAsia" w:ascii="宋体" w:hAnsi="宋体" w:eastAsia="宋体" w:cs="Times New Roman"/>
          <w:sz w:val="30"/>
          <w:szCs w:val="30"/>
        </w:rPr>
        <w:t>万元，变化的原因：增加了人员工资及社保费用。</w:t>
      </w:r>
    </w:p>
    <w:p>
      <w:pPr>
        <w:adjustRightInd w:val="0"/>
        <w:snapToGrid w:val="0"/>
        <w:spacing w:line="600" w:lineRule="exact"/>
        <w:ind w:firstLine="640" w:firstLineChars="200"/>
        <w:rPr>
          <w:rFonts w:ascii="Times New Roman" w:hAnsi="Times New Roman" w:eastAsia="黑体" w:cs="Times New Roman"/>
          <w:sz w:val="32"/>
          <w:szCs w:val="32"/>
        </w:rPr>
      </w:pPr>
      <w:r>
        <w:rPr>
          <w:rFonts w:ascii="黑体" w:hAnsi="黑体" w:eastAsia="黑体" w:cs="Times New Roman"/>
          <w:sz w:val="32"/>
          <w:szCs w:val="32"/>
        </w:rPr>
        <w:t>二、</w:t>
      </w:r>
      <w:r>
        <w:rPr>
          <w:rFonts w:hint="eastAsia" w:ascii="黑体" w:hAnsi="黑体" w:eastAsia="黑体" w:cs="Times New Roman"/>
          <w:sz w:val="32"/>
          <w:szCs w:val="32"/>
        </w:rPr>
        <w:t>部门整体支出</w:t>
      </w:r>
      <w:r>
        <w:rPr>
          <w:rFonts w:ascii="黑体" w:hAnsi="黑体" w:eastAsia="黑体" w:cs="Times New Roman"/>
          <w:sz w:val="32"/>
          <w:szCs w:val="32"/>
        </w:rPr>
        <w:t>使用情况</w:t>
      </w:r>
    </w:p>
    <w:p>
      <w:pPr>
        <w:adjustRightInd w:val="0"/>
        <w:snapToGrid w:val="0"/>
        <w:spacing w:line="600" w:lineRule="exact"/>
        <w:ind w:firstLine="643" w:firstLineChars="200"/>
        <w:rPr>
          <w:rFonts w:ascii="楷体_GB2312" w:hAnsi="楷体_GB2312" w:eastAsia="宋体" w:cs="Times New Roman"/>
          <w:b/>
          <w:sz w:val="32"/>
          <w:szCs w:val="32"/>
        </w:rPr>
      </w:pPr>
      <w:r>
        <w:rPr>
          <w:rFonts w:ascii="楷体_GB2312" w:hAnsi="楷体_GB2312" w:eastAsia="宋体" w:cs="Times New Roman"/>
          <w:b/>
          <w:sz w:val="32"/>
          <w:szCs w:val="32"/>
        </w:rPr>
        <w:t>（一）基本支出</w:t>
      </w:r>
    </w:p>
    <w:p>
      <w:pPr>
        <w:snapToGrid w:val="0"/>
        <w:spacing w:line="460" w:lineRule="exact"/>
        <w:ind w:firstLine="600" w:firstLineChars="200"/>
        <w:rPr>
          <w:rFonts w:ascii="仿宋_GB2312" w:hAnsi="仿宋_GB2312" w:eastAsia="宋体" w:cs="Times New Roman"/>
          <w:sz w:val="30"/>
          <w:szCs w:val="30"/>
        </w:rPr>
      </w:pPr>
      <w:r>
        <w:rPr>
          <w:rFonts w:hint="eastAsia" w:ascii="仿宋_GB2312" w:hAnsi="仿宋_GB2312" w:eastAsia="宋体" w:cs="Times New Roman"/>
          <w:sz w:val="30"/>
          <w:szCs w:val="30"/>
        </w:rPr>
        <w:t>2020</w:t>
      </w:r>
      <w:r>
        <w:rPr>
          <w:rFonts w:hint="eastAsia" w:ascii="宋体" w:hAnsi="宋体" w:eastAsia="宋体" w:cs="Times New Roman"/>
          <w:sz w:val="30"/>
          <w:szCs w:val="30"/>
        </w:rPr>
        <w:t>年支出决算</w:t>
      </w:r>
      <w:r>
        <w:rPr>
          <w:rFonts w:hint="eastAsia" w:ascii="仿宋_GB2312" w:hAnsi="仿宋_GB2312" w:eastAsia="宋体" w:cs="Times New Roman"/>
          <w:sz w:val="30"/>
          <w:szCs w:val="30"/>
        </w:rPr>
        <w:t>169.00</w:t>
      </w:r>
      <w:r>
        <w:rPr>
          <w:rFonts w:hint="eastAsia" w:ascii="宋体" w:hAnsi="宋体" w:eastAsia="宋体" w:cs="Times New Roman"/>
          <w:sz w:val="30"/>
          <w:szCs w:val="30"/>
        </w:rPr>
        <w:t>万元，其中行政运行</w:t>
      </w:r>
      <w:r>
        <w:rPr>
          <w:rFonts w:hint="eastAsia" w:ascii="仿宋_GB2312" w:hAnsi="仿宋_GB2312" w:eastAsia="宋体" w:cs="Times New Roman"/>
          <w:sz w:val="30"/>
          <w:szCs w:val="30"/>
        </w:rPr>
        <w:t>169.00</w:t>
      </w:r>
      <w:r>
        <w:rPr>
          <w:rFonts w:hint="eastAsia" w:ascii="宋体" w:hAnsi="宋体" w:eastAsia="宋体" w:cs="Times New Roman"/>
          <w:sz w:val="30"/>
          <w:szCs w:val="30"/>
        </w:rPr>
        <w:t>万元，同比增加</w:t>
      </w:r>
      <w:r>
        <w:rPr>
          <w:rFonts w:hint="eastAsia" w:ascii="仿宋_GB2312" w:hAnsi="仿宋_GB2312" w:eastAsia="宋体" w:cs="Times New Roman"/>
          <w:sz w:val="30"/>
          <w:szCs w:val="30"/>
        </w:rPr>
        <w:t>1.90</w:t>
      </w:r>
      <w:r>
        <w:rPr>
          <w:rFonts w:hint="eastAsia" w:ascii="宋体" w:hAnsi="宋体" w:eastAsia="宋体" w:cs="Times New Roman"/>
          <w:sz w:val="30"/>
          <w:szCs w:val="30"/>
        </w:rPr>
        <w:t>万元，变化的原因：增加了人员工资及社保费用。</w:t>
      </w:r>
      <w:r>
        <w:rPr>
          <w:rFonts w:hint="eastAsia" w:ascii="仿宋_GB2312" w:hAnsi="仿宋_GB2312" w:eastAsia="宋体" w:cs="Times New Roman"/>
          <w:sz w:val="30"/>
          <w:szCs w:val="30"/>
        </w:rPr>
        <w:t>2020</w:t>
      </w:r>
      <w:r>
        <w:rPr>
          <w:rFonts w:hint="eastAsia" w:ascii="宋体" w:hAnsi="宋体" w:eastAsia="宋体" w:cs="Times New Roman"/>
          <w:sz w:val="30"/>
          <w:szCs w:val="30"/>
        </w:rPr>
        <w:t>年财政拨款支出按用途划分，一般公共预算财政拨款基本支出</w:t>
      </w:r>
      <w:r>
        <w:rPr>
          <w:rFonts w:hint="eastAsia" w:ascii="仿宋_GB2312" w:hAnsi="仿宋_GB2312" w:eastAsia="宋体" w:cs="Times New Roman"/>
          <w:sz w:val="30"/>
          <w:szCs w:val="30"/>
        </w:rPr>
        <w:t>169.00</w:t>
      </w:r>
      <w:r>
        <w:rPr>
          <w:rFonts w:hint="eastAsia" w:ascii="宋体" w:hAnsi="宋体" w:eastAsia="宋体" w:cs="Times New Roman"/>
          <w:sz w:val="30"/>
          <w:szCs w:val="30"/>
        </w:rPr>
        <w:t>万元，其中：人员经费支出140.20万元，同比增加2.593万元，变化的原因：增加了人员工资及社保费用。日常公用经费28.80万元，同比减少0.693万元。变化的原因：控制支出。</w:t>
      </w:r>
    </w:p>
    <w:p>
      <w:pPr>
        <w:ind w:firstLine="600" w:firstLineChars="200"/>
        <w:rPr>
          <w:rFonts w:hint="eastAsia" w:ascii="宋体" w:hAnsi="宋体" w:eastAsia="宋体" w:cs="Times New Roman"/>
          <w:sz w:val="30"/>
          <w:szCs w:val="30"/>
        </w:rPr>
      </w:pPr>
      <w:r>
        <w:rPr>
          <w:rFonts w:hint="eastAsia" w:ascii="宋体" w:hAnsi="宋体" w:eastAsia="宋体" w:cs="Times New Roman"/>
          <w:color w:val="333333"/>
          <w:sz w:val="30"/>
          <w:szCs w:val="30"/>
        </w:rPr>
        <w:t>其中：</w:t>
      </w:r>
      <w:r>
        <w:rPr>
          <w:rFonts w:hint="eastAsia" w:ascii="宋体" w:hAnsi="宋体" w:eastAsia="宋体" w:cs="Times New Roman"/>
          <w:sz w:val="30"/>
          <w:szCs w:val="30"/>
        </w:rPr>
        <w:t>接待费支出3.00万元，与上年持平。</w:t>
      </w:r>
    </w:p>
    <w:p>
      <w:pPr>
        <w:rPr>
          <w:rFonts w:hint="eastAsia" w:ascii="宋体" w:hAnsi="宋体" w:eastAsia="宋体" w:cs="Times New Roman"/>
          <w:color w:val="333333"/>
          <w:sz w:val="30"/>
          <w:szCs w:val="30"/>
        </w:rPr>
      </w:pPr>
      <w:r>
        <w:rPr>
          <w:rFonts w:hint="eastAsia" w:ascii="宋体" w:hAnsi="宋体" w:eastAsia="宋体" w:cs="Times New Roman"/>
          <w:color w:val="333333"/>
          <w:sz w:val="30"/>
          <w:szCs w:val="30"/>
        </w:rPr>
        <w:t xml:space="preserve">  </w:t>
      </w:r>
      <w:r>
        <w:rPr>
          <w:rFonts w:hint="eastAsia" w:ascii="宋体" w:hAnsi="宋体" w:eastAsia="宋体" w:cs="Times New Roman"/>
          <w:color w:val="333333"/>
          <w:sz w:val="30"/>
          <w:szCs w:val="30"/>
          <w:lang w:val="en-US" w:eastAsia="zh-CN"/>
        </w:rPr>
        <w:t xml:space="preserve">  </w:t>
      </w:r>
      <w:r>
        <w:rPr>
          <w:rFonts w:hint="eastAsia" w:ascii="宋体" w:hAnsi="宋体" w:eastAsia="宋体" w:cs="Times New Roman"/>
          <w:color w:val="333333"/>
          <w:sz w:val="30"/>
          <w:szCs w:val="30"/>
        </w:rPr>
        <w:t>公务用车购置及运行维护费：无。</w:t>
      </w:r>
    </w:p>
    <w:p>
      <w:pPr>
        <w:ind w:firstLine="600" w:firstLineChars="200"/>
        <w:rPr>
          <w:rFonts w:hint="eastAsia" w:ascii="宋体" w:hAnsi="宋体" w:eastAsia="宋体" w:cs="Times New Roman"/>
          <w:color w:val="333333"/>
          <w:sz w:val="30"/>
          <w:szCs w:val="30"/>
        </w:rPr>
      </w:pPr>
      <w:r>
        <w:rPr>
          <w:rFonts w:hint="eastAsia" w:ascii="宋体" w:hAnsi="宋体" w:eastAsia="宋体" w:cs="Times New Roman"/>
          <w:color w:val="333333"/>
          <w:sz w:val="30"/>
          <w:szCs w:val="30"/>
        </w:rPr>
        <w:t>因公出国（境）费：无。</w:t>
      </w:r>
    </w:p>
    <w:p>
      <w:pPr>
        <w:adjustRightInd w:val="0"/>
        <w:snapToGrid w:val="0"/>
        <w:spacing w:line="600" w:lineRule="exact"/>
        <w:ind w:firstLine="321" w:firstLineChars="100"/>
        <w:rPr>
          <w:rFonts w:hint="eastAsia" w:ascii="楷体_GB2312" w:hAnsi="楷体_GB2312" w:eastAsia="宋体" w:cs="Times New Roman"/>
          <w:b/>
          <w:sz w:val="32"/>
          <w:szCs w:val="32"/>
        </w:rPr>
      </w:pPr>
      <w:r>
        <w:rPr>
          <w:rFonts w:ascii="楷体_GB2312" w:hAnsi="楷体_GB2312" w:eastAsia="宋体" w:cs="Times New Roman"/>
          <w:b/>
          <w:sz w:val="32"/>
          <w:szCs w:val="32"/>
        </w:rPr>
        <w:t>（二）项目支出</w:t>
      </w:r>
    </w:p>
    <w:p>
      <w:pPr>
        <w:adjustRightInd w:val="0"/>
        <w:snapToGrid w:val="0"/>
        <w:spacing w:line="600" w:lineRule="exact"/>
        <w:ind w:firstLine="960" w:firstLineChars="300"/>
        <w:rPr>
          <w:rFonts w:ascii="Times New Roman" w:hAnsi="Times New Roman" w:eastAsia="仿宋_GB2312" w:cs="Times New Roman"/>
          <w:sz w:val="32"/>
          <w:szCs w:val="32"/>
        </w:rPr>
      </w:pPr>
      <w:r>
        <w:rPr>
          <w:rFonts w:ascii="仿宋_GB2312" w:hAnsi="仿宋_GB2312" w:eastAsia="宋体" w:cs="Times New Roman"/>
          <w:sz w:val="32"/>
          <w:szCs w:val="32"/>
        </w:rPr>
        <w:t>无</w:t>
      </w:r>
      <w:r>
        <w:rPr>
          <w:rFonts w:ascii="宋体" w:hAnsi="宋体" w:eastAsia="宋体" w:cs="宋体"/>
          <w:sz w:val="32"/>
          <w:szCs w:val="32"/>
        </w:rPr>
        <w:t>。</w:t>
      </w:r>
    </w:p>
    <w:p>
      <w:pPr>
        <w:adjustRightInd w:val="0"/>
        <w:snapToGrid w:val="0"/>
        <w:spacing w:line="600" w:lineRule="exact"/>
        <w:ind w:firstLine="640" w:firstLineChars="200"/>
        <w:rPr>
          <w:rFonts w:ascii="Times New Roman" w:hAnsi="Times New Roman" w:eastAsia="黑体" w:cs="Times New Roman"/>
          <w:sz w:val="32"/>
          <w:szCs w:val="32"/>
        </w:rPr>
      </w:pPr>
      <w:r>
        <w:rPr>
          <w:rFonts w:ascii="黑体" w:hAnsi="黑体" w:eastAsia="黑体" w:cs="Times New Roman"/>
          <w:sz w:val="32"/>
          <w:szCs w:val="32"/>
        </w:rPr>
        <w:t>三、</w:t>
      </w:r>
      <w:r>
        <w:rPr>
          <w:rFonts w:hint="eastAsia" w:ascii="黑体" w:hAnsi="黑体" w:eastAsia="黑体" w:cs="Times New Roman"/>
          <w:sz w:val="32"/>
          <w:szCs w:val="32"/>
        </w:rPr>
        <w:t>部门整体支出管理情况</w:t>
      </w:r>
    </w:p>
    <w:p>
      <w:pPr>
        <w:adjustRightInd w:val="0"/>
        <w:snapToGrid w:val="0"/>
        <w:spacing w:line="600" w:lineRule="exact"/>
        <w:ind w:firstLine="600" w:firstLineChars="200"/>
        <w:rPr>
          <w:rFonts w:ascii="宋体" w:hAnsi="宋体" w:eastAsia="宋体" w:cs="Times New Roman"/>
          <w:sz w:val="30"/>
          <w:szCs w:val="30"/>
        </w:rPr>
      </w:pPr>
      <w:r>
        <w:rPr>
          <w:rFonts w:hint="eastAsia" w:ascii="宋体" w:hAnsi="宋体" w:eastAsia="宋体" w:cs="Times New Roman"/>
          <w:color w:val="101010"/>
          <w:sz w:val="30"/>
          <w:szCs w:val="30"/>
        </w:rPr>
        <w:t>东安县物资事务办根据《会计法》、《预算法》、《行政单位财务规则》等法律法规和省财政厅及市财政局有关财务规章的规定，制订了《东安县物资办机关财务管理办法》制度，明确了经费审批权限及程序，经费预算管理、财务经费管理、资产购置与处置、财务监督等制度。根据各项内部控制制度，明确了相应原则和要求、开支范围、程序、办法及标准、审批权限等。上述制度规定基本得到执行。</w:t>
      </w:r>
    </w:p>
    <w:p>
      <w:pPr>
        <w:adjustRightInd w:val="0"/>
        <w:snapToGrid w:val="0"/>
        <w:spacing w:line="600" w:lineRule="exact"/>
        <w:ind w:firstLine="640" w:firstLineChars="200"/>
        <w:rPr>
          <w:rFonts w:hint="eastAsia" w:ascii="Times New Roman" w:hAnsi="Times New Roman" w:eastAsia="黑体" w:cs="Times New Roman"/>
          <w:sz w:val="32"/>
          <w:szCs w:val="32"/>
        </w:rPr>
      </w:pPr>
      <w:r>
        <w:rPr>
          <w:rFonts w:ascii="黑体" w:hAnsi="黑体" w:eastAsia="黑体" w:cs="Times New Roman"/>
          <w:sz w:val="32"/>
          <w:szCs w:val="32"/>
        </w:rPr>
        <w:t>四、</w:t>
      </w:r>
      <w:r>
        <w:rPr>
          <w:rFonts w:hint="eastAsia" w:ascii="黑体" w:hAnsi="黑体" w:eastAsia="黑体" w:cs="Times New Roman"/>
          <w:sz w:val="32"/>
          <w:szCs w:val="32"/>
        </w:rPr>
        <w:t>部门整体支出</w:t>
      </w:r>
      <w:r>
        <w:rPr>
          <w:rFonts w:ascii="黑体" w:hAnsi="黑体" w:eastAsia="黑体" w:cs="Times New Roman"/>
          <w:sz w:val="32"/>
          <w:szCs w:val="32"/>
        </w:rPr>
        <w:t>绩效情况</w:t>
      </w:r>
    </w:p>
    <w:p>
      <w:pPr>
        <w:snapToGrid w:val="0"/>
        <w:spacing w:line="36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1、按时完成了县委、县政府交办的各项工作任务。</w:t>
      </w:r>
    </w:p>
    <w:p>
      <w:pPr>
        <w:snapToGrid w:val="0"/>
        <w:spacing w:line="360" w:lineRule="auto"/>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2、维护了物资系统的稳定。</w:t>
      </w:r>
    </w:p>
    <w:p>
      <w:pPr>
        <w:adjustRightInd w:val="0"/>
        <w:snapToGrid w:val="0"/>
        <w:spacing w:line="60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五、结合《部门整体支出绩效评价指标表》（见附件）的评价结果</w:t>
      </w:r>
    </w:p>
    <w:p>
      <w:pPr>
        <w:ind w:firstLine="600" w:firstLineChars="200"/>
        <w:rPr>
          <w:rFonts w:hint="eastAsia" w:ascii="宋体" w:hAnsi="宋体" w:eastAsia="宋体" w:cs="Times New Roman"/>
          <w:color w:val="333333"/>
          <w:sz w:val="30"/>
          <w:szCs w:val="30"/>
        </w:rPr>
      </w:pPr>
      <w:r>
        <w:rPr>
          <w:rFonts w:hint="eastAsia" w:ascii="宋体" w:hAnsi="宋体" w:eastAsia="宋体" w:cs="Times New Roman"/>
          <w:color w:val="333333"/>
          <w:sz w:val="30"/>
          <w:szCs w:val="30"/>
        </w:rPr>
        <w:t>依据《部门整体支出绩效评价指标表》，自评得分96.5分，其中：1、在职人员控制率扣减2.5分；</w:t>
      </w:r>
    </w:p>
    <w:p>
      <w:pPr>
        <w:ind w:firstLine="600" w:firstLineChars="200"/>
        <w:rPr>
          <w:rFonts w:hint="eastAsia" w:ascii="宋体" w:hAnsi="宋体" w:eastAsia="宋体" w:cs="Times New Roman"/>
          <w:color w:val="333333"/>
          <w:sz w:val="30"/>
          <w:szCs w:val="30"/>
        </w:rPr>
      </w:pPr>
      <w:r>
        <w:rPr>
          <w:rFonts w:hint="eastAsia" w:ascii="宋体" w:hAnsi="宋体" w:eastAsia="宋体" w:cs="Times New Roman"/>
          <w:color w:val="333333"/>
          <w:sz w:val="30"/>
          <w:szCs w:val="30"/>
        </w:rPr>
        <w:t>2、预算控制率指标因追加预算扣减1分。</w:t>
      </w:r>
    </w:p>
    <w:p>
      <w:pPr>
        <w:adjustRightInd w:val="0"/>
        <w:snapToGrid w:val="0"/>
        <w:spacing w:line="60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六、存在的主要问题</w:t>
      </w:r>
    </w:p>
    <w:p>
      <w:pPr>
        <w:adjustRightInd w:val="0"/>
        <w:snapToGrid w:val="0"/>
        <w:spacing w:line="600" w:lineRule="exact"/>
        <w:ind w:firstLine="600" w:firstLineChars="200"/>
        <w:rPr>
          <w:rFonts w:hint="eastAsia" w:ascii="仿宋_GB2312" w:hAnsi="仿宋_GB2312" w:eastAsia="宋体" w:cs="宋体"/>
          <w:sz w:val="32"/>
          <w:szCs w:val="32"/>
        </w:rPr>
      </w:pPr>
      <w:r>
        <w:rPr>
          <w:rFonts w:hint="eastAsia" w:ascii="宋体" w:hAnsi="宋体" w:eastAsia="宋体" w:cs="Times New Roman"/>
          <w:bCs/>
          <w:color w:val="333333"/>
          <w:sz w:val="30"/>
          <w:szCs w:val="30"/>
          <w:shd w:val="clear" w:color="auto" w:fill="FFFFFF"/>
        </w:rPr>
        <w:t>2020年我办预算整体支出虽然保证了正常运行和职能履行，但在预算编制和执行中存在一些问题，</w:t>
      </w:r>
      <w:r>
        <w:rPr>
          <w:rFonts w:hint="eastAsia" w:ascii="宋体" w:hAnsi="宋体" w:eastAsia="宋体" w:cs="Times New Roman"/>
          <w:sz w:val="30"/>
          <w:szCs w:val="30"/>
        </w:rPr>
        <w:t>内控管理有待加强，</w:t>
      </w:r>
      <w:r>
        <w:rPr>
          <w:rFonts w:hint="eastAsia" w:ascii="宋体" w:hAnsi="宋体" w:eastAsia="宋体" w:cs="Times New Roman"/>
          <w:bCs/>
          <w:color w:val="333333"/>
          <w:sz w:val="30"/>
          <w:szCs w:val="30"/>
          <w:shd w:val="clear" w:color="auto" w:fill="FFFFFF"/>
        </w:rPr>
        <w:t>公用经费控制待进一步加强。</w:t>
      </w:r>
    </w:p>
    <w:p>
      <w:pPr>
        <w:adjustRightInd w:val="0"/>
        <w:snapToGrid w:val="0"/>
        <w:spacing w:line="600" w:lineRule="exact"/>
        <w:ind w:firstLine="640" w:firstLineChars="200"/>
        <w:rPr>
          <w:rFonts w:ascii="Times New Roman" w:hAnsi="Times New Roman" w:eastAsia="黑体" w:cs="Times New Roman"/>
          <w:sz w:val="32"/>
          <w:szCs w:val="32"/>
        </w:rPr>
      </w:pPr>
      <w:r>
        <w:rPr>
          <w:rFonts w:hint="eastAsia" w:ascii="黑体" w:hAnsi="黑体" w:eastAsia="黑体" w:cs="Times New Roman"/>
          <w:sz w:val="32"/>
          <w:szCs w:val="32"/>
        </w:rPr>
        <w:t>七</w:t>
      </w:r>
      <w:r>
        <w:rPr>
          <w:rFonts w:ascii="黑体" w:hAnsi="黑体" w:eastAsia="黑体" w:cs="Times New Roman"/>
          <w:sz w:val="32"/>
          <w:szCs w:val="32"/>
        </w:rPr>
        <w:t>、</w:t>
      </w:r>
      <w:r>
        <w:rPr>
          <w:rFonts w:hint="eastAsia" w:ascii="黑体" w:hAnsi="黑体" w:eastAsia="黑体" w:cs="Times New Roman"/>
          <w:sz w:val="32"/>
          <w:szCs w:val="32"/>
        </w:rPr>
        <w:t>改进措施和有关建议</w:t>
      </w:r>
    </w:p>
    <w:p>
      <w:pPr>
        <w:widowControl/>
        <w:spacing w:before="100" w:beforeAutospacing="1" w:after="100" w:afterAutospacing="1"/>
        <w:ind w:firstLine="600" w:firstLineChars="200"/>
        <w:jc w:val="left"/>
        <w:outlineLvl w:val="0"/>
        <w:rPr>
          <w:rFonts w:ascii="宋体" w:hAnsi="宋体" w:eastAsia="宋体" w:cs="宋体"/>
          <w:bCs/>
          <w:color w:val="333333"/>
          <w:kern w:val="44"/>
          <w:sz w:val="30"/>
          <w:szCs w:val="30"/>
        </w:rPr>
      </w:pPr>
      <w:r>
        <w:rPr>
          <w:rFonts w:hint="eastAsia" w:ascii="宋体" w:hAnsi="宋体" w:eastAsia="宋体" w:cs="宋体"/>
          <w:bCs/>
          <w:color w:val="333333"/>
          <w:kern w:val="44"/>
          <w:sz w:val="30"/>
          <w:szCs w:val="30"/>
          <w:shd w:val="clear" w:color="auto" w:fill="FFFFFF"/>
        </w:rPr>
        <w:t>针对存在的问题，我办将合理安排使用财政预算资金，严格执行财政纪律，增强预算的约束力，按原则给予支出。</w:t>
      </w:r>
    </w:p>
    <w:p>
      <w:pPr>
        <w:ind w:firstLine="631"/>
        <w:rPr>
          <w:rFonts w:hint="eastAsia" w:ascii="宋体" w:hAnsi="宋体" w:eastAsia="宋体" w:cs="Times New Roman"/>
          <w:color w:val="333333"/>
          <w:sz w:val="30"/>
          <w:szCs w:val="30"/>
        </w:rPr>
      </w:pPr>
      <w:r>
        <w:rPr>
          <w:rFonts w:hint="eastAsia" w:ascii="宋体" w:hAnsi="宋体" w:eastAsia="宋体" w:cs="Times New Roman"/>
          <w:bCs/>
          <w:color w:val="010101"/>
          <w:sz w:val="30"/>
          <w:szCs w:val="30"/>
        </w:rPr>
        <w:t>三是</w:t>
      </w:r>
      <w:r>
        <w:rPr>
          <w:rFonts w:hint="eastAsia" w:ascii="宋体" w:hAnsi="宋体" w:eastAsia="宋体" w:cs="Times New Roman"/>
          <w:color w:val="010101"/>
          <w:sz w:val="30"/>
          <w:szCs w:val="30"/>
        </w:rPr>
        <w:t>强化财务专业知识学习，提升专业素养。</w:t>
      </w:r>
    </w:p>
    <w:p>
      <w:pPr>
        <w:adjustRightInd w:val="0"/>
        <w:snapToGrid w:val="0"/>
        <w:spacing w:line="600" w:lineRule="exact"/>
        <w:ind w:firstLine="560" w:firstLineChars="200"/>
        <w:rPr>
          <w:rFonts w:hint="eastAsia" w:ascii="Times New Roman" w:hAnsi="Times New Roman" w:eastAsia="仿宋_GB2312" w:cs="Times New Roman"/>
          <w:sz w:val="28"/>
          <w:szCs w:val="28"/>
        </w:rPr>
      </w:pPr>
      <w:r>
        <w:rPr>
          <w:rFonts w:ascii="Times New Roman" w:hAnsi="Times New Roman" w:eastAsia="仿宋_GB2312" w:cs="Times New Roman"/>
          <w:sz w:val="28"/>
          <w:szCs w:val="28"/>
        </w:rPr>
        <w:t xml:space="preserve"> </w:t>
      </w:r>
    </w:p>
    <w:p>
      <w:pPr>
        <w:adjustRightInd w:val="0"/>
        <w:snapToGrid w:val="0"/>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附件：</w:t>
      </w:r>
      <w:r>
        <w:fldChar w:fldCharType="begin"/>
      </w:r>
      <w:r>
        <w:instrText xml:space="preserve"> HYPERLINK "file:///C:\\Users\\Administrator\\Desktop\\10.18\\绩效自评模板\\2016年永州市直部门整体支出绩效评价指标表.doc" </w:instrText>
      </w:r>
      <w:r>
        <w:fldChar w:fldCharType="separate"/>
      </w:r>
      <w:r>
        <w:rPr>
          <w:rFonts w:hint="eastAsia" w:ascii="仿宋" w:hAnsi="仿宋" w:eastAsia="仿宋" w:cs="Times New Roman"/>
          <w:color w:val="0000FF"/>
          <w:sz w:val="32"/>
          <w:szCs w:val="32"/>
          <w:u w:val="single"/>
        </w:rPr>
        <w:t>部门整体支出绩效评价指标表</w:t>
      </w:r>
      <w:r>
        <w:rPr>
          <w:rFonts w:hint="eastAsia" w:ascii="仿宋" w:hAnsi="仿宋" w:eastAsia="仿宋" w:cs="Times New Roman"/>
          <w:color w:val="0000FF"/>
          <w:sz w:val="32"/>
          <w:szCs w:val="32"/>
          <w:u w:val="single"/>
        </w:rPr>
        <w:fldChar w:fldCharType="end"/>
      </w:r>
    </w:p>
    <w:p>
      <w:pPr>
        <w:adjustRightInd w:val="0"/>
        <w:snapToGrid w:val="0"/>
        <w:spacing w:line="600" w:lineRule="exact"/>
        <w:ind w:firstLine="640" w:firstLineChars="20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adjustRightInd w:val="0"/>
        <w:snapToGrid w:val="0"/>
        <w:spacing w:line="600" w:lineRule="exact"/>
        <w:ind w:firstLine="640" w:firstLineChars="200"/>
        <w:jc w:val="right"/>
        <w:rPr>
          <w:rFonts w:ascii="Times New Roman" w:hAnsi="Times New Roman" w:eastAsia="仿宋_GB2312" w:cs="Times New Roman"/>
          <w:sz w:val="32"/>
          <w:szCs w:val="32"/>
        </w:rPr>
      </w:pPr>
      <w:r>
        <w:rPr>
          <w:rFonts w:ascii="仿宋_GB2312" w:hAnsi="仿宋_GB2312" w:eastAsia="宋体" w:cs="Times New Roman"/>
          <w:sz w:val="32"/>
          <w:szCs w:val="32"/>
        </w:rPr>
        <w:t>东安县物资事务管理办公室（盖章）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77"/>
    <w:rsid w:val="00F12077"/>
    <w:rsid w:val="31263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2</TotalTime>
  <ScaleCrop>false</ScaleCrop>
  <LinksUpToDate>false</LinksUpToDate>
  <CharactersWithSpaces>1145</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2021-08-10T09:13:00Z</dcterms:created>
  <dc:creator>璐</dc:creator>
  <cp:lastModifiedBy>cl</cp:lastModifiedBy>
  <dcterms:modified xsi:type="dcterms:W3CDTF">2021-08-11T06:35:13Z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A8569F1D3D5F41CA8D59FFA0246DF398</vt:lpwstr>
  </property>
</Properties>
</file>