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ascii="黑体" w:hAnsi="黑体" w:eastAsia="黑体" w:cs="黑体"/>
          <w:sz w:val="28"/>
          <w:szCs w:val="28"/>
        </w:rPr>
        <w:t>1</w:t>
      </w:r>
      <w:r>
        <w:rPr>
          <w:rFonts w:hint="eastAsia" w:ascii="黑体" w:hAnsi="黑体" w:eastAsia="黑体" w:cs="黑体"/>
          <w:sz w:val="28"/>
          <w:szCs w:val="28"/>
        </w:rPr>
        <w:t>：</w:t>
      </w:r>
    </w:p>
    <w:p>
      <w:pPr>
        <w:spacing w:line="360" w:lineRule="exact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 w:cs="楷体_GB2312"/>
          <w:sz w:val="28"/>
          <w:szCs w:val="28"/>
        </w:rPr>
        <w:t>（</w:t>
      </w:r>
      <w:r>
        <w:rPr>
          <w:rFonts w:ascii="楷体_GB2312" w:hAnsi="宋体" w:eastAsia="楷体_GB2312" w:cs="楷体_GB2312"/>
          <w:sz w:val="28"/>
          <w:szCs w:val="28"/>
        </w:rPr>
        <w:t xml:space="preserve"> 202</w:t>
      </w:r>
      <w:r>
        <w:rPr>
          <w:rFonts w:hint="eastAsia" w:ascii="楷体_GB2312" w:hAnsi="宋体" w:eastAsia="楷体_GB2312" w:cs="楷体_GB2312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 w:cs="楷体_GB2312"/>
          <w:sz w:val="28"/>
          <w:szCs w:val="28"/>
        </w:rPr>
        <w:t>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填报单位：（盖章）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东安县融媒体中心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24"/>
        </w:rPr>
        <w:t>金额单位：万元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</w:t>
      </w:r>
    </w:p>
    <w:tbl>
      <w:tblPr>
        <w:tblStyle w:val="8"/>
        <w:tblW w:w="997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单位名称</w:t>
            </w:r>
          </w:p>
        </w:tc>
        <w:tc>
          <w:tcPr>
            <w:tcW w:w="3569" w:type="dxa"/>
            <w:gridSpan w:val="9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东安县融媒体中心</w:t>
            </w:r>
          </w:p>
        </w:tc>
        <w:tc>
          <w:tcPr>
            <w:tcW w:w="1925" w:type="dxa"/>
            <w:gridSpan w:val="5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单位负责人</w:t>
            </w:r>
          </w:p>
        </w:tc>
        <w:tc>
          <w:tcPr>
            <w:tcW w:w="2713" w:type="dxa"/>
            <w:gridSpan w:val="5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张明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人员编制数</w:t>
            </w:r>
          </w:p>
        </w:tc>
        <w:tc>
          <w:tcPr>
            <w:tcW w:w="3569" w:type="dxa"/>
            <w:gridSpan w:val="9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86</w:t>
            </w:r>
          </w:p>
        </w:tc>
        <w:tc>
          <w:tcPr>
            <w:tcW w:w="1925" w:type="dxa"/>
            <w:gridSpan w:val="5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实有人数</w:t>
            </w:r>
          </w:p>
        </w:tc>
        <w:tc>
          <w:tcPr>
            <w:tcW w:w="2713" w:type="dxa"/>
            <w:gridSpan w:val="5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跟踪期限</w:t>
            </w:r>
          </w:p>
        </w:tc>
        <w:tc>
          <w:tcPr>
            <w:tcW w:w="8207" w:type="dxa"/>
            <w:gridSpan w:val="19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.01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.01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-202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收入合计</w:t>
            </w:r>
          </w:p>
        </w:tc>
        <w:tc>
          <w:tcPr>
            <w:tcW w:w="1434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预算内拨款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非税收入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935" w:type="dxa"/>
            <w:gridSpan w:val="6"/>
            <w:vMerge w:val="continue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1079.6906</w:t>
            </w:r>
          </w:p>
        </w:tc>
        <w:tc>
          <w:tcPr>
            <w:tcW w:w="1434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999.6906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80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935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489" w:type="dxa"/>
            <w:gridSpan w:val="2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（列明年中预算调整内容及金额）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2519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支出合计</w:t>
            </w:r>
          </w:p>
        </w:tc>
        <w:tc>
          <w:tcPr>
            <w:tcW w:w="2205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基本支出</w:t>
            </w:r>
          </w:p>
        </w:tc>
        <w:tc>
          <w:tcPr>
            <w:tcW w:w="305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年初部门预算</w:t>
            </w:r>
          </w:p>
        </w:tc>
        <w:tc>
          <w:tcPr>
            <w:tcW w:w="2519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1079.6906</w:t>
            </w:r>
          </w:p>
        </w:tc>
        <w:tc>
          <w:tcPr>
            <w:tcW w:w="2205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z w:val="24"/>
                <w:szCs w:val="24"/>
                <w:lang w:val="en-US" w:eastAsia="zh-CN"/>
              </w:rPr>
              <w:t>845.6906</w:t>
            </w:r>
          </w:p>
        </w:tc>
        <w:tc>
          <w:tcPr>
            <w:tcW w:w="305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  <w:t>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实际发生支出</w:t>
            </w:r>
          </w:p>
        </w:tc>
        <w:tc>
          <w:tcPr>
            <w:tcW w:w="2519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1079.6906</w:t>
            </w:r>
          </w:p>
        </w:tc>
        <w:tc>
          <w:tcPr>
            <w:tcW w:w="2205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845</w:t>
            </w:r>
            <w:r>
              <w:rPr>
                <w:rFonts w:ascii="宋体" w:hAnsi="宋体" w:cs="宋体"/>
                <w:sz w:val="24"/>
                <w:szCs w:val="24"/>
              </w:rPr>
              <w:t>.6906</w:t>
            </w:r>
          </w:p>
        </w:tc>
        <w:tc>
          <w:tcPr>
            <w:tcW w:w="305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  <w:t>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结余</w:t>
            </w:r>
          </w:p>
        </w:tc>
        <w:tc>
          <w:tcPr>
            <w:tcW w:w="2519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2205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3051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</w:rPr>
              <w:t>其中：三公经费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470" w:type="dxa"/>
            <w:gridSpan w:val="4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公务接待费</w:t>
            </w:r>
          </w:p>
        </w:tc>
        <w:tc>
          <w:tcPr>
            <w:tcW w:w="2627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公务用车运行和购置费</w:t>
            </w:r>
          </w:p>
        </w:tc>
        <w:tc>
          <w:tcPr>
            <w:tcW w:w="2100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因公出国（境）费</w:t>
            </w:r>
          </w:p>
        </w:tc>
        <w:tc>
          <w:tcPr>
            <w:tcW w:w="1683" w:type="dxa"/>
            <w:gridSpan w:val="3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年初预算安排数</w:t>
            </w:r>
          </w:p>
        </w:tc>
        <w:tc>
          <w:tcPr>
            <w:tcW w:w="1470" w:type="dxa"/>
            <w:gridSpan w:val="4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627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3.5</w:t>
            </w:r>
          </w:p>
        </w:tc>
        <w:tc>
          <w:tcPr>
            <w:tcW w:w="2100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  <w:t>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实际发生支出</w:t>
            </w:r>
          </w:p>
        </w:tc>
        <w:tc>
          <w:tcPr>
            <w:tcW w:w="1470" w:type="dxa"/>
            <w:gridSpan w:val="4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627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3.5</w:t>
            </w:r>
          </w:p>
        </w:tc>
        <w:tc>
          <w:tcPr>
            <w:tcW w:w="2100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  <w:lang w:val="en-US" w:eastAsia="zh-CN"/>
              </w:rPr>
              <w:t>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结余</w:t>
            </w:r>
          </w:p>
        </w:tc>
        <w:tc>
          <w:tcPr>
            <w:tcW w:w="1470" w:type="dxa"/>
            <w:gridSpan w:val="4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2627" w:type="dxa"/>
            <w:gridSpan w:val="5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2100" w:type="dxa"/>
            <w:gridSpan w:val="6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绩效目标完成情况</w:t>
            </w:r>
          </w:p>
        </w:tc>
        <w:tc>
          <w:tcPr>
            <w:tcW w:w="9455" w:type="dxa"/>
            <w:gridSpan w:val="22"/>
          </w:tcPr>
          <w:p>
            <w:pPr>
              <w:widowControl w:val="0"/>
              <w:spacing w:line="360" w:lineRule="exact"/>
              <w:rPr>
                <w:rFonts w:ascii="仿宋" w:hAnsi="仿宋" w:eastAsia="仿宋"/>
                <w:kern w:val="2"/>
                <w:sz w:val="24"/>
                <w:szCs w:val="24"/>
                <w:lang w:eastAsia="ja-JP"/>
              </w:rPr>
            </w:pPr>
            <w:r>
              <w:rPr>
                <w:rFonts w:hint="eastAsia" w:ascii="仿宋" w:hAnsi="仿宋" w:eastAsia="仿宋" w:cs="仿宋_GB2312"/>
                <w:kern w:val="2"/>
                <w:sz w:val="24"/>
                <w:szCs w:val="24"/>
              </w:rPr>
              <w:t>目标</w:t>
            </w:r>
            <w:r>
              <w:rPr>
                <w:rFonts w:ascii="仿宋" w:hAnsi="仿宋" w:eastAsia="仿宋" w:cs="仿宋_GB2312"/>
                <w:kern w:val="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_GB2312"/>
                <w:kern w:val="2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sz w:val="24"/>
              </w:rPr>
              <w:t>建设“融媒体指挥中心”，建立统一的融媒体共享数据库。</w:t>
            </w:r>
          </w:p>
          <w:p>
            <w:pPr>
              <w:widowControl w:val="0"/>
              <w:spacing w:line="360" w:lineRule="exact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2"/>
                <w:sz w:val="24"/>
                <w:szCs w:val="24"/>
              </w:rPr>
              <w:t>目标</w:t>
            </w:r>
            <w:r>
              <w:rPr>
                <w:rFonts w:ascii="仿宋" w:hAnsi="仿宋" w:eastAsia="仿宋" w:cs="仿宋_GB2312"/>
                <w:kern w:val="2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_GB2312"/>
                <w:kern w:val="2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sz w:val="24"/>
              </w:rPr>
              <w:t>通过 “村村响”职能，让全县边远山区群众听好广播看好电视。</w:t>
            </w:r>
          </w:p>
          <w:p>
            <w:pPr>
              <w:ind w:left="840" w:hanging="840" w:hangingChars="3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_GB2312"/>
                <w:kern w:val="2"/>
                <w:sz w:val="24"/>
                <w:szCs w:val="24"/>
              </w:rPr>
              <w:t>目标</w:t>
            </w:r>
            <w:r>
              <w:rPr>
                <w:rFonts w:ascii="仿宋" w:hAnsi="仿宋" w:eastAsia="仿宋" w:cs="仿宋_GB2312"/>
                <w:kern w:val="2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_GB2312"/>
                <w:kern w:val="2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sz w:val="24"/>
              </w:rPr>
              <w:t>做好内外宣工作，报道好县委、县政府的重大决策和各个时期的中心工作、报道好基层动态，为全县经济发展和社会稳定营造良好的舆论环境。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其中</w:t>
            </w:r>
          </w:p>
        </w:tc>
        <w:tc>
          <w:tcPr>
            <w:tcW w:w="1262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指标内容</w:t>
            </w: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指标值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完成情况</w:t>
            </w: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目标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62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建立统一的融媒体共享数据库</w:t>
            </w: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已完成</w:t>
            </w: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</w:rPr>
              <w:t>开通了全县17个乡镇平台、273个村级广播室、1806个喇叭终端</w:t>
            </w: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</w:rPr>
              <w:t>已完成</w:t>
            </w: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确保了“村村响”在疫情防控关键时刻，利用早、中、晚三个时段，及时播放中央、省、市、县相关疫情防控知识和防控措施</w:t>
            </w: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已完成</w:t>
            </w: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目标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262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截止</w:t>
            </w: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4"/>
                <w:szCs w:val="24"/>
              </w:rPr>
              <w:t>月底发稿量：央媒9条、省媒630条、市媒1336条、县媒3711条</w:t>
            </w: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良好</w:t>
            </w: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有效发挥了主流媒体的宣传职能作用</w:t>
            </w: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</w:rPr>
              <w:t>良好</w:t>
            </w: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2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9" w:hRule="atLeast"/>
        </w:trPr>
        <w:tc>
          <w:tcPr>
            <w:tcW w:w="1769" w:type="dxa"/>
            <w:gridSpan w:val="4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存在问题及绩效目标出现偏差的原因</w:t>
            </w:r>
          </w:p>
        </w:tc>
        <w:tc>
          <w:tcPr>
            <w:tcW w:w="8207" w:type="dxa"/>
            <w:gridSpan w:val="19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4"/>
              </w:rPr>
              <w:t>预算完成情况有待提升。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9" w:hRule="atLeast"/>
        </w:trPr>
        <w:tc>
          <w:tcPr>
            <w:tcW w:w="1769" w:type="dxa"/>
            <w:gridSpan w:val="4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整改措施及下一步建议</w:t>
            </w:r>
          </w:p>
        </w:tc>
        <w:tc>
          <w:tcPr>
            <w:tcW w:w="8207" w:type="dxa"/>
            <w:gridSpan w:val="19"/>
          </w:tcPr>
          <w:p>
            <w:pPr>
              <w:widowControl w:val="0"/>
              <w:spacing w:line="36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科学编制预算，加强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预算完成情况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提高资金使用效益。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769" w:type="dxa"/>
            <w:gridSpan w:val="4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县财政局归口业务股室审核意见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8207" w:type="dxa"/>
            <w:gridSpan w:val="19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县财政局预算绩效管理股意见</w:t>
            </w:r>
          </w:p>
        </w:tc>
        <w:tc>
          <w:tcPr>
            <w:tcW w:w="8207" w:type="dxa"/>
            <w:gridSpan w:val="19"/>
          </w:tcPr>
          <w:p>
            <w:pPr>
              <w:widowControl w:val="0"/>
              <w:spacing w:afterLines="50"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单位负责人（签章）：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填报人（签章）：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陆家全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联系电话：</w:t>
      </w:r>
      <w:r>
        <w:rPr>
          <w:rFonts w:ascii="仿宋_GB2312" w:hAnsi="仿宋_GB2312" w:eastAsia="仿宋_GB2312" w:cs="仿宋_GB2312"/>
          <w:sz w:val="24"/>
          <w:szCs w:val="24"/>
        </w:rPr>
        <w:t>1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3874368499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填报日期：</w:t>
      </w:r>
      <w:r>
        <w:rPr>
          <w:rFonts w:ascii="仿宋_GB2312" w:hAnsi="仿宋_GB2312" w:eastAsia="仿宋_GB2312" w:cs="仿宋_GB2312"/>
          <w:sz w:val="24"/>
          <w:szCs w:val="24"/>
        </w:rPr>
        <w:t>202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4"/>
          <w:szCs w:val="24"/>
        </w:rPr>
        <w:t>年</w:t>
      </w:r>
      <w:r>
        <w:rPr>
          <w:rFonts w:ascii="仿宋_GB2312" w:hAns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月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  <w:r>
        <w:rPr>
          <w:rFonts w:ascii="仿宋_GB2312" w:hAns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</w:rPr>
        <w:t>日</w:t>
      </w:r>
    </w:p>
    <w:sectPr>
      <w:type w:val="continuous"/>
      <w:pgSz w:w="11907" w:h="16840"/>
      <w:pgMar w:top="1134" w:right="1247" w:bottom="1134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oNotHyphenateCaps/>
  <w:drawingGridHorizontalSpacing w:val="0"/>
  <w:drawingGridVerticalSpacing w:val="28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2C09"/>
    <w:rsid w:val="00005C71"/>
    <w:rsid w:val="000456B7"/>
    <w:rsid w:val="000B2512"/>
    <w:rsid w:val="001210C4"/>
    <w:rsid w:val="00145C9B"/>
    <w:rsid w:val="001474EA"/>
    <w:rsid w:val="001509FE"/>
    <w:rsid w:val="00152464"/>
    <w:rsid w:val="00170C42"/>
    <w:rsid w:val="00172A27"/>
    <w:rsid w:val="0021591A"/>
    <w:rsid w:val="00221790"/>
    <w:rsid w:val="0026204D"/>
    <w:rsid w:val="002A6723"/>
    <w:rsid w:val="00334B81"/>
    <w:rsid w:val="0037723E"/>
    <w:rsid w:val="00392C0F"/>
    <w:rsid w:val="003B195F"/>
    <w:rsid w:val="003B74FC"/>
    <w:rsid w:val="003F1A60"/>
    <w:rsid w:val="00415098"/>
    <w:rsid w:val="0044224D"/>
    <w:rsid w:val="004428C7"/>
    <w:rsid w:val="00446062"/>
    <w:rsid w:val="004462C5"/>
    <w:rsid w:val="00471093"/>
    <w:rsid w:val="004B1F8F"/>
    <w:rsid w:val="004F5912"/>
    <w:rsid w:val="005762F8"/>
    <w:rsid w:val="005F6BB6"/>
    <w:rsid w:val="00653EC7"/>
    <w:rsid w:val="00693A40"/>
    <w:rsid w:val="006A0EDA"/>
    <w:rsid w:val="006A6487"/>
    <w:rsid w:val="00716613"/>
    <w:rsid w:val="00726080"/>
    <w:rsid w:val="00781972"/>
    <w:rsid w:val="007B6F66"/>
    <w:rsid w:val="00810EC7"/>
    <w:rsid w:val="008602C5"/>
    <w:rsid w:val="008667AB"/>
    <w:rsid w:val="008824C2"/>
    <w:rsid w:val="008A7D30"/>
    <w:rsid w:val="0091035D"/>
    <w:rsid w:val="0098216D"/>
    <w:rsid w:val="009A3D86"/>
    <w:rsid w:val="00A06710"/>
    <w:rsid w:val="00A33607"/>
    <w:rsid w:val="00A42152"/>
    <w:rsid w:val="00A66B32"/>
    <w:rsid w:val="00A746F8"/>
    <w:rsid w:val="00AB4060"/>
    <w:rsid w:val="00AC5003"/>
    <w:rsid w:val="00B16B42"/>
    <w:rsid w:val="00B55959"/>
    <w:rsid w:val="00B57EEF"/>
    <w:rsid w:val="00BA23C3"/>
    <w:rsid w:val="00BF0320"/>
    <w:rsid w:val="00BF7735"/>
    <w:rsid w:val="00C964B6"/>
    <w:rsid w:val="00CB1781"/>
    <w:rsid w:val="00CF02B2"/>
    <w:rsid w:val="00D33EBA"/>
    <w:rsid w:val="00D55550"/>
    <w:rsid w:val="00D6120E"/>
    <w:rsid w:val="00D67A89"/>
    <w:rsid w:val="00DB133E"/>
    <w:rsid w:val="00DD3B5C"/>
    <w:rsid w:val="00E20E8F"/>
    <w:rsid w:val="00E50C57"/>
    <w:rsid w:val="00EF6034"/>
    <w:rsid w:val="00F37DDE"/>
    <w:rsid w:val="00F55AF3"/>
    <w:rsid w:val="00FD4345"/>
    <w:rsid w:val="03860383"/>
    <w:rsid w:val="03D530B4"/>
    <w:rsid w:val="15941A06"/>
    <w:rsid w:val="1AFD602B"/>
    <w:rsid w:val="32EA6B57"/>
    <w:rsid w:val="391B3482"/>
    <w:rsid w:val="44EE231F"/>
    <w:rsid w:val="50846F7D"/>
    <w:rsid w:val="5EC6779D"/>
    <w:rsid w:val="6FB912ED"/>
    <w:rsid w:val="7C2223A5"/>
    <w:rsid w:val="7D4266F5"/>
    <w:rsid w:val="7DB0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"/>
    <w:semiHidden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6">
    <w:name w:val="header"/>
    <w:basedOn w:val="1"/>
    <w:link w:val="15"/>
    <w:qFormat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7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qFormat/>
    <w:uiPriority w:val="99"/>
  </w:style>
  <w:style w:type="character" w:customStyle="1" w:styleId="11">
    <w:name w:val="宏文本 Char"/>
    <w:basedOn w:val="9"/>
    <w:link w:val="2"/>
    <w:semiHidden/>
    <w:qFormat/>
    <w:uiPriority w:val="99"/>
    <w:rPr>
      <w:lang w:val="en-US" w:eastAsia="zh-CN" w:bidi="ar-SA"/>
    </w:rPr>
  </w:style>
  <w:style w:type="character" w:customStyle="1" w:styleId="12">
    <w:name w:val="日期 Char"/>
    <w:basedOn w:val="9"/>
    <w:link w:val="3"/>
    <w:semiHidden/>
    <w:qFormat/>
    <w:uiPriority w:val="99"/>
    <w:rPr>
      <w:kern w:val="0"/>
      <w:szCs w:val="21"/>
    </w:rPr>
  </w:style>
  <w:style w:type="character" w:customStyle="1" w:styleId="13">
    <w:name w:val="批注框文本 Char"/>
    <w:basedOn w:val="9"/>
    <w:link w:val="4"/>
    <w:semiHidden/>
    <w:qFormat/>
    <w:uiPriority w:val="99"/>
    <w:rPr>
      <w:kern w:val="0"/>
      <w:sz w:val="0"/>
      <w:szCs w:val="0"/>
    </w:rPr>
  </w:style>
  <w:style w:type="character" w:customStyle="1" w:styleId="14">
    <w:name w:val="页脚 Char"/>
    <w:basedOn w:val="9"/>
    <w:link w:val="5"/>
    <w:semiHidden/>
    <w:qFormat/>
    <w:uiPriority w:val="99"/>
    <w:rPr>
      <w:kern w:val="0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BGZ</Company>
  <Pages>2</Pages>
  <Words>221</Words>
  <Characters>1261</Characters>
  <Lines>10</Lines>
  <Paragraphs>2</Paragraphs>
  <TotalTime>2</TotalTime>
  <ScaleCrop>false</ScaleCrop>
  <LinksUpToDate>false</LinksUpToDate>
  <CharactersWithSpaces>1480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2020-09-24T09:08:00Z</dcterms:created>
  <dc:creator>史殿林</dc:creator>
  <cp:lastModifiedBy>Administrator</cp:lastModifiedBy>
  <cp:lastPrinted>2020-09-24T08:26:00Z</cp:lastPrinted>
  <dcterms:modified xsi:type="dcterms:W3CDTF">2021-08-04T08:33:16Z</dcterms:modified>
  <dc:title>国家税务总局文件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