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firstLine="640" w:firstLineChars="200"/>
        <w:jc w:val="right"/>
        <w:rPr>
          <w:rFonts w:eastAsia="仿宋_GB2312"/>
          <w:sz w:val="32"/>
          <w:szCs w:val="32"/>
        </w:rPr>
      </w:pPr>
    </w:p>
    <w:p>
      <w:pPr>
        <w:widowControl/>
        <w:shd w:val="clear" w:color="auto" w:fill="FFFFFF"/>
        <w:spacing w:line="580" w:lineRule="atLeast"/>
        <w:jc w:val="center"/>
        <w:rPr>
          <w:rFonts w:ascii="黑体" w:hAnsi="黑体" w:eastAsia="黑体"/>
          <w:b/>
          <w:bCs/>
          <w:color w:val="666666"/>
          <w:w w:val="9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东安县融媒体中心</w:t>
      </w:r>
      <w:r>
        <w:rPr>
          <w:rFonts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2020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年部门整体支出绩效</w:t>
      </w:r>
      <w:r>
        <w:rPr>
          <w:rFonts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评</w:t>
      </w:r>
      <w:r>
        <w:rPr>
          <w:rFonts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价</w:t>
      </w:r>
      <w:r>
        <w:rPr>
          <w:rFonts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报</w:t>
      </w:r>
      <w:r>
        <w:rPr>
          <w:rFonts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44"/>
          <w:szCs w:val="44"/>
        </w:rPr>
        <w:t>告</w:t>
      </w:r>
    </w:p>
    <w:p>
      <w:pPr>
        <w:widowControl/>
        <w:shd w:val="clear" w:color="auto" w:fill="FFFFFF"/>
        <w:spacing w:line="580" w:lineRule="atLeast"/>
        <w:jc w:val="left"/>
        <w:rPr>
          <w:rFonts w:ascii="宋体"/>
          <w:b/>
          <w:bCs/>
          <w:color w:val="666666"/>
          <w:kern w:val="0"/>
          <w:sz w:val="36"/>
          <w:szCs w:val="36"/>
        </w:rPr>
      </w:pPr>
      <w:r>
        <w:rPr>
          <w:rFonts w:ascii="宋体" w:hAnsi="宋体" w:cs="宋体"/>
          <w:b/>
          <w:bCs/>
          <w:color w:val="222222"/>
          <w:kern w:val="0"/>
          <w:sz w:val="36"/>
          <w:szCs w:val="36"/>
        </w:rPr>
        <w:t xml:space="preserve"> </w:t>
      </w:r>
    </w:p>
    <w:p>
      <w:pPr>
        <w:widowControl/>
        <w:shd w:val="clear" w:color="auto" w:fill="FFFFFF"/>
        <w:autoSpaceDE w:val="0"/>
        <w:spacing w:line="600" w:lineRule="exact"/>
        <w:ind w:firstLine="643" w:firstLineChars="200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一、部门概况</w:t>
      </w:r>
    </w:p>
    <w:p>
      <w:pPr>
        <w:ind w:left="160" w:leftChars="76" w:firstLine="498" w:firstLineChars="155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（一）部门基本情况</w:t>
      </w:r>
    </w:p>
    <w:p>
      <w:pPr>
        <w:ind w:left="160" w:leftChars="76" w:firstLine="498" w:firstLineChars="155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1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、单位机构、人员情况</w:t>
      </w:r>
    </w:p>
    <w:p>
      <w:pPr>
        <w:spacing w:line="360" w:lineRule="auto"/>
        <w:ind w:left="172" w:leftChars="82"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东安县融媒体中心以县广播电视台为主体，整合县新闻网（红网东安站、县文明网）、手机报、东安发布等机构组建而成，为县政府直属正科级公益类事业单位，归口县委宣传部管理。</w:t>
      </w:r>
      <w:r>
        <w:rPr>
          <w:rFonts w:ascii="黑体" w:hAnsi="黑体" w:eastAsia="黑体" w:cs="黑体"/>
          <w:sz w:val="30"/>
          <w:szCs w:val="30"/>
        </w:rPr>
        <w:t>2019</w:t>
      </w:r>
      <w:r>
        <w:rPr>
          <w:rFonts w:hint="eastAsia" w:ascii="黑体" w:hAnsi="黑体" w:eastAsia="黑体" w:cs="黑体"/>
          <w:sz w:val="30"/>
          <w:szCs w:val="30"/>
        </w:rPr>
        <w:t>年</w:t>
      </w:r>
      <w:r>
        <w:rPr>
          <w:rFonts w:ascii="黑体" w:hAnsi="黑体" w:eastAsia="黑体" w:cs="黑体"/>
          <w:sz w:val="30"/>
          <w:szCs w:val="30"/>
        </w:rPr>
        <w:t>10</w:t>
      </w:r>
      <w:r>
        <w:rPr>
          <w:rFonts w:hint="eastAsia" w:ascii="黑体" w:hAnsi="黑体" w:eastAsia="黑体" w:cs="黑体"/>
          <w:sz w:val="30"/>
          <w:szCs w:val="30"/>
        </w:rPr>
        <w:t>月</w:t>
      </w:r>
      <w:r>
        <w:rPr>
          <w:rFonts w:ascii="黑体" w:hAnsi="黑体" w:eastAsia="黑体" w:cs="黑体"/>
          <w:sz w:val="30"/>
          <w:szCs w:val="30"/>
        </w:rPr>
        <w:t>15</w:t>
      </w:r>
      <w:r>
        <w:rPr>
          <w:rFonts w:hint="eastAsia" w:ascii="黑体" w:hAnsi="黑体" w:eastAsia="黑体" w:cs="黑体"/>
          <w:sz w:val="30"/>
          <w:szCs w:val="30"/>
        </w:rPr>
        <w:t>日，在县委、县政府的高度重视下，县融媒体中心正式挂牌。中心设主任</w:t>
      </w:r>
      <w:r>
        <w:rPr>
          <w:rFonts w:ascii="黑体" w:hAnsi="黑体" w:eastAsia="黑体" w:cs="黑体"/>
          <w:sz w:val="30"/>
          <w:szCs w:val="30"/>
        </w:rPr>
        <w:t>1</w:t>
      </w:r>
      <w:r>
        <w:rPr>
          <w:rFonts w:hint="eastAsia" w:ascii="黑体" w:hAnsi="黑体" w:eastAsia="黑体" w:cs="黑体"/>
          <w:sz w:val="30"/>
          <w:szCs w:val="30"/>
        </w:rPr>
        <w:t>名（正科级），副主任</w:t>
      </w:r>
      <w:r>
        <w:rPr>
          <w:rFonts w:ascii="黑体" w:hAnsi="黑体" w:eastAsia="黑体" w:cs="黑体"/>
          <w:sz w:val="30"/>
          <w:szCs w:val="30"/>
        </w:rPr>
        <w:t>3</w:t>
      </w:r>
      <w:r>
        <w:rPr>
          <w:rFonts w:hint="eastAsia" w:ascii="黑体" w:hAnsi="黑体" w:eastAsia="黑体" w:cs="黑体"/>
          <w:sz w:val="30"/>
          <w:szCs w:val="30"/>
        </w:rPr>
        <w:t>名（副科级）。</w:t>
      </w:r>
    </w:p>
    <w:p>
      <w:pPr>
        <w:spacing w:line="360" w:lineRule="auto"/>
        <w:ind w:left="172" w:leftChars="82"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中心设置办公室、综合保障室、总编室、新闻采访室、编辑制作室、播控技术室、广电发展室、市场服务室、湖南有线东安网络有限公司共</w:t>
      </w:r>
      <w:r>
        <w:rPr>
          <w:rFonts w:ascii="黑体" w:hAnsi="黑体" w:eastAsia="黑体" w:cs="黑体"/>
          <w:sz w:val="30"/>
          <w:szCs w:val="30"/>
        </w:rPr>
        <w:t>9</w:t>
      </w:r>
      <w:r>
        <w:rPr>
          <w:rFonts w:hint="eastAsia" w:ascii="黑体" w:hAnsi="黑体" w:eastAsia="黑体" w:cs="黑体"/>
          <w:sz w:val="30"/>
          <w:szCs w:val="30"/>
        </w:rPr>
        <w:t>个部门。中心在职员工</w:t>
      </w:r>
      <w:r>
        <w:rPr>
          <w:rFonts w:ascii="黑体" w:hAnsi="黑体" w:eastAsia="黑体" w:cs="黑体"/>
          <w:sz w:val="30"/>
          <w:szCs w:val="30"/>
        </w:rPr>
        <w:t>8</w:t>
      </w:r>
      <w:r>
        <w:rPr>
          <w:rFonts w:hint="eastAsia" w:ascii="黑体" w:hAnsi="黑体" w:eastAsia="黑体" w:cs="黑体"/>
          <w:sz w:val="30"/>
          <w:szCs w:val="30"/>
        </w:rPr>
        <w:t>2人，其中全额拨款人员7</w:t>
      </w:r>
      <w:r>
        <w:rPr>
          <w:rFonts w:ascii="黑体" w:hAnsi="黑体" w:eastAsia="黑体" w:cs="黑体"/>
          <w:sz w:val="30"/>
          <w:szCs w:val="30"/>
        </w:rPr>
        <w:t>7</w:t>
      </w:r>
      <w:r>
        <w:rPr>
          <w:rFonts w:hint="eastAsia" w:ascii="黑体" w:hAnsi="黑体" w:eastAsia="黑体" w:cs="黑体"/>
          <w:sz w:val="30"/>
          <w:szCs w:val="30"/>
        </w:rPr>
        <w:t>人，临时聘用人员</w:t>
      </w:r>
      <w:r>
        <w:rPr>
          <w:rFonts w:ascii="黑体" w:hAnsi="黑体" w:eastAsia="黑体" w:cs="黑体"/>
          <w:sz w:val="30"/>
          <w:szCs w:val="30"/>
        </w:rPr>
        <w:t>5</w:t>
      </w:r>
      <w:r>
        <w:rPr>
          <w:rFonts w:hint="eastAsia" w:ascii="黑体" w:hAnsi="黑体" w:eastAsia="黑体" w:cs="黑体"/>
          <w:sz w:val="30"/>
          <w:szCs w:val="30"/>
        </w:rPr>
        <w:t>人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ind w:left="160" w:leftChars="76" w:firstLine="498" w:firstLineChars="155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、融媒体中心的主要职责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负责贯彻执行党和国家有关新闻宣传、媒体管理的方针政策和法律法规，把握正确的舆论导向；拟定全县媒体大融合事业的发展规划，经批准后组织实施；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负责全县“两台一网”即东安电台、东安电视台、东安新闻网，“两微一端”即东安发布微信、微博、移动客户端，新东安</w:t>
      </w:r>
      <w:r>
        <w:rPr>
          <w:rFonts w:ascii="黑体" w:hAnsi="黑体" w:eastAsia="黑体" w:cs="黑体"/>
          <w:sz w:val="30"/>
          <w:szCs w:val="30"/>
        </w:rPr>
        <w:t>APP</w:t>
      </w:r>
      <w:r>
        <w:rPr>
          <w:rFonts w:hint="eastAsia" w:ascii="黑体" w:hAnsi="黑体" w:eastAsia="黑体" w:cs="黑体"/>
          <w:sz w:val="30"/>
          <w:szCs w:val="30"/>
        </w:rPr>
        <w:t>以及“一系统”即覆盖县、乡、村三级广播系统的开发、建设、融合、运营和维护，开展媒体服务、党建服务、政务服务、公共服务、增值服务等业务；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在县委的领导下，按照县委宣传部的安排部署，研究新闻宣传中的重大课题，具体实施全县新闻宣传报道，不断提高宣传品质和水平，当好党和人民的喉舌；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负责融媒体安全播出、发布、传输和发射，做好“无线覆盖”、“户户通”、“村村响”（含防洪预警广播）等三项惠民工程的管理维护工作；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负责媒体高新技术的科学研究、开发应用、申报评定和推广使用；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负责使用融媒体、广播电视系统专项资金，管理、经营原县广播电视台所属企事业单位占有（用）的全部国有资产并承担国有资产保值的责任；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负责全县融媒体人才的培训、培养、引进和对外交流合作工作；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负责融媒体文化产业经营发展创收，负责全县各类宣传产品的策划、设计和制作，开展媒体商业活动，承办全县各类大型宣传文化活动；</w:t>
      </w:r>
    </w:p>
    <w:p>
      <w:pPr>
        <w:spacing w:line="360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完成县委、县政府、县宣传部交办的其他事项。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ind w:firstLine="630" w:firstLineChars="196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（二）部门整体支出规模、使用方向和主要内容、涉及范围</w:t>
      </w:r>
    </w:p>
    <w:p>
      <w:pPr>
        <w:ind w:firstLine="630" w:firstLineChars="196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1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</w:t>
      </w:r>
      <w:r>
        <w:rPr>
          <w:rFonts w:ascii="黑体" w:hAnsi="黑体" w:eastAsia="黑体" w:cs="黑体"/>
          <w:b/>
          <w:bCs/>
          <w:sz w:val="32"/>
          <w:szCs w:val="32"/>
        </w:rPr>
        <w:t>2020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年预算支出规模</w:t>
      </w:r>
    </w:p>
    <w:p>
      <w:pPr>
        <w:ind w:firstLine="630" w:firstLineChars="196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</w:t>
      </w:r>
      <w:r>
        <w:rPr>
          <w:rFonts w:ascii="黑体" w:hAnsi="黑体" w:eastAsia="黑体" w:cs="黑体"/>
          <w:b/>
          <w:bCs/>
          <w:sz w:val="32"/>
          <w:szCs w:val="32"/>
        </w:rPr>
        <w:t>1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）预算资金情况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年年初预算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万元，财政拨款支出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万元，比上年增加</w:t>
      </w:r>
      <w:r>
        <w:rPr>
          <w:rFonts w:ascii="黑体" w:hAnsi="黑体" w:eastAsia="黑体" w:cs="黑体"/>
          <w:sz w:val="32"/>
          <w:szCs w:val="32"/>
        </w:rPr>
        <w:t xml:space="preserve"> 166.1898</w:t>
      </w:r>
      <w:r>
        <w:rPr>
          <w:rFonts w:hint="eastAsia" w:ascii="黑体" w:hAnsi="黑体" w:eastAsia="黑体" w:cs="黑体"/>
          <w:sz w:val="32"/>
          <w:szCs w:val="32"/>
        </w:rPr>
        <w:t>万元，变动原因为财政增加单位自收自支人员五险一金经费</w:t>
      </w:r>
      <w:r>
        <w:rPr>
          <w:rFonts w:ascii="黑体" w:hAnsi="黑体" w:eastAsia="黑体" w:cs="黑体"/>
          <w:sz w:val="32"/>
          <w:szCs w:val="32"/>
        </w:rPr>
        <w:t>166.1898</w:t>
      </w:r>
      <w:r>
        <w:rPr>
          <w:rFonts w:hint="eastAsia" w:ascii="黑体" w:hAnsi="黑体" w:eastAsia="黑体" w:cs="黑体"/>
          <w:sz w:val="32"/>
          <w:szCs w:val="32"/>
        </w:rPr>
        <w:t>万元。其中：财政拨款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万元。支出预算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万元，其中，基本支出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万元，项目支出</w:t>
      </w:r>
      <w:r>
        <w:rPr>
          <w:rFonts w:ascii="黑体" w:hAnsi="黑体" w:eastAsia="黑体" w:cs="黑体"/>
          <w:sz w:val="32"/>
          <w:szCs w:val="32"/>
        </w:rPr>
        <w:t>0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ind w:firstLine="630" w:firstLineChars="196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</w:t>
      </w: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）整体支出使用范围、方向和内容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年财政拨款支出按用途划，基本支出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万元，其中人员经费支出</w:t>
      </w:r>
      <w:r>
        <w:rPr>
          <w:rFonts w:ascii="黑体" w:hAnsi="黑体" w:eastAsia="黑体" w:cs="黑体"/>
          <w:sz w:val="32"/>
          <w:szCs w:val="32"/>
        </w:rPr>
        <w:t xml:space="preserve"> 714.1636</w:t>
      </w:r>
      <w:r>
        <w:rPr>
          <w:rFonts w:hint="eastAsia" w:ascii="黑体" w:hAnsi="黑体" w:eastAsia="黑体" w:cs="黑体"/>
          <w:sz w:val="32"/>
          <w:szCs w:val="32"/>
        </w:rPr>
        <w:t>万元，较上年增加</w:t>
      </w:r>
      <w:r>
        <w:rPr>
          <w:rFonts w:ascii="黑体" w:hAnsi="黑体" w:eastAsia="黑体" w:cs="黑体"/>
          <w:sz w:val="32"/>
          <w:szCs w:val="32"/>
        </w:rPr>
        <w:t>348</w:t>
      </w:r>
      <w:r>
        <w:rPr>
          <w:rFonts w:hint="eastAsia" w:ascii="黑体" w:hAnsi="黑体" w:eastAsia="黑体" w:cs="黑体"/>
          <w:sz w:val="32"/>
          <w:szCs w:val="32"/>
        </w:rPr>
        <w:t>万元的主要原因为人员正常增资，补缴自收自支人员五险一金。日常公用经费支出</w:t>
      </w:r>
      <w:r>
        <w:rPr>
          <w:rFonts w:ascii="黑体" w:hAnsi="黑体" w:eastAsia="黑体" w:cs="黑体"/>
          <w:sz w:val="32"/>
          <w:szCs w:val="32"/>
        </w:rPr>
        <w:t xml:space="preserve"> 200</w:t>
      </w:r>
      <w:r>
        <w:rPr>
          <w:rFonts w:hint="eastAsia" w:ascii="黑体" w:hAnsi="黑体" w:eastAsia="黑体" w:cs="黑体"/>
          <w:sz w:val="32"/>
          <w:szCs w:val="32"/>
        </w:rPr>
        <w:t>万元，机关运行经费比去年增加</w:t>
      </w:r>
      <w:r>
        <w:rPr>
          <w:rFonts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</w:rPr>
        <w:t>万元，主要原因为地方公共文化服务体系建设增加</w:t>
      </w:r>
      <w:r>
        <w:rPr>
          <w:rFonts w:ascii="黑体" w:hAnsi="黑体" w:eastAsia="黑体" w:cs="黑体"/>
          <w:sz w:val="32"/>
          <w:szCs w:val="32"/>
        </w:rPr>
        <w:t>60</w:t>
      </w:r>
      <w:r>
        <w:rPr>
          <w:rFonts w:hint="eastAsia" w:ascii="黑体" w:hAnsi="黑体" w:eastAsia="黑体" w:cs="黑体"/>
          <w:sz w:val="32"/>
          <w:szCs w:val="32"/>
        </w:rPr>
        <w:t>万元公用经费。</w:t>
      </w:r>
    </w:p>
    <w:p>
      <w:pPr>
        <w:ind w:left="160" w:leftChars="76" w:firstLine="496" w:firstLineChars="15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项目支出为</w:t>
      </w:r>
      <w:r>
        <w:rPr>
          <w:rFonts w:ascii="黑体" w:hAnsi="黑体" w:eastAsia="黑体" w:cs="黑体"/>
          <w:sz w:val="32"/>
          <w:szCs w:val="32"/>
        </w:rPr>
        <w:t>0</w:t>
      </w:r>
      <w:r>
        <w:rPr>
          <w:rFonts w:hint="eastAsia" w:ascii="黑体" w:hAnsi="黑体" w:eastAsia="黑体" w:cs="黑体"/>
          <w:sz w:val="32"/>
          <w:szCs w:val="32"/>
        </w:rPr>
        <w:t>万元，</w:t>
      </w:r>
    </w:p>
    <w:p>
      <w:pPr>
        <w:ind w:firstLine="630" w:firstLineChars="196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</w:t>
      </w:r>
      <w:r>
        <w:rPr>
          <w:rFonts w:ascii="黑体" w:hAnsi="黑体" w:eastAsia="黑体" w:cs="黑体"/>
          <w:b/>
          <w:bCs/>
          <w:sz w:val="32"/>
          <w:szCs w:val="32"/>
        </w:rPr>
        <w:t>2020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年年度预算收支决算情况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年收入预算支出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万元，支出决算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万元，其中：人员经费支出</w:t>
      </w:r>
      <w:r>
        <w:rPr>
          <w:rFonts w:ascii="黑体" w:hAnsi="黑体" w:eastAsia="黑体" w:cs="黑体"/>
          <w:sz w:val="32"/>
          <w:szCs w:val="32"/>
        </w:rPr>
        <w:t xml:space="preserve"> 714.1636</w:t>
      </w:r>
      <w:r>
        <w:rPr>
          <w:rFonts w:hint="eastAsia" w:ascii="黑体" w:hAnsi="黑体" w:eastAsia="黑体" w:cs="黑体"/>
          <w:sz w:val="32"/>
          <w:szCs w:val="32"/>
        </w:rPr>
        <w:t>万元，人员经费增加</w:t>
      </w:r>
      <w:r>
        <w:rPr>
          <w:rFonts w:ascii="黑体" w:hAnsi="黑体" w:eastAsia="黑体" w:cs="黑体"/>
          <w:sz w:val="32"/>
          <w:szCs w:val="32"/>
        </w:rPr>
        <w:t>348</w:t>
      </w:r>
      <w:r>
        <w:rPr>
          <w:rFonts w:hint="eastAsia" w:ascii="黑体" w:hAnsi="黑体" w:eastAsia="黑体" w:cs="黑体"/>
          <w:sz w:val="32"/>
          <w:szCs w:val="32"/>
        </w:rPr>
        <w:t>万元，同比增加</w:t>
      </w:r>
      <w:r>
        <w:rPr>
          <w:rFonts w:ascii="黑体" w:hAnsi="黑体" w:eastAsia="黑体" w:cs="黑体"/>
          <w:sz w:val="32"/>
          <w:szCs w:val="32"/>
        </w:rPr>
        <w:t>50%</w:t>
      </w:r>
      <w:r>
        <w:rPr>
          <w:rFonts w:hint="eastAsia" w:ascii="黑体" w:hAnsi="黑体" w:eastAsia="黑体" w:cs="黑体"/>
          <w:sz w:val="32"/>
          <w:szCs w:val="32"/>
        </w:rPr>
        <w:t>，主要原因</w:t>
      </w:r>
      <w:r>
        <w:rPr>
          <w:rFonts w:ascii="黑体" w:hAnsi="黑体" w:eastAsia="黑体" w:cs="黑体"/>
          <w:sz w:val="32"/>
          <w:szCs w:val="32"/>
        </w:rPr>
        <w:t>:</w:t>
      </w:r>
      <w:r>
        <w:rPr>
          <w:rFonts w:hint="eastAsia" w:ascii="黑体" w:hAnsi="黑体" w:eastAsia="黑体" w:cs="黑体"/>
          <w:sz w:val="32"/>
          <w:szCs w:val="32"/>
        </w:rPr>
        <w:t>根据财政要求把保险等支出归类列入了人员经费支出，二是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年人员增加工资，调整津补贴。日常公用经费支出</w:t>
      </w:r>
      <w:r>
        <w:rPr>
          <w:rFonts w:ascii="黑体" w:hAnsi="黑体" w:eastAsia="黑体" w:cs="黑体"/>
          <w:sz w:val="32"/>
          <w:szCs w:val="32"/>
        </w:rPr>
        <w:t>200</w:t>
      </w:r>
      <w:r>
        <w:rPr>
          <w:rFonts w:hint="eastAsia" w:ascii="黑体" w:hAnsi="黑体" w:eastAsia="黑体" w:cs="黑体"/>
          <w:sz w:val="32"/>
          <w:szCs w:val="32"/>
        </w:rPr>
        <w:t>万元，机关运行经费比去年增加，主要原因为地方公共文化服务体系建设增加</w:t>
      </w:r>
      <w:r>
        <w:rPr>
          <w:rFonts w:ascii="黑体" w:hAnsi="黑体" w:eastAsia="黑体" w:cs="黑体"/>
          <w:sz w:val="32"/>
          <w:szCs w:val="32"/>
        </w:rPr>
        <w:t>60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项目支出</w:t>
      </w:r>
      <w:r>
        <w:rPr>
          <w:rFonts w:ascii="黑体" w:hAnsi="黑体" w:eastAsia="黑体" w:cs="黑体"/>
          <w:sz w:val="32"/>
          <w:szCs w:val="32"/>
        </w:rPr>
        <w:t>0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widowControl/>
        <w:shd w:val="clear" w:color="auto" w:fill="FFFFFF"/>
        <w:autoSpaceDE w:val="0"/>
        <w:spacing w:line="600" w:lineRule="exact"/>
        <w:ind w:firstLine="800" w:firstLineChars="249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二、整体支出使用管理情况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（一）基本支出使用管理情况</w:t>
      </w:r>
    </w:p>
    <w:p>
      <w:pPr>
        <w:spacing w:line="600" w:lineRule="atLeast"/>
        <w:ind w:firstLine="640"/>
        <w:rPr>
          <w:rFonts w:ascii="黑体" w:hAnsi="黑体" w:eastAsia="黑体"/>
          <w:color w:val="222222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基本支出的范围和主要用途包括人员经费和日常公用经费。</w:t>
      </w:r>
    </w:p>
    <w:p>
      <w:pPr>
        <w:spacing w:line="600" w:lineRule="atLeast"/>
        <w:ind w:firstLine="640"/>
        <w:rPr>
          <w:rFonts w:ascii="黑体" w:hAnsi="黑体" w:eastAsia="黑体"/>
          <w:color w:val="555555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基本支出的管理和使用情况如下：工资福利支出</w:t>
      </w:r>
      <w:r>
        <w:rPr>
          <w:rFonts w:ascii="黑体" w:hAnsi="黑体" w:eastAsia="黑体" w:cs="黑体"/>
          <w:color w:val="222222"/>
          <w:kern w:val="0"/>
          <w:sz w:val="32"/>
          <w:szCs w:val="32"/>
        </w:rPr>
        <w:t>714.1636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万元、日常办公经费</w:t>
      </w:r>
      <w:r>
        <w:rPr>
          <w:rFonts w:ascii="黑体" w:hAnsi="黑体" w:eastAsia="黑体" w:cs="黑体"/>
          <w:color w:val="222222"/>
          <w:kern w:val="0"/>
          <w:sz w:val="32"/>
          <w:szCs w:val="32"/>
        </w:rPr>
        <w:t>200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万元，主要用于本单位的公务用车、公务接待，办公用品的购买，缴纳医保、社保、住房公积金和其他日常办公的正常开支。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本年基本支出预算可用指标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914.1636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万元，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年基本支出与预算一致。</w:t>
      </w:r>
    </w:p>
    <w:p>
      <w:pPr>
        <w:widowControl/>
        <w:shd w:val="clear" w:color="auto" w:fill="FFFFFF"/>
        <w:autoSpaceDE w:val="0"/>
        <w:spacing w:line="600" w:lineRule="exact"/>
        <w:ind w:firstLine="643" w:firstLineChars="200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（二）“三公”经费使用管理执行情况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年三公经费预算为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ascii="黑体" w:hAnsi="黑体" w:eastAsia="黑体" w:cs="黑体"/>
          <w:sz w:val="32"/>
          <w:szCs w:val="32"/>
        </w:rPr>
        <w:t>.5</w:t>
      </w:r>
      <w:r>
        <w:rPr>
          <w:rFonts w:hint="eastAsia" w:ascii="黑体" w:hAnsi="黑体" w:eastAsia="黑体" w:cs="黑体"/>
          <w:sz w:val="32"/>
          <w:szCs w:val="32"/>
        </w:rPr>
        <w:t>万元，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年“三公经费”决算支出共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ascii="黑体" w:hAnsi="黑体" w:eastAsia="黑体" w:cs="黑体"/>
          <w:sz w:val="32"/>
          <w:szCs w:val="32"/>
        </w:rPr>
        <w:t>.5</w:t>
      </w:r>
      <w:r>
        <w:rPr>
          <w:rFonts w:hint="eastAsia" w:ascii="黑体" w:hAnsi="黑体" w:eastAsia="黑体" w:cs="黑体"/>
          <w:sz w:val="32"/>
          <w:szCs w:val="32"/>
        </w:rPr>
        <w:t>万元，与去年同比增加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万元，具体情况如下：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年三公经费财政拨款支出共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ascii="黑体" w:hAnsi="黑体" w:eastAsia="黑体" w:cs="黑体"/>
          <w:sz w:val="32"/>
          <w:szCs w:val="32"/>
        </w:rPr>
        <w:t>.5</w:t>
      </w:r>
      <w:r>
        <w:rPr>
          <w:rFonts w:hint="eastAsia" w:ascii="黑体" w:hAnsi="黑体" w:eastAsia="黑体" w:cs="黑体"/>
          <w:sz w:val="32"/>
          <w:szCs w:val="32"/>
        </w:rPr>
        <w:t>万元，具体情况如下：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、因公出国（境）费无支出；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、公务用车及运行维护费支出</w:t>
      </w:r>
      <w:r>
        <w:rPr>
          <w:rFonts w:ascii="黑体" w:hAnsi="黑体" w:eastAsia="黑体" w:cs="黑体"/>
          <w:sz w:val="32"/>
          <w:szCs w:val="32"/>
        </w:rPr>
        <w:t>3.5</w:t>
      </w:r>
      <w:r>
        <w:rPr>
          <w:rFonts w:hint="eastAsia" w:ascii="黑体" w:hAnsi="黑体" w:eastAsia="黑体" w:cs="黑体"/>
          <w:sz w:val="32"/>
          <w:szCs w:val="32"/>
        </w:rPr>
        <w:t>万元，具体是：公务车保有量</w:t>
      </w:r>
      <w:r>
        <w:rPr>
          <w:rFonts w:ascii="黑体" w:hAnsi="黑体" w:eastAsia="黑体" w:cs="黑体"/>
          <w:sz w:val="32"/>
          <w:szCs w:val="32"/>
        </w:rPr>
        <w:t xml:space="preserve">1 </w:t>
      </w:r>
      <w:r>
        <w:rPr>
          <w:rFonts w:hint="eastAsia" w:ascii="黑体" w:hAnsi="黑体" w:eastAsia="黑体" w:cs="黑体"/>
          <w:sz w:val="32"/>
          <w:szCs w:val="32"/>
        </w:rPr>
        <w:t>台，全年维护运行费支出</w:t>
      </w:r>
      <w:r>
        <w:rPr>
          <w:rFonts w:ascii="黑体" w:hAnsi="黑体" w:eastAsia="黑体" w:cs="黑体"/>
          <w:sz w:val="32"/>
          <w:szCs w:val="32"/>
        </w:rPr>
        <w:t>3.5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、公务接待费支出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黑体"/>
          <w:sz w:val="32"/>
          <w:szCs w:val="32"/>
        </w:rPr>
        <w:t>万元，比上年增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万元，主要用于接待上级部门检查和调研及会议接待、单位食堂伙食补助等。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）会议费支出情况</w:t>
      </w:r>
      <w:r>
        <w:rPr>
          <w:rFonts w:ascii="黑体" w:hAnsi="黑体" w:eastAsia="黑体" w:cs="黑体"/>
          <w:sz w:val="32"/>
          <w:szCs w:val="32"/>
        </w:rPr>
        <w:t>:2020</w:t>
      </w:r>
      <w:r>
        <w:rPr>
          <w:rFonts w:hint="eastAsia" w:ascii="黑体" w:hAnsi="黑体" w:eastAsia="黑体" w:cs="黑体"/>
          <w:sz w:val="32"/>
          <w:szCs w:val="32"/>
        </w:rPr>
        <w:t>年会议费支出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0.5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</w:t>
      </w:r>
      <w:r>
        <w:rPr>
          <w:rFonts w:ascii="黑体" w:hAnsi="黑体" w:eastAsia="黑体" w:cs="黑体"/>
          <w:sz w:val="32"/>
          <w:szCs w:val="32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）培训费支出情况：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年培训费支出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0.5</w:t>
      </w:r>
      <w:r>
        <w:rPr>
          <w:rFonts w:hint="eastAsia" w:ascii="黑体" w:hAnsi="黑体" w:eastAsia="黑体" w:cs="黑体"/>
          <w:sz w:val="32"/>
          <w:szCs w:val="32"/>
        </w:rPr>
        <w:t>万元，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b/>
          <w:bCs/>
          <w:color w:val="222222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三、部门整体支出管理情况</w:t>
      </w:r>
    </w:p>
    <w:p>
      <w:pPr>
        <w:widowControl/>
        <w:spacing w:line="600" w:lineRule="atLeast"/>
        <w:ind w:firstLine="640"/>
        <w:jc w:val="left"/>
        <w:rPr>
          <w:rFonts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我们严格预算管理，切实按照县委出台的五项管理制度要求，</w:t>
      </w:r>
      <w:r>
        <w:rPr>
          <w:rFonts w:hint="eastAsia" w:ascii="黑体" w:hAnsi="黑体" w:eastAsia="黑体" w:cs="黑体"/>
          <w:color w:val="555555"/>
          <w:kern w:val="0"/>
          <w:sz w:val="32"/>
          <w:szCs w:val="32"/>
        </w:rPr>
        <w:t>坚持执行财经和财务制度，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修改完善了《机关财务管理规定》《财产管理规定》《公务接待管理规定》《内部审计制度》《差旅费、会议费、培训费管理规定》《公务车辆管理办法》《会计核算制度》《厉行节约规定》等工作制度，进一步明确了财政预算资金审批手续和拨付程序、机关行政经费审批手续和报销程序，加强了财务管理，规范了收支行为，保证了财务管理工作规范有序进行。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我们按照绩效评价规程要求，第一阶段为前期准备：制定了详细的工作方案，明确责任，确定评价指标细则；第二阶段为自评：根据上一阶段任务布置，按照要求展开自评工作，并初拟评价结果；第三阶段为定性终评，查阅相关文件资料和财务凭证，对收集资料进行定量定性分析，综合评议后形成评价结论，出具绩效评价报告从上表反映出：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年收入预算支出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万元，支出决算</w:t>
      </w:r>
      <w:r>
        <w:rPr>
          <w:rFonts w:ascii="黑体" w:hAnsi="黑体" w:eastAsia="黑体" w:cs="黑体"/>
          <w:sz w:val="32"/>
          <w:szCs w:val="32"/>
        </w:rPr>
        <w:t>914.1636</w:t>
      </w:r>
      <w:r>
        <w:rPr>
          <w:rFonts w:hint="eastAsia" w:ascii="黑体" w:hAnsi="黑体" w:eastAsia="黑体" w:cs="黑体"/>
          <w:sz w:val="32"/>
          <w:szCs w:val="32"/>
        </w:rPr>
        <w:t>万元，其中：人员经费支出</w:t>
      </w:r>
      <w:r>
        <w:rPr>
          <w:rFonts w:ascii="黑体" w:hAnsi="黑体" w:eastAsia="黑体" w:cs="黑体"/>
          <w:sz w:val="32"/>
          <w:szCs w:val="32"/>
        </w:rPr>
        <w:t xml:space="preserve"> 714.1636</w:t>
      </w:r>
      <w:r>
        <w:rPr>
          <w:rFonts w:hint="eastAsia" w:ascii="黑体" w:hAnsi="黑体" w:eastAsia="黑体" w:cs="黑体"/>
          <w:sz w:val="32"/>
          <w:szCs w:val="32"/>
        </w:rPr>
        <w:t>万元，人员经费增加</w:t>
      </w:r>
      <w:r>
        <w:rPr>
          <w:rFonts w:ascii="黑体" w:hAnsi="黑体" w:eastAsia="黑体" w:cs="黑体"/>
          <w:sz w:val="32"/>
          <w:szCs w:val="32"/>
        </w:rPr>
        <w:t>348</w:t>
      </w:r>
      <w:r>
        <w:rPr>
          <w:rFonts w:hint="eastAsia" w:ascii="黑体" w:hAnsi="黑体" w:eastAsia="黑体" w:cs="黑体"/>
          <w:sz w:val="32"/>
          <w:szCs w:val="32"/>
        </w:rPr>
        <w:t>万元，同比增加</w:t>
      </w:r>
      <w:r>
        <w:rPr>
          <w:rFonts w:ascii="黑体" w:hAnsi="黑体" w:eastAsia="黑体" w:cs="黑体"/>
          <w:sz w:val="32"/>
          <w:szCs w:val="32"/>
        </w:rPr>
        <w:t>50%</w:t>
      </w:r>
      <w:r>
        <w:rPr>
          <w:rFonts w:hint="eastAsia" w:ascii="黑体" w:hAnsi="黑体" w:eastAsia="黑体" w:cs="黑体"/>
          <w:sz w:val="32"/>
          <w:szCs w:val="32"/>
        </w:rPr>
        <w:t>，主要原因</w:t>
      </w:r>
      <w:r>
        <w:rPr>
          <w:rFonts w:ascii="黑体" w:hAnsi="黑体" w:eastAsia="黑体" w:cs="黑体"/>
          <w:sz w:val="32"/>
          <w:szCs w:val="32"/>
        </w:rPr>
        <w:t>:</w:t>
      </w:r>
      <w:r>
        <w:rPr>
          <w:rFonts w:hint="eastAsia" w:ascii="黑体" w:hAnsi="黑体" w:eastAsia="黑体" w:cs="黑体"/>
          <w:sz w:val="32"/>
          <w:szCs w:val="32"/>
        </w:rPr>
        <w:t>根据财政要求把保险等支出归类列入了人员经费支出，二是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年人员增加工资，调整津补贴。日常公用经费支出</w:t>
      </w:r>
      <w:r>
        <w:rPr>
          <w:rFonts w:ascii="黑体" w:hAnsi="黑体" w:eastAsia="黑体" w:cs="黑体"/>
          <w:sz w:val="32"/>
          <w:szCs w:val="32"/>
        </w:rPr>
        <w:t>200</w:t>
      </w:r>
      <w:r>
        <w:rPr>
          <w:rFonts w:hint="eastAsia" w:ascii="黑体" w:hAnsi="黑体" w:eastAsia="黑体" w:cs="黑体"/>
          <w:sz w:val="32"/>
          <w:szCs w:val="32"/>
        </w:rPr>
        <w:t>万元，机关运行经费比去年略增，主要原因为地方公共文化服务体系建设增加</w:t>
      </w:r>
      <w:r>
        <w:rPr>
          <w:rFonts w:ascii="黑体" w:hAnsi="黑体" w:eastAsia="黑体" w:cs="黑体"/>
          <w:sz w:val="32"/>
          <w:szCs w:val="32"/>
        </w:rPr>
        <w:t>60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snapToGrid w:val="0"/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项目支出</w:t>
      </w:r>
      <w:r>
        <w:rPr>
          <w:rFonts w:ascii="黑体" w:hAnsi="黑体" w:eastAsia="黑体" w:cs="黑体"/>
          <w:sz w:val="32"/>
          <w:szCs w:val="32"/>
        </w:rPr>
        <w:t>0</w:t>
      </w:r>
      <w:r>
        <w:rPr>
          <w:rFonts w:hint="eastAsia" w:ascii="黑体" w:hAnsi="黑体" w:eastAsia="黑体" w:cs="黑体"/>
          <w:sz w:val="32"/>
          <w:szCs w:val="32"/>
        </w:rPr>
        <w:t>万元。</w:t>
      </w:r>
    </w:p>
    <w:p>
      <w:pPr>
        <w:snapToGrid w:val="0"/>
        <w:spacing w:line="520" w:lineRule="exact"/>
        <w:ind w:firstLine="643" w:firstLineChars="200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四、部门整体支出绩效情况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222222"/>
          <w:kern w:val="0"/>
          <w:sz w:val="32"/>
          <w:szCs w:val="32"/>
        </w:rPr>
      </w:pPr>
      <w:r>
        <w:rPr>
          <w:rFonts w:ascii="黑体" w:hAnsi="黑体" w:eastAsia="黑体" w:cs="黑体"/>
          <w:color w:val="222222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年，根据年初工作规划和重点性工作，围绕全面建成小康社会的发展蓝图，积极履职，强化管理，较好的完成了年度工作目标。通过加强预算收支管理，不断建立健全内部管理制度，梳理内部管理流程，部门整体支出管理情况得到提升。根据</w:t>
      </w:r>
      <w:r>
        <w:rPr>
          <w:rFonts w:ascii="黑体" w:hAnsi="黑体" w:eastAsia="黑体" w:cs="黑体"/>
          <w:color w:val="222222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年度部门整体支出状况的概述和分析，</w:t>
      </w:r>
      <w:r>
        <w:rPr>
          <w:rFonts w:ascii="黑体" w:hAnsi="黑体" w:eastAsia="黑体" w:cs="黑体"/>
          <w:color w:val="222222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部门整体支出绩效情况如下：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（一）经济效益评价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 w:cs="黑体"/>
          <w:b/>
          <w:bCs/>
          <w:color w:val="222222"/>
          <w:kern w:val="0"/>
          <w:sz w:val="32"/>
          <w:szCs w:val="32"/>
        </w:rPr>
        <w:t xml:space="preserve">1. </w:t>
      </w: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本年预算配置控制较好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财政供养人员控制在预算编制以内，编制内在职人员控制率≦</w:t>
      </w:r>
      <w:r>
        <w:rPr>
          <w:rFonts w:ascii="黑体" w:hAnsi="黑体" w:eastAsia="黑体" w:cs="黑体"/>
          <w:color w:val="000000"/>
          <w:sz w:val="32"/>
          <w:szCs w:val="32"/>
        </w:rPr>
        <w:t>100%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；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 w:cs="黑体"/>
          <w:b/>
          <w:bCs/>
          <w:color w:val="222222"/>
          <w:kern w:val="0"/>
          <w:sz w:val="32"/>
          <w:szCs w:val="32"/>
        </w:rPr>
        <w:t xml:space="preserve"> 2. </w:t>
      </w: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预算执行控制较好。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支出总额控制在预算总额以内，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本年部门预算未进行预算相关事项的调整；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预算完成率达到</w:t>
      </w:r>
      <w:r>
        <w:rPr>
          <w:rFonts w:ascii="黑体" w:hAnsi="黑体" w:eastAsia="黑体" w:cs="黑体"/>
          <w:color w:val="000000"/>
          <w:sz w:val="32"/>
          <w:szCs w:val="32"/>
        </w:rPr>
        <w:t>100%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，预算控制较好，全年无截留或滞留专项资金情况；全年没有新建楼堂馆所。</w:t>
      </w:r>
    </w:p>
    <w:p>
      <w:pPr>
        <w:widowControl/>
        <w:spacing w:line="600" w:lineRule="atLeas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 w:cs="黑体"/>
          <w:b/>
          <w:bCs/>
          <w:color w:val="000000"/>
          <w:kern w:val="0"/>
          <w:sz w:val="32"/>
          <w:szCs w:val="32"/>
        </w:rPr>
        <w:t xml:space="preserve">3.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预算管理较为理想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。制度执行总体较为有效，但仍需进一步强化。全年公用经费控制率为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100%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；“三公”经费总体控制较好，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年三公经费预算为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23.5</w:t>
      </w:r>
      <w:r>
        <w:rPr>
          <w:rFonts w:hint="eastAsia" w:ascii="黑体" w:hAnsi="黑体" w:eastAsia="黑体" w:cs="黑体"/>
          <w:sz w:val="32"/>
          <w:szCs w:val="32"/>
        </w:rPr>
        <w:t>万元，</w:t>
      </w:r>
      <w:r>
        <w:rPr>
          <w:rFonts w:ascii="黑体" w:hAnsi="黑体" w:eastAsia="黑体" w:cs="黑体"/>
          <w:sz w:val="32"/>
          <w:szCs w:val="32"/>
        </w:rPr>
        <w:t>2020</w:t>
      </w:r>
      <w:r>
        <w:rPr>
          <w:rFonts w:hint="eastAsia" w:ascii="黑体" w:hAnsi="黑体" w:eastAsia="黑体" w:cs="黑体"/>
          <w:sz w:val="32"/>
          <w:szCs w:val="32"/>
        </w:rPr>
        <w:t>年“三公经费”决算支出共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23.5</w:t>
      </w:r>
      <w:r>
        <w:rPr>
          <w:rFonts w:hint="eastAsia" w:ascii="黑体" w:hAnsi="黑体" w:eastAsia="黑体" w:cs="黑体"/>
          <w:sz w:val="32"/>
          <w:szCs w:val="32"/>
        </w:rPr>
        <w:t>万元，基本持平。</w:t>
      </w:r>
    </w:p>
    <w:p>
      <w:pPr>
        <w:widowControl/>
        <w:spacing w:line="600" w:lineRule="atLeast"/>
        <w:ind w:firstLine="640"/>
        <w:jc w:val="left"/>
        <w:rPr>
          <w:rFonts w:ascii="黑体" w:hAnsi="黑体" w:eastAsia="黑体"/>
          <w:color w:val="555555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1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）对于单位的政府采购项目，凡单位购买属于政府采购范围内的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货物、工程和服务，严格遵守政府采购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相关法律法规的规定办理相关审批手续，政府采购执行率达到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100%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。</w:t>
      </w:r>
    </w:p>
    <w:p>
      <w:pPr>
        <w:widowControl/>
        <w:spacing w:line="600" w:lineRule="atLeast"/>
        <w:ind w:firstLine="640"/>
        <w:jc w:val="left"/>
        <w:rPr>
          <w:rFonts w:ascii="黑体" w:hAnsi="黑体" w:eastAsia="黑体"/>
          <w:color w:val="555555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）管理制度健全。我们严格预算管理，切实按照县委出台的五项管理制度要求，坚持执行财经和财务制度，修改完善了《机关财务管理规定》《财产管理规定》《公务接待管理规定》《内部审计制度》《差旅费、会议费、培训费管理规定》《公务车辆管理办法》《会计核算制度》《厉行节约规定》等工作制度，进一步明确了财政预算资金审批手续和拨付程序、机关行政经费审批手续和报销程序，加强了财务管理，规范了收支行为，保证了财务管理工作规范有序进行</w:t>
      </w:r>
      <w:r>
        <w:rPr>
          <w:rFonts w:hint="eastAsia" w:ascii="黑体" w:hAnsi="黑体" w:eastAsia="黑体" w:cs="黑体"/>
          <w:color w:val="555555"/>
          <w:kern w:val="0"/>
          <w:sz w:val="32"/>
          <w:szCs w:val="32"/>
        </w:rPr>
        <w:t>。</w:t>
      </w:r>
    </w:p>
    <w:p>
      <w:pPr>
        <w:widowControl/>
        <w:spacing w:line="600" w:lineRule="atLeast"/>
        <w:ind w:firstLine="640" w:firstLineChars="200"/>
        <w:jc w:val="left"/>
        <w:rPr>
          <w:rFonts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）资金使用管理逐步加强。单位支出严格按照国家财经法规和财务管理制度规定执行，正确组织资金的筹集、调度和使用，债权债务及时结算、结清。费用开支有标准、有预算，正确核算收入、税金、利润及利润分配。所有支出均通过我单位财政直接支付方式办理，资金使用无截留、挤占、挪用、虚列支出等情况。</w:t>
      </w:r>
    </w:p>
    <w:p>
      <w:pPr>
        <w:widowControl/>
        <w:spacing w:line="600" w:lineRule="atLeast"/>
        <w:ind w:firstLine="640"/>
        <w:jc w:val="left"/>
        <w:rPr>
          <w:rFonts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4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）部门预算收支严格按年初部门预算方案执行，部门预决算、“三公”经费预决算按要求及时进行了公开。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（二）效率性评价和有效性评价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预算安排的基本支出保障了正常的工作运转，预算安排的项目支出是非常必要的，在执行上是严格遵守各项财经纪律的，在项目资金的使用上也是放的心的，严守法律底线、纪律底线、道德底线。</w:t>
      </w:r>
    </w:p>
    <w:p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（三）社会公众满意度评价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000000"/>
          <w:kern w:val="0"/>
          <w:sz w:val="32"/>
          <w:szCs w:val="32"/>
        </w:rPr>
      </w:pPr>
      <w:r>
        <w:rPr>
          <w:rFonts w:ascii="黑体" w:hAnsi="黑体" w:eastAsia="黑体" w:cs="黑体"/>
          <w:color w:val="000000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，全体干部职工在县委、县政府的正确领导下，克服人手短缺、经验不足等种种困难，积极做好本单位财务管理工作，保证了财政资金的安全，获得了县财政局预算股和国库股的一致好评。在财政局组织的本级预算单位财务管理综合考核工作中，我单位财务管理工作被评为先进单位。在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年民主测评中，满意度为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100%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b/>
          <w:bCs/>
          <w:color w:val="666666"/>
          <w:w w:val="9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五、</w:t>
      </w:r>
      <w:r>
        <w:rPr>
          <w:rFonts w:hint="eastAsia" w:ascii="黑体" w:hAnsi="黑体" w:eastAsia="黑体" w:cs="黑体"/>
          <w:b/>
          <w:bCs/>
          <w:color w:val="222222"/>
          <w:w w:val="90"/>
          <w:kern w:val="0"/>
          <w:sz w:val="32"/>
          <w:szCs w:val="32"/>
        </w:rPr>
        <w:t>结合《部门整体支出绩效议价指标表》（见附表）的评价结果。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b/>
          <w:bCs/>
          <w:color w:val="222222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六、存在的主要问题。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会计专业人员急需，办公费支出有所超支，预算编制的合理性有待提高。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七、改正愿措施和有关建议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666666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针对上述存在的问题及整体支出管理工作的需要，拟实施的改进措施如下：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666666"/>
          <w:kern w:val="0"/>
          <w:sz w:val="32"/>
          <w:szCs w:val="32"/>
        </w:rPr>
      </w:pPr>
      <w:r>
        <w:rPr>
          <w:rFonts w:ascii="黑体" w:hAnsi="黑体" w:eastAsia="黑体" w:cs="黑体"/>
          <w:b/>
          <w:bCs/>
          <w:color w:val="222222"/>
          <w:kern w:val="0"/>
          <w:sz w:val="32"/>
          <w:szCs w:val="32"/>
        </w:rPr>
        <w:t xml:space="preserve">1. </w:t>
      </w: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细化预算编制工作，认真做好预算的编制。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进一步加强内部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推行预算“二上二下”方式，提高预算的合理性和准确性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666666"/>
          <w:kern w:val="0"/>
          <w:sz w:val="32"/>
          <w:szCs w:val="32"/>
        </w:rPr>
      </w:pPr>
      <w:r>
        <w:rPr>
          <w:rFonts w:ascii="黑体" w:hAnsi="黑体" w:eastAsia="黑体" w:cs="黑体"/>
          <w:b/>
          <w:bCs/>
          <w:color w:val="222222"/>
          <w:kern w:val="0"/>
          <w:sz w:val="32"/>
          <w:szCs w:val="32"/>
        </w:rPr>
        <w:t xml:space="preserve">2. </w:t>
      </w: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加强财务管理，严格财务审核。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在费用报账支付时，按照预算规定的费用项目和用途进行资金使用审核、列报支付、财务核算，杜绝超支现象的发生。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color w:val="666666"/>
          <w:kern w:val="0"/>
          <w:sz w:val="32"/>
          <w:szCs w:val="32"/>
        </w:rPr>
      </w:pPr>
      <w:r>
        <w:rPr>
          <w:rFonts w:ascii="黑体" w:hAnsi="黑体" w:eastAsia="黑体" w:cs="黑体"/>
          <w:b/>
          <w:bCs/>
          <w:color w:val="222222"/>
          <w:kern w:val="0"/>
          <w:sz w:val="32"/>
          <w:szCs w:val="32"/>
        </w:rPr>
        <w:t>3</w:t>
      </w: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．持续抓好“三公”经费控制管理。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严格控制“三公”经费的规模和比例，把关“三公”经费支出的审核、审批，杜绝挪用和挤占其他预算资金行为；进一步细化“三公”经费的管理，合理压缩“三公”经费支出。</w:t>
      </w:r>
    </w:p>
    <w:p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hAnsi="黑体" w:eastAsia="黑体"/>
          <w:b/>
          <w:bCs/>
          <w:color w:val="666666"/>
          <w:kern w:val="0"/>
          <w:sz w:val="32"/>
          <w:szCs w:val="32"/>
        </w:rPr>
      </w:pPr>
      <w:r>
        <w:rPr>
          <w:rFonts w:ascii="黑体" w:hAnsi="黑体" w:eastAsia="黑体" w:cs="黑体"/>
          <w:b/>
          <w:bCs/>
          <w:color w:val="222222"/>
          <w:kern w:val="0"/>
          <w:sz w:val="32"/>
          <w:szCs w:val="32"/>
        </w:rPr>
        <w:t>4</w:t>
      </w: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</w:rPr>
        <w:t>．加强项目开展进度的跟踪，开展项目绩效评价，确保项目绩效目标的完成。</w:t>
      </w:r>
    </w:p>
    <w:p>
      <w:pPr>
        <w:widowControl/>
        <w:shd w:val="clear" w:color="auto" w:fill="FFFFFF"/>
        <w:autoSpaceDE w:val="0"/>
        <w:spacing w:line="600" w:lineRule="exact"/>
        <w:ind w:left="5118" w:leftChars="304" w:hanging="4480" w:hangingChars="1400"/>
        <w:jc w:val="left"/>
        <w:rPr>
          <w:rFonts w:ascii="黑体" w:hAnsi="黑体" w:eastAsia="黑体"/>
          <w:color w:val="222222"/>
          <w:kern w:val="0"/>
          <w:sz w:val="32"/>
          <w:szCs w:val="32"/>
        </w:rPr>
      </w:pPr>
      <w:r>
        <w:rPr>
          <w:rFonts w:ascii="黑体" w:hAnsi="黑体" w:eastAsia="黑体" w:cs="黑体"/>
          <w:color w:val="222222"/>
          <w:kern w:val="0"/>
          <w:sz w:val="32"/>
          <w:szCs w:val="32"/>
        </w:rPr>
        <w:t xml:space="preserve">                                                   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东安县融媒体中心</w:t>
      </w:r>
      <w:bookmarkStart w:id="0" w:name="_GoBack"/>
      <w:bookmarkEnd w:id="0"/>
    </w:p>
    <w:p>
      <w:pPr>
        <w:widowControl/>
        <w:shd w:val="clear" w:color="auto" w:fill="FFFFFF"/>
        <w:autoSpaceDE w:val="0"/>
        <w:spacing w:line="600" w:lineRule="exact"/>
        <w:ind w:left="5118" w:leftChars="304" w:hanging="4480" w:hangingChars="1400"/>
        <w:jc w:val="left"/>
        <w:rPr>
          <w:rFonts w:ascii="黑体" w:hAnsi="黑体" w:eastAsia="黑体"/>
          <w:color w:val="222222"/>
          <w:kern w:val="0"/>
          <w:sz w:val="32"/>
          <w:szCs w:val="32"/>
        </w:rPr>
      </w:pPr>
    </w:p>
    <w:p>
      <w:pPr>
        <w:shd w:val="clear" w:color="auto" w:fill="FFFFFF"/>
        <w:autoSpaceDE w:val="0"/>
        <w:spacing w:line="600" w:lineRule="exact"/>
        <w:jc w:val="center"/>
        <w:rPr>
          <w:rFonts w:ascii="黑体" w:hAnsi="黑体" w:eastAsia="黑体"/>
          <w:color w:val="666666"/>
          <w:kern w:val="0"/>
          <w:sz w:val="32"/>
          <w:szCs w:val="32"/>
        </w:rPr>
      </w:pPr>
      <w:r>
        <w:rPr>
          <w:rFonts w:ascii="黑体" w:hAnsi="黑体" w:eastAsia="黑体" w:cs="黑体"/>
          <w:color w:val="222222"/>
          <w:kern w:val="0"/>
          <w:sz w:val="32"/>
          <w:szCs w:val="32"/>
        </w:rPr>
        <w:t xml:space="preserve">                                 202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年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月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日</w:t>
      </w:r>
      <w:r>
        <w:rPr>
          <w:rFonts w:ascii="黑体" w:hAnsi="黑体" w:eastAsia="黑体" w:cs="黑体"/>
          <w:color w:val="222222"/>
          <w:kern w:val="0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23F5"/>
    <w:rsid w:val="00004007"/>
    <w:rsid w:val="00037876"/>
    <w:rsid w:val="00037B95"/>
    <w:rsid w:val="000D313B"/>
    <w:rsid w:val="000D5FD1"/>
    <w:rsid w:val="00101DC9"/>
    <w:rsid w:val="00151FB2"/>
    <w:rsid w:val="0017128D"/>
    <w:rsid w:val="001A178D"/>
    <w:rsid w:val="001A1B7E"/>
    <w:rsid w:val="001F536D"/>
    <w:rsid w:val="00205491"/>
    <w:rsid w:val="00223142"/>
    <w:rsid w:val="00240500"/>
    <w:rsid w:val="00273308"/>
    <w:rsid w:val="002A087C"/>
    <w:rsid w:val="002A7553"/>
    <w:rsid w:val="002C20DF"/>
    <w:rsid w:val="002E080D"/>
    <w:rsid w:val="002E5905"/>
    <w:rsid w:val="00344D1B"/>
    <w:rsid w:val="003614F0"/>
    <w:rsid w:val="00382F85"/>
    <w:rsid w:val="00462113"/>
    <w:rsid w:val="00462DD8"/>
    <w:rsid w:val="00465C57"/>
    <w:rsid w:val="00491393"/>
    <w:rsid w:val="00496C26"/>
    <w:rsid w:val="004A139B"/>
    <w:rsid w:val="00540106"/>
    <w:rsid w:val="005A30F2"/>
    <w:rsid w:val="005B2827"/>
    <w:rsid w:val="006117C5"/>
    <w:rsid w:val="0061728F"/>
    <w:rsid w:val="006237B8"/>
    <w:rsid w:val="006D68E4"/>
    <w:rsid w:val="0073431B"/>
    <w:rsid w:val="00762D52"/>
    <w:rsid w:val="0077563C"/>
    <w:rsid w:val="00783181"/>
    <w:rsid w:val="00836368"/>
    <w:rsid w:val="00837CAD"/>
    <w:rsid w:val="00877BA1"/>
    <w:rsid w:val="009437D1"/>
    <w:rsid w:val="00974056"/>
    <w:rsid w:val="00A76448"/>
    <w:rsid w:val="00B24493"/>
    <w:rsid w:val="00B30C5E"/>
    <w:rsid w:val="00B74A87"/>
    <w:rsid w:val="00B94E2D"/>
    <w:rsid w:val="00BC27A4"/>
    <w:rsid w:val="00BF6708"/>
    <w:rsid w:val="00C25252"/>
    <w:rsid w:val="00C74F5C"/>
    <w:rsid w:val="00CA45DB"/>
    <w:rsid w:val="00CE0BD6"/>
    <w:rsid w:val="00D116AF"/>
    <w:rsid w:val="00D1790A"/>
    <w:rsid w:val="00D344C1"/>
    <w:rsid w:val="00D834A6"/>
    <w:rsid w:val="00D90AB0"/>
    <w:rsid w:val="00DE05B4"/>
    <w:rsid w:val="00DF0F45"/>
    <w:rsid w:val="00DF468F"/>
    <w:rsid w:val="00E023F5"/>
    <w:rsid w:val="00E0720D"/>
    <w:rsid w:val="00E413EF"/>
    <w:rsid w:val="00E4571C"/>
    <w:rsid w:val="00E641CA"/>
    <w:rsid w:val="00E96CA1"/>
    <w:rsid w:val="00EA1F7D"/>
    <w:rsid w:val="00EA790B"/>
    <w:rsid w:val="00EB044A"/>
    <w:rsid w:val="00F16E04"/>
    <w:rsid w:val="00F30F71"/>
    <w:rsid w:val="00F64D4A"/>
    <w:rsid w:val="00F846A6"/>
    <w:rsid w:val="00F9485F"/>
    <w:rsid w:val="00F94903"/>
    <w:rsid w:val="00FC6856"/>
    <w:rsid w:val="00FF649A"/>
    <w:rsid w:val="39000043"/>
    <w:rsid w:val="6394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iPriority w:val="99"/>
    <w:rPr>
      <w:color w:val="800080"/>
      <w:u w:val="single"/>
    </w:rPr>
  </w:style>
  <w:style w:type="character" w:styleId="8">
    <w:name w:val="Hyperlink"/>
    <w:basedOn w:val="6"/>
    <w:uiPriority w:val="99"/>
    <w:rPr>
      <w:color w:val="0000FF"/>
      <w:u w:val="single"/>
    </w:rPr>
  </w:style>
  <w:style w:type="character" w:customStyle="1" w:styleId="9">
    <w:name w:val="批注框文本 Char"/>
    <w:basedOn w:val="6"/>
    <w:link w:val="2"/>
    <w:locked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locked/>
    <w:uiPriority w:val="99"/>
    <w:rPr>
      <w:kern w:val="2"/>
      <w:sz w:val="18"/>
      <w:szCs w:val="18"/>
    </w:rPr>
  </w:style>
  <w:style w:type="character" w:customStyle="1" w:styleId="11">
    <w:name w:val="页眉 Char"/>
    <w:basedOn w:val="6"/>
    <w:link w:val="4"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9</Pages>
  <Words>631</Words>
  <Characters>3598</Characters>
  <Lines>29</Lines>
  <Paragraphs>8</Paragraphs>
  <TotalTime>770</TotalTime>
  <ScaleCrop>false</ScaleCrop>
  <LinksUpToDate>false</LinksUpToDate>
  <CharactersWithSpaces>4221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2015-08-13T01:19:00Z</dcterms:created>
  <dc:creator>Lenovo User</dc:creator>
  <cp:lastModifiedBy>Administrator</cp:lastModifiedBy>
  <cp:lastPrinted>2013-10-09T02:05:00Z</cp:lastPrinted>
  <dcterms:modified xsi:type="dcterms:W3CDTF">2021-08-04T07:00:56Z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