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1325" w:firstLineChars="300"/>
        <w:rPr>
          <w:rFonts w:hint="eastAsia" w:eastAsia="仿宋_GB2312"/>
          <w:b/>
          <w:bCs/>
          <w:kern w:val="0"/>
          <w:sz w:val="44"/>
          <w:szCs w:val="44"/>
          <w:lang w:eastAsia="zh-CN"/>
        </w:rPr>
      </w:pPr>
      <w:r>
        <w:rPr>
          <w:rFonts w:hint="eastAsia" w:eastAsia="仿宋_GB2312"/>
          <w:b/>
          <w:bCs/>
          <w:kern w:val="0"/>
          <w:sz w:val="44"/>
          <w:szCs w:val="44"/>
          <w:lang w:val="en-US" w:eastAsia="zh-CN"/>
        </w:rPr>
        <w:t>2020年接待服务中心部门决算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  <w:r>
        <w:rPr>
          <w:rFonts w:eastAsia="楷体_GB2312"/>
          <w:bCs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宋体" w:hAnsi="宋体" w:cs="宋体"/>
          <w:bCs/>
          <w:kern w:val="0"/>
          <w:sz w:val="44"/>
          <w:szCs w:val="44"/>
        </w:rPr>
      </w:pPr>
      <w:r>
        <w:rPr>
          <w:rFonts w:hint="eastAsia" w:ascii="宋体" w:hAnsi="宋体" w:cs="宋体"/>
          <w:bCs/>
          <w:kern w:val="0"/>
          <w:sz w:val="44"/>
          <w:szCs w:val="44"/>
        </w:rPr>
        <w:t>目 录</w:t>
      </w:r>
    </w:p>
    <w:p>
      <w:pPr>
        <w:spacing w:line="560" w:lineRule="exact"/>
        <w:rPr>
          <w:rFonts w:ascii="黑体" w:eastAsia="黑体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一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部分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</w:t>
      </w:r>
      <w:r>
        <w:rPr>
          <w:rFonts w:hint="eastAsia" w:ascii="黑体" w:eastAsia="黑体"/>
          <w:sz w:val="32"/>
          <w:szCs w:val="32"/>
        </w:rPr>
        <w:t>部门基本情况 ..............................1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机构职能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......................................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二、机构设置 ......................................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第二部分 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年度部门决算表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</w:t>
      </w:r>
      <w:r>
        <w:rPr>
          <w:rFonts w:hint="eastAsia" w:ascii="黑体" w:eastAsia="黑体"/>
          <w:sz w:val="32"/>
          <w:szCs w:val="32"/>
        </w:rPr>
        <w:t>1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一、收入支出决算总表 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2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二、收入决算表 ....................................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3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三、支出决算表 .................................... 4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四、财政拨款收入支出决算总表 ...................... 5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五、一般公共预算财政拨款支出决算表 ................ 6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六、一般公共预算财政拨款基本支出决算表 ............ 7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七、一般公共预算财政拨款“三公”经费支出决算表 .... 8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八、政府性基金预算财政拨款收入支出决算表 .......... 9 </w:t>
      </w:r>
    </w:p>
    <w:p>
      <w:pPr>
        <w:widowControl/>
        <w:jc w:val="left"/>
        <w:rPr>
          <w:rFonts w:eastAsia="黑体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第三部分 20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 xml:space="preserve"> 年度部门决算情况说明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一、收入决算说明 ..................................10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二、支出决算说明 ..................................10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三、“三公经费”支出说明 ..........................10</w:t>
      </w:r>
    </w:p>
    <w:p>
      <w:pPr>
        <w:snapToGrid w:val="0"/>
        <w:spacing w:line="520" w:lineRule="exact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四、</w:t>
      </w:r>
      <w:r>
        <w:rPr>
          <w:rFonts w:hint="eastAsia" w:ascii="仿宋" w:hAnsi="仿宋" w:eastAsia="仿宋"/>
          <w:sz w:val="30"/>
          <w:szCs w:val="30"/>
        </w:rPr>
        <w:t>资产负债情况说明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..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........................ 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五、机关运行经费支出说明 ..........................10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六、政府采购支出说明 ..............................11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七、关于国有资产占用情况说明 .....................11</w:t>
      </w:r>
    </w:p>
    <w:p>
      <w:pPr>
        <w:widowControl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八、关于20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年度预算绩效情况的说明 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九、进行部门决算分析 .............................11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十、提出改进措施 .................................11</w:t>
      </w:r>
    </w:p>
    <w:p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bidi="ar"/>
        </w:rPr>
        <w:t>第四部分 名词解释</w:t>
      </w:r>
      <w:r>
        <w:rPr>
          <w:rFonts w:hint="eastAsia" w:ascii="黑体" w:eastAsia="黑体"/>
          <w:sz w:val="32"/>
          <w:szCs w:val="32"/>
        </w:rPr>
        <w:t>.................................12</w:t>
      </w:r>
    </w:p>
    <w:p>
      <w:pPr>
        <w:widowControl/>
        <w:spacing w:line="600" w:lineRule="exact"/>
        <w:ind w:firstLine="643" w:firstLineChars="200"/>
        <w:jc w:val="left"/>
        <w:rPr>
          <w:rFonts w:ascii="仿宋_GB2312" w:hAnsi="仿宋_GB2312"/>
          <w:b/>
          <w:bCs/>
          <w:kern w:val="0"/>
          <w:sz w:val="32"/>
          <w:szCs w:val="32"/>
        </w:rPr>
      </w:pPr>
      <w:r>
        <w:rPr>
          <w:rFonts w:ascii="仿宋_GB2312" w:hAnsi="仿宋_GB2312"/>
          <w:b/>
          <w:bCs/>
          <w:kern w:val="0"/>
          <w:sz w:val="32"/>
          <w:szCs w:val="3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rPr>
          <w:rFonts w:ascii="宋体" w:hAnsi="宋体"/>
          <w:sz w:val="72"/>
          <w:szCs w:val="72"/>
        </w:rPr>
      </w:pPr>
    </w:p>
    <w:p>
      <w:pPr>
        <w:widowControl/>
        <w:spacing w:line="600" w:lineRule="exact"/>
        <w:jc w:val="center"/>
        <w:rPr>
          <w:rFonts w:hint="eastAsia" w:ascii="方正小标宋_GBK" w:hAnsi="方正小标宋_GBK"/>
          <w:bCs/>
          <w:kern w:val="0"/>
          <w:sz w:val="36"/>
          <w:szCs w:val="36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_GBK" w:hAnsi="方正小标宋_GBK"/>
          <w:bCs/>
          <w:kern w:val="0"/>
          <w:sz w:val="36"/>
          <w:szCs w:val="36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>第一部分</w:t>
      </w:r>
      <w:r>
        <w:rPr>
          <w:rFonts w:hint="eastAsia" w:ascii="方正小标宋_GBK" w:hAnsi="方正小标宋_GBK"/>
          <w:bCs/>
          <w:kern w:val="0"/>
          <w:sz w:val="36"/>
          <w:szCs w:val="36"/>
          <w:lang w:eastAsia="zh-CN"/>
        </w:rPr>
        <w:t>接待服务中心</w:t>
      </w:r>
      <w:r>
        <w:rPr>
          <w:rFonts w:ascii="方正小标宋_GBK" w:hAnsi="方正小标宋_GBK"/>
          <w:bCs/>
          <w:kern w:val="0"/>
          <w:sz w:val="36"/>
          <w:szCs w:val="36"/>
        </w:rPr>
        <w:t>部门概况</w:t>
      </w:r>
    </w:p>
    <w:p>
      <w:pPr>
        <w:pStyle w:val="7"/>
        <w:ind w:firstLine="0" w:firstLineChars="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4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</w:p>
    <w:p>
      <w:pPr>
        <w:numPr>
          <w:ilvl w:val="0"/>
          <w:numId w:val="1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部门基本情况</w:t>
      </w:r>
    </w:p>
    <w:p>
      <w:pPr>
        <w:numPr>
          <w:numId w:val="0"/>
        </w:num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40" w:firstLineChars="200"/>
        <w:rPr>
          <w:rFonts w:hint="eastAsia" w:ascii="宋体" w:hAnsi="宋体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东安县接待服务中心为财政全额拨款行政单位， 主要工作职责是：主要负责县领导接待工作中的各项后勤服务、保障工作、负责县机关办公大楼各类型会议、活动的协调服务工作。</w:t>
      </w:r>
      <w:r>
        <w:rPr>
          <w:rFonts w:hint="eastAsia" w:ascii="宋体" w:hAnsi="宋体"/>
        </w:rPr>
        <w:t xml:space="preserve"> 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ind w:firstLine="600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  <w:t>（二）人员构成情况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部门机构设置和人员、车辆编制情况以及增减变动情况：核定编制2人，现有在职干部职工2人，与上年比无变化。</w:t>
      </w: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</w:p>
    <w:p>
      <w:pPr>
        <w:spacing w:line="560" w:lineRule="exact"/>
        <w:ind w:firstLine="643" w:firstLineChars="200"/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bidi="ar"/>
        </w:rPr>
        <w:t>（三）完成的主要工作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们始终坚持服务中心工作，服务发展大局这个核心，把学习培训作为做好接待工作的第一要务，勤学善思，不断提高对公务接待工作的认识，提升公务接待水平，圆满完成各项公务接待活动，为东安经济社会发展争取了更多的支持和更大的空间。为把东安建成全国知名的微旅游目的地做出了积极的贡献。</w:t>
      </w:r>
    </w:p>
    <w:p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</w:t>
      </w:r>
    </w:p>
    <w:p>
      <w:pPr>
        <w:jc w:val="center"/>
      </w:pPr>
      <w:r>
        <w:rPr>
          <w:rFonts w:eastAsia="方正小标宋_GBK"/>
          <w:bCs/>
          <w:kern w:val="0"/>
          <w:sz w:val="36"/>
          <w:szCs w:val="36"/>
        </w:rPr>
        <w:br w:type="page"/>
      </w:r>
      <w:r>
        <w:rPr>
          <w:rFonts w:ascii="方正小标宋_GBK" w:hAnsi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/>
          <w:bCs/>
          <w:kern w:val="0"/>
          <w:sz w:val="36"/>
          <w:szCs w:val="36"/>
          <w:lang w:eastAsia="zh-CN"/>
        </w:rPr>
        <w:t>2020</w:t>
      </w:r>
      <w:r>
        <w:rPr>
          <w:rFonts w:hint="eastAsia" w:ascii="宋体" w:hAnsi="宋体" w:cs="宋体"/>
          <w:bCs/>
          <w:kern w:val="0"/>
          <w:sz w:val="36"/>
          <w:szCs w:val="36"/>
        </w:rPr>
        <w:t>年</w:t>
      </w:r>
      <w:r>
        <w:rPr>
          <w:rFonts w:ascii="方正小标宋_GBK" w:hAnsi="方正小标宋_GBK"/>
          <w:bCs/>
          <w:kern w:val="0"/>
          <w:sz w:val="36"/>
          <w:szCs w:val="36"/>
        </w:rPr>
        <w:t>部门决算表</w:t>
      </w:r>
      <w:r>
        <w:rPr>
          <w:rFonts w:hint="eastAsia"/>
        </w:rPr>
        <w:t xml:space="preserve"> </w:t>
      </w:r>
    </w:p>
    <w:p/>
    <w:p/>
    <w:p/>
    <w:p>
      <w:r>
        <w:drawing>
          <wp:inline distT="0" distB="0" distL="114300" distR="114300">
            <wp:extent cx="5426075" cy="4392295"/>
            <wp:effectExtent l="0" t="0" r="3175" b="825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26075" cy="439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5427345" cy="2235835"/>
            <wp:effectExtent l="0" t="0" r="1905" b="1206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27345" cy="223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420995" cy="2488565"/>
            <wp:effectExtent l="0" t="0" r="8255" b="698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248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>
      <w:r>
        <w:drawing>
          <wp:inline distT="0" distB="0" distL="114300" distR="114300">
            <wp:extent cx="5424805" cy="3921760"/>
            <wp:effectExtent l="0" t="0" r="4445" b="254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392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114300" distR="114300">
            <wp:extent cx="5423535" cy="3337560"/>
            <wp:effectExtent l="0" t="0" r="5715" b="15240"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3535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424170" cy="3179445"/>
            <wp:effectExtent l="0" t="0" r="5080" b="1905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24170" cy="317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/>
    <w:p/>
    <w:p>
      <w:r>
        <w:drawing>
          <wp:inline distT="0" distB="0" distL="114300" distR="114300">
            <wp:extent cx="5420995" cy="1741805"/>
            <wp:effectExtent l="0" t="0" r="8255" b="10795"/>
            <wp:docPr id="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0995" cy="174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pPr>
        <w:sectPr>
          <w:pgSz w:w="11906" w:h="16838"/>
          <w:pgMar w:top="1440" w:right="1558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/>
          <w:kern w:val="0"/>
        </w:rPr>
        <w:t>本</w:t>
      </w:r>
      <w:r>
        <w:rPr>
          <w:rFonts w:ascii="仿宋_GB2312" w:hAnsi="仿宋_GB2312"/>
          <w:kern w:val="0"/>
        </w:rPr>
        <w:t>单位没有政府性基金收入，也没有使用政府性基金安排的支出，故本表无数据</w:t>
      </w:r>
    </w:p>
    <w:p>
      <w:pPr>
        <w:spacing w:line="560" w:lineRule="exact"/>
        <w:ind w:firstLine="1928" w:firstLineChars="600"/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val="en-US" w:eastAsia="zh-CN" w:bidi="ar"/>
        </w:rPr>
        <w:t>第</w:t>
      </w:r>
      <w:r>
        <w:rPr>
          <w:rFonts w:ascii="仿宋" w:hAnsi="仿宋" w:eastAsia="仿宋" w:cs="黑体"/>
          <w:b/>
          <w:color w:val="000000"/>
          <w:kern w:val="0"/>
          <w:sz w:val="32"/>
          <w:szCs w:val="32"/>
          <w:lang w:bidi="ar"/>
        </w:rPr>
        <w:t>三部分 20</w:t>
      </w:r>
      <w:r>
        <w:rPr>
          <w:rFonts w:hint="eastAsia" w:ascii="仿宋" w:hAnsi="仿宋" w:eastAsia="仿宋" w:cs="黑体"/>
          <w:b/>
          <w:color w:val="000000"/>
          <w:kern w:val="0"/>
          <w:sz w:val="32"/>
          <w:szCs w:val="32"/>
          <w:lang w:val="en-US" w:eastAsia="zh-CN" w:bidi="ar"/>
        </w:rPr>
        <w:t>20</w:t>
      </w:r>
      <w:r>
        <w:rPr>
          <w:rFonts w:ascii="仿宋" w:hAnsi="仿宋" w:eastAsia="仿宋" w:cs="黑体"/>
          <w:b/>
          <w:color w:val="000000"/>
          <w:kern w:val="0"/>
          <w:sz w:val="32"/>
          <w:szCs w:val="32"/>
          <w:lang w:bidi="ar"/>
        </w:rPr>
        <w:t xml:space="preserve"> 年度部门决算情况说明</w:t>
      </w:r>
    </w:p>
    <w:p>
      <w:pPr>
        <w:spacing w:line="560" w:lineRule="exact"/>
        <w:rPr>
          <w:rFonts w:ascii="仿宋" w:hAnsi="仿宋" w:eastAsia="仿宋" w:cs="黑体"/>
          <w:color w:val="000000"/>
          <w:kern w:val="0"/>
          <w:sz w:val="32"/>
          <w:szCs w:val="32"/>
          <w:lang w:bidi="ar"/>
        </w:rPr>
      </w:pPr>
    </w:p>
    <w:p>
      <w:pPr>
        <w:spacing w:line="5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一、收入决算说明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 xml:space="preserve">  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年收入决算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</w:t>
      </w:r>
      <w:r>
        <w:rPr>
          <w:rFonts w:hint="eastAsia" w:ascii="仿宋_GB2312" w:eastAsia="仿宋_GB2312"/>
          <w:sz w:val="32"/>
          <w:szCs w:val="32"/>
          <w:lang w:eastAsia="zh-CN"/>
        </w:rPr>
        <w:t>万元。其中：当年财政拨款收入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</w:t>
      </w:r>
      <w:r>
        <w:rPr>
          <w:rFonts w:hint="eastAsia" w:ascii="仿宋_GB2312" w:eastAsia="仿宋_GB2312"/>
          <w:sz w:val="32"/>
          <w:szCs w:val="32"/>
          <w:lang w:eastAsia="zh-CN"/>
        </w:rPr>
        <w:t>万元（其中专项业务费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200万元），比上年减少84.5万元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snapToGrid w:val="0"/>
        <w:spacing w:line="520" w:lineRule="exact"/>
        <w:ind w:firstLine="600" w:firstLineChars="200"/>
        <w:rPr>
          <w:rFonts w:hint="eastAsia" w:ascii="仿宋" w:hAnsi="仿宋" w:eastAsia="仿宋"/>
          <w:sz w:val="30"/>
          <w:szCs w:val="30"/>
        </w:rPr>
      </w:pPr>
    </w:p>
    <w:p>
      <w:pPr>
        <w:spacing w:line="560" w:lineRule="exact"/>
        <w:ind w:firstLine="630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二、支出决算说明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年支出决算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万元，财政拨款支出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万元（基本支出拨款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247万元，比上年减少84.5万元，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其中专项业务费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200万元</w:t>
      </w:r>
      <w:r>
        <w:rPr>
          <w:rFonts w:hint="eastAsia" w:ascii="仿宋_GB2312" w:eastAsia="仿宋_GB2312"/>
          <w:sz w:val="32"/>
          <w:szCs w:val="32"/>
          <w:lang w:eastAsia="zh-CN"/>
        </w:rPr>
        <w:t>），比上年比无变化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>年财政拨款支出按用途划，其中：（基本支出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247</w:t>
      </w:r>
      <w:r>
        <w:rPr>
          <w:rFonts w:hint="eastAsia" w:ascii="仿宋_GB2312" w:eastAsia="仿宋_GB2312"/>
          <w:sz w:val="32"/>
          <w:szCs w:val="32"/>
          <w:lang w:eastAsia="zh-CN"/>
        </w:rPr>
        <w:t>万元，比上年减少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84.5万元，其中</w:t>
      </w:r>
      <w:r>
        <w:rPr>
          <w:rFonts w:hint="eastAsia" w:ascii="仿宋_GB2312" w:eastAsia="仿宋_GB2312"/>
          <w:sz w:val="32"/>
          <w:szCs w:val="32"/>
          <w:lang w:eastAsia="zh-CN"/>
        </w:rPr>
        <w:t>专项业务费支出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200万元</w:t>
      </w:r>
      <w:r>
        <w:rPr>
          <w:rFonts w:hint="eastAsia" w:ascii="仿宋_GB2312" w:eastAsia="仿宋_GB2312"/>
          <w:sz w:val="32"/>
          <w:szCs w:val="32"/>
          <w:lang w:eastAsia="zh-CN"/>
        </w:rPr>
        <w:t>），较上年无变化。</w:t>
      </w:r>
    </w:p>
    <w:p>
      <w:pPr>
        <w:spacing w:line="540" w:lineRule="exact"/>
        <w:ind w:left="643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b/>
          <w:sz w:val="32"/>
          <w:szCs w:val="32"/>
        </w:rPr>
        <w:t>“三公经费”支出说明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年“三公经费”财政拨款支出共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sz w:val="32"/>
          <w:szCs w:val="32"/>
          <w:lang w:eastAsia="zh-CN"/>
        </w:rPr>
        <w:t>万元，与上年决算数无变化。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具体情况如下：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1. 因公出国（境）费 无 支出；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2. 公务用车购置及运行维护费支出0 万元，具体是：公务车保有量0 辆，全年运行维护费支出 0万元，同比减少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lang w:eastAsia="zh-CN"/>
        </w:rPr>
        <w:t>万元，减少原因为公车改革，车辆交由车改办统一处置。</w:t>
      </w:r>
    </w:p>
    <w:p>
      <w:pPr>
        <w:ind w:firstLine="480" w:firstLineChars="15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3、公务接待费支出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0.9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 万元，同比无变化。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/>
          <w:b/>
          <w:sz w:val="30"/>
          <w:szCs w:val="30"/>
        </w:rPr>
        <w:t>、机关运行经费支出说明</w:t>
      </w:r>
    </w:p>
    <w:p>
      <w:pPr>
        <w:ind w:firstLine="480" w:firstLineChars="1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年机关运行经费支出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229.36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（基本支出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29.36万元，专项业务费200万元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主要用于各类接待业务活动开支，</w:t>
      </w:r>
      <w:r>
        <w:rPr>
          <w:rFonts w:hint="eastAsia" w:ascii="仿宋_GB2312" w:eastAsia="仿宋_GB2312"/>
          <w:sz w:val="32"/>
          <w:szCs w:val="32"/>
        </w:rPr>
        <w:t>政府举办各类公益推广活动</w:t>
      </w:r>
      <w:r>
        <w:rPr>
          <w:rFonts w:hint="eastAsia" w:ascii="仿宋_GB2312" w:eastAsia="仿宋_GB2312"/>
          <w:sz w:val="32"/>
          <w:szCs w:val="32"/>
          <w:lang w:eastAsia="zh-CN"/>
        </w:rPr>
        <w:t>开支</w:t>
      </w:r>
      <w:r>
        <w:rPr>
          <w:rFonts w:hint="eastAsia" w:ascii="黑体" w:hAnsi="黑体" w:eastAsia="黑体"/>
          <w:sz w:val="32"/>
          <w:szCs w:val="32"/>
        </w:rPr>
        <w:t>。</w:t>
      </w:r>
    </w:p>
    <w:p>
      <w:pPr>
        <w:snapToGrid w:val="0"/>
        <w:spacing w:line="520" w:lineRule="exact"/>
        <w:ind w:firstLine="600" w:firstLineChars="200"/>
        <w:rPr>
          <w:rFonts w:hint="default" w:ascii="仿宋" w:hAnsi="仿宋" w:eastAsia="仿宋_GB2312"/>
          <w:sz w:val="30"/>
          <w:szCs w:val="30"/>
          <w:lang w:val="en-US" w:eastAsia="zh-CN"/>
        </w:rPr>
      </w:pP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/>
          <w:b/>
          <w:sz w:val="30"/>
          <w:szCs w:val="30"/>
        </w:rPr>
        <w:t>、政府采购支出说明</w:t>
      </w:r>
    </w:p>
    <w:p>
      <w:pPr>
        <w:spacing w:line="540" w:lineRule="exac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年政府采购支出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0万元</w:t>
      </w:r>
    </w:p>
    <w:p>
      <w:pPr>
        <w:snapToGrid w:val="0"/>
        <w:spacing w:line="520" w:lineRule="exact"/>
        <w:ind w:firstLine="602" w:firstLineChars="200"/>
        <w:rPr>
          <w:rFonts w:hint="eastAsia"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六</w:t>
      </w:r>
      <w:r>
        <w:rPr>
          <w:rFonts w:hint="eastAsia" w:ascii="仿宋" w:hAnsi="仿宋" w:eastAsia="仿宋"/>
          <w:b/>
          <w:sz w:val="30"/>
          <w:szCs w:val="30"/>
        </w:rPr>
        <w:t>、关于国有资产占用情况说明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截至20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 xml:space="preserve">年12月31日，共有车辆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 xml:space="preserve"> 辆，其中，单位价值50万元以上通用设备0台（套）；单位价值100万元以上专用设备 0台（套）。</w:t>
      </w:r>
    </w:p>
    <w:p>
      <w:pPr>
        <w:spacing w:line="540" w:lineRule="exact"/>
        <w:ind w:firstLine="602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七、关于2020年度预算绩效情况的说明</w:t>
      </w:r>
    </w:p>
    <w:p>
      <w:pPr>
        <w:spacing w:line="540" w:lineRule="exact"/>
        <w:ind w:firstLine="602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根据预算绩效管理要求，对20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年度一般公共预算项目支出全面开展绩效自评，共涉及资金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</w:rPr>
        <w:t>万元，占一般公共预算项目支出总额的100 %；对20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年度政府性基金预算项目支出开展绩效自评，共涉及资金 0  万元，占政府性基金预算项目支出总额的 0 %。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八、进行部门决算分析。</w:t>
      </w:r>
    </w:p>
    <w:p>
      <w:pPr>
        <w:widowControl/>
        <w:spacing w:line="540" w:lineRule="exact"/>
        <w:ind w:firstLine="627" w:firstLineChars="196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单位严格按照县财政局的要求和部署，切实加强单位的财务管理，及时安排专人办理决算的组织、编报工作，并按要求对决算进行了公开。今后的财务工作要进一步规范，加强预算管理，完善内部控制，合理支出，厉行节约，提高资金使用效益。</w:t>
      </w:r>
    </w:p>
    <w:p>
      <w:pPr>
        <w:spacing w:line="540" w:lineRule="exact"/>
        <w:ind w:firstLine="602" w:firstLineChars="200"/>
        <w:rPr>
          <w:rFonts w:hint="eastAsia" w:ascii="仿宋" w:hAnsi="仿宋" w:eastAsia="仿宋"/>
          <w:b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/>
          <w:sz w:val="30"/>
          <w:szCs w:val="30"/>
          <w:lang w:val="en-US" w:eastAsia="zh-CN"/>
        </w:rPr>
        <w:t>九、提出改进措施。</w:t>
      </w:r>
    </w:p>
    <w:p>
      <w:pPr>
        <w:ind w:left="479" w:leftChars="228" w:firstLine="160" w:firstLineChars="5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重点是在下一年度的部门预算分析、决算中进行完善。要进一步规范财务工作，加强预算管理，完善内部控制，合理支出，厉行节约，提高资金使用效益。</w:t>
      </w:r>
    </w:p>
    <w:p>
      <w:pPr>
        <w:widowControl/>
        <w:spacing w:line="600" w:lineRule="exact"/>
        <w:jc w:val="left"/>
        <w:rPr>
          <w:rFonts w:ascii="仿宋_GB2312" w:hAnsi="仿宋_GB2312"/>
          <w:color w:val="000000"/>
          <w:kern w:val="0"/>
          <w:sz w:val="32"/>
          <w:szCs w:val="3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</w:p>
    <w:p>
      <w:pPr>
        <w:widowControl/>
        <w:spacing w:line="600" w:lineRule="exact"/>
        <w:jc w:val="left"/>
        <w:rPr>
          <w:sz w:val="72"/>
          <w:szCs w:val="72"/>
        </w:rPr>
      </w:pPr>
      <w:r>
        <w:rPr>
          <w:rFonts w:ascii="仿宋_GB2312" w:hAnsi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/>
          <w:sz w:val="72"/>
          <w:szCs w:val="72"/>
        </w:rPr>
        <w:t xml:space="preserve"> </w:t>
      </w:r>
    </w:p>
    <w:p>
      <w:pPr>
        <w:widowControl/>
        <w:spacing w:line="600" w:lineRule="exact"/>
        <w:jc w:val="center"/>
        <w:rPr>
          <w:rFonts w:hint="eastAsia" w:ascii="方正小标宋_GBK" w:hAnsi="方正小标宋_GBK"/>
          <w:bCs/>
          <w:kern w:val="0"/>
          <w:sz w:val="36"/>
          <w:szCs w:val="36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>第四部分 名词解释</w:t>
      </w:r>
    </w:p>
    <w:p>
      <w:pPr>
        <w:widowControl/>
        <w:jc w:val="left"/>
        <w:rPr>
          <w:rFonts w:ascii="宋体" w:hAnsi="宋体" w:cs="黑体"/>
          <w:color w:val="000000"/>
          <w:kern w:val="0"/>
          <w:sz w:val="32"/>
          <w:szCs w:val="32"/>
        </w:rPr>
      </w:pPr>
      <w:r>
        <w:rPr>
          <w:rFonts w:hint="eastAsia" w:ascii="宋体" w:hAnsi="宋体" w:cs="黑体"/>
          <w:color w:val="000000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一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财政拨款收入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：指单位从同级财政部门取得的财政预算资金。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二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事业收入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：指事业单位开展专业业务活动及辅助活动取得的收入。如：中国财政杂志社的刊物发行收入，中国注册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会计师协会、中国资产评估协会、中国国债协会、中国会计学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会收取的会费收入等。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（三）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其他收入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：指单位取得的除上述收入以外的各项收入。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主要是按规定动用的售房收入、存款利息收入等。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（四）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用事业基金弥补收支差额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：指事业单位在当年的财政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拨款收入、事业收入、其他收入不足以安排当年支出的情况下，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使用以前年度积累的事业基金（事业单位当年收支相抵后按国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家规定提取、用于弥补以后年度收支差额的基金）弥补本年度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收支缺口的资金。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（五）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年初结转和结余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：指单位以前年度尚未完成、结转到 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本年按有关规定继续使用的资金。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（六）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结余分配：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指事业单位按照会计制度规定缴纳的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所得税以及从非财政补助结余中提取的职工福利基金、事业基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金等。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（七）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年末结转和结余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：指单位按有关规定结转到下年或 </w:t>
      </w:r>
    </w:p>
    <w:p>
      <w:pPr>
        <w:widowControl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以后年度继续使用的资金。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（八）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基本支出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：指单位为保障其机构正常运转、完成日常工作任务而发生的人员支出和公用支出。 </w:t>
      </w:r>
    </w:p>
    <w:p>
      <w:pPr>
        <w:widowControl/>
        <w:ind w:firstLine="643" w:firstLineChars="200"/>
        <w:jc w:val="left"/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（九）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“三公”经费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 xml:space="preserve">：纳入中央财政预决算管理的“三公”经费，是指中央部门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燃料费、维修费、过桥过路费、保险费、安全奖励费用等支出；公务接待费反映单位按规定开支的各类公务接待（含外宾接待）支出。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（十）</w:t>
      </w:r>
      <w:r>
        <w:rPr>
          <w:rFonts w:ascii="仿宋_GB2312" w:hAnsi="仿宋_GB2312" w:eastAsia="仿宋_GB2312" w:cs="仿宋_GB2312"/>
          <w:b/>
          <w:color w:val="000000"/>
          <w:kern w:val="0"/>
          <w:sz w:val="32"/>
          <w:szCs w:val="32"/>
          <w:lang w:bidi="ar"/>
        </w:rPr>
        <w:t>机关运行经费</w:t>
      </w: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：指为保障行政单位（含参照公务员法管理的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 以及其他费用。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i/>
          <w:color w:val="FF0000"/>
          <w:kern w:val="0"/>
          <w:sz w:val="32"/>
          <w:szCs w:val="32"/>
        </w:rPr>
      </w:pPr>
      <w:r>
        <w:rPr>
          <w:rFonts w:hint="eastAsia" w:ascii="宋体" w:hAnsi="宋体"/>
          <w:i/>
          <w:color w:val="FF0000"/>
          <w:kern w:val="0"/>
          <w:sz w:val="32"/>
          <w:szCs w:val="32"/>
        </w:rPr>
        <w:t xml:space="preserve"> </w:t>
      </w:r>
    </w:p>
    <w:p>
      <w:pPr>
        <w:widowControl/>
        <w:jc w:val="left"/>
        <w:rPr>
          <w:rFonts w:ascii="宋体" w:hAnsi="宋体"/>
          <w:sz w:val="72"/>
          <w:szCs w:val="72"/>
        </w:rPr>
      </w:pPr>
      <w:r>
        <w:rPr>
          <w:rFonts w:hint="eastAsia" w:ascii="宋体" w:hAnsi="宋体"/>
          <w:sz w:val="72"/>
          <w:szCs w:val="72"/>
        </w:rPr>
        <w:t xml:space="preserve"> </w:t>
      </w:r>
    </w:p>
    <w:p>
      <w:pPr>
        <w:widowControl/>
        <w:jc w:val="center"/>
        <w:rPr>
          <w:rFonts w:ascii="宋体" w:hAnsi="宋体"/>
          <w:sz w:val="72"/>
          <w:szCs w:val="72"/>
        </w:rPr>
      </w:pPr>
      <w:r>
        <w:rPr>
          <w:rFonts w:ascii="方正小标宋_GBK" w:hAnsi="方正小标宋_GBK"/>
          <w:bCs/>
          <w:kern w:val="0"/>
          <w:sz w:val="36"/>
          <w:szCs w:val="36"/>
        </w:rPr>
        <w:t>第五部分 附件</w:t>
      </w:r>
    </w:p>
    <w:p>
      <w:pPr>
        <w:jc w:val="center"/>
        <w:rPr>
          <w:rFonts w:ascii="黑体" w:hAnsi="黑体" w:eastAsia="黑体"/>
          <w:color w:val="000000"/>
          <w:kern w:val="0"/>
          <w:sz w:val="70"/>
          <w:szCs w:val="70"/>
        </w:rPr>
      </w:pPr>
      <w:r>
        <w:rPr>
          <w:rFonts w:hint="eastAsia" w:ascii="黑体" w:hAnsi="黑体" w:eastAsia="黑体"/>
          <w:color w:val="000000"/>
          <w:kern w:val="0"/>
          <w:sz w:val="70"/>
          <w:szCs w:val="70"/>
        </w:rPr>
        <w:t xml:space="preserve"> </w:t>
      </w:r>
    </w:p>
    <w:p>
      <w:pPr>
        <w:ind w:firstLine="640" w:firstLineChars="200"/>
        <w:jc w:val="left"/>
        <w:rPr>
          <w:rFonts w:ascii="黑体" w:hAnsi="黑体" w:eastAsia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eastAsia="zh-CN"/>
        </w:rPr>
        <w:t>2020</w:t>
      </w:r>
      <w:r>
        <w:rPr>
          <w:rFonts w:hint="eastAsia" w:ascii="黑体" w:hAnsi="黑体" w:eastAsia="黑体"/>
          <w:color w:val="000000"/>
          <w:kern w:val="0"/>
          <w:sz w:val="32"/>
          <w:szCs w:val="32"/>
        </w:rPr>
        <w:t>年度部门整体支出绩效评价报告</w:t>
      </w:r>
    </w:p>
    <w:p>
      <w:pPr>
        <w:ind w:firstLine="420" w:firstLineChars="200"/>
        <w:jc w:val="left"/>
        <w:rPr>
          <w:rFonts w:ascii="宋体" w:hAnsi="宋体"/>
        </w:rPr>
      </w:pPr>
    </w:p>
    <w:p>
      <w:pPr>
        <w:spacing w:line="6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object>
          <v:shape id="_x0000_i1025" o:spt="75" type="#_x0000_t75" style="height:42.75pt;width:260.25pt;" o:ole="t" filled="f" o:preferrelative="t" stroked="f" coordsize="21600,21600">
            <v:path/>
            <v:fill on="f" focussize="0,0"/>
            <v:stroke on="f"/>
            <v:imagedata r:id="rId12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11">
            <o:LockedField>false</o:LockedField>
          </o:OLEObject>
        </w:object>
      </w:r>
    </w:p>
    <w:p>
      <w:pPr>
        <w:spacing w:line="6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spacing w:line="60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F77561"/>
    <w:multiLevelType w:val="singleLevel"/>
    <w:tmpl w:val="83F775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5779"/>
    <w:rsid w:val="002643A2"/>
    <w:rsid w:val="00782F9E"/>
    <w:rsid w:val="00D05779"/>
    <w:rsid w:val="00E03797"/>
    <w:rsid w:val="00F525D1"/>
    <w:rsid w:val="01C81A2E"/>
    <w:rsid w:val="024C5075"/>
    <w:rsid w:val="02614670"/>
    <w:rsid w:val="03E15AA7"/>
    <w:rsid w:val="0421066A"/>
    <w:rsid w:val="0424390B"/>
    <w:rsid w:val="066C37B4"/>
    <w:rsid w:val="08B605E0"/>
    <w:rsid w:val="0CEB3A28"/>
    <w:rsid w:val="0D922CBF"/>
    <w:rsid w:val="0DA92916"/>
    <w:rsid w:val="0E594122"/>
    <w:rsid w:val="0FD92164"/>
    <w:rsid w:val="109A697C"/>
    <w:rsid w:val="10EA1191"/>
    <w:rsid w:val="11337B62"/>
    <w:rsid w:val="12040867"/>
    <w:rsid w:val="12DD5E2A"/>
    <w:rsid w:val="15256413"/>
    <w:rsid w:val="17ED00D3"/>
    <w:rsid w:val="1990050F"/>
    <w:rsid w:val="19BF6416"/>
    <w:rsid w:val="1ED94D4B"/>
    <w:rsid w:val="1F015BB6"/>
    <w:rsid w:val="24E35C07"/>
    <w:rsid w:val="25465B14"/>
    <w:rsid w:val="25DA5B37"/>
    <w:rsid w:val="2696787C"/>
    <w:rsid w:val="26C13EF7"/>
    <w:rsid w:val="270E1717"/>
    <w:rsid w:val="27E72D02"/>
    <w:rsid w:val="2B9136AA"/>
    <w:rsid w:val="2F534C13"/>
    <w:rsid w:val="2F9075C8"/>
    <w:rsid w:val="2FE835F7"/>
    <w:rsid w:val="30803595"/>
    <w:rsid w:val="313005B5"/>
    <w:rsid w:val="317A0A82"/>
    <w:rsid w:val="31A47A6F"/>
    <w:rsid w:val="31EA3173"/>
    <w:rsid w:val="335A1BEF"/>
    <w:rsid w:val="35CE78D1"/>
    <w:rsid w:val="3F02561C"/>
    <w:rsid w:val="41266DFF"/>
    <w:rsid w:val="413B5AB0"/>
    <w:rsid w:val="41AD3A50"/>
    <w:rsid w:val="428D6EB8"/>
    <w:rsid w:val="42AE6CE1"/>
    <w:rsid w:val="46071BC4"/>
    <w:rsid w:val="46452A1B"/>
    <w:rsid w:val="47711929"/>
    <w:rsid w:val="48585AD2"/>
    <w:rsid w:val="494400D4"/>
    <w:rsid w:val="4A887A4A"/>
    <w:rsid w:val="4D222536"/>
    <w:rsid w:val="4DE0752E"/>
    <w:rsid w:val="4F012921"/>
    <w:rsid w:val="50AD212C"/>
    <w:rsid w:val="51166E32"/>
    <w:rsid w:val="52C16B8F"/>
    <w:rsid w:val="531D31A4"/>
    <w:rsid w:val="561E459F"/>
    <w:rsid w:val="56F02256"/>
    <w:rsid w:val="5730569E"/>
    <w:rsid w:val="58C73058"/>
    <w:rsid w:val="59CD5B1F"/>
    <w:rsid w:val="59F86F1B"/>
    <w:rsid w:val="5A7906FC"/>
    <w:rsid w:val="5BE5667B"/>
    <w:rsid w:val="5C2B4644"/>
    <w:rsid w:val="5EDD1310"/>
    <w:rsid w:val="5F2951B3"/>
    <w:rsid w:val="5F837853"/>
    <w:rsid w:val="65625283"/>
    <w:rsid w:val="65743D95"/>
    <w:rsid w:val="679C49ED"/>
    <w:rsid w:val="68097613"/>
    <w:rsid w:val="682302D2"/>
    <w:rsid w:val="69CA32A3"/>
    <w:rsid w:val="6ABB361F"/>
    <w:rsid w:val="6C61150E"/>
    <w:rsid w:val="6CAA435E"/>
    <w:rsid w:val="701E41B8"/>
    <w:rsid w:val="70667477"/>
    <w:rsid w:val="70705FC9"/>
    <w:rsid w:val="70802743"/>
    <w:rsid w:val="72EB643C"/>
    <w:rsid w:val="734453C3"/>
    <w:rsid w:val="73F15B90"/>
    <w:rsid w:val="750F5E8C"/>
    <w:rsid w:val="75C46E15"/>
    <w:rsid w:val="76760BB4"/>
    <w:rsid w:val="7A35278F"/>
    <w:rsid w:val="7B8A326A"/>
    <w:rsid w:val="7D1A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8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ascii="黑体" w:hAnsi="Calibri" w:eastAsia="黑体" w:cs="宋体"/>
      <w:color w:val="000000"/>
      <w:kern w:val="0"/>
      <w:sz w:val="24"/>
      <w:szCs w:val="24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10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13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emf"/><Relationship Id="rId8" Type="http://schemas.openxmlformats.org/officeDocument/2006/relationships/image" Target="media/image5.emf"/><Relationship Id="rId7" Type="http://schemas.openxmlformats.org/officeDocument/2006/relationships/image" Target="media/image4.emf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emf"/><Relationship Id="rId11" Type="http://schemas.openxmlformats.org/officeDocument/2006/relationships/oleObject" Target="embeddings/oleObject1.bin"/><Relationship Id="rId10" Type="http://schemas.openxmlformats.org/officeDocument/2006/relationships/image" Target="media/image7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17</Pages>
  <Words>3246</Words>
  <Characters>727</Characters>
  <Lines>6</Lines>
  <Paragraphs>7</Paragraphs>
  <TotalTime>1</TotalTime>
  <ScaleCrop>false</ScaleCrop>
  <LinksUpToDate>false</LinksUpToDate>
  <CharactersWithSpaces>3966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2021-06-02T01:58:00Z</dcterms:created>
  <dc:creator>Administrator</dc:creator>
  <cp:lastModifiedBy>Administrator</cp:lastModifiedBy>
  <dcterms:modified xsi:type="dcterms:W3CDTF">2021-08-09T09:26:26Z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4D54DC7D5B234B769FEA9A394F4B74E6</vt:lpwstr>
  </property>
</Properties>
</file>