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ascii="黑体" w:hAnsi="黑体" w:eastAsia="黑体" w:cs="Times New Roman"/>
          <w:b/>
          <w:bCs/>
          <w:color w:val="666666"/>
          <w:w w:val="90"/>
          <w:kern w:val="0"/>
          <w:sz w:val="44"/>
          <w:szCs w:val="44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color w:val="222222"/>
          <w:w w:val="90"/>
          <w:kern w:val="0"/>
          <w:sz w:val="44"/>
          <w:szCs w:val="44"/>
          <w:lang w:eastAsia="zh-CN"/>
        </w:rPr>
        <w:t>2016</w:t>
      </w:r>
      <w:r>
        <w:rPr>
          <w:rFonts w:hint="eastAsia" w:ascii="黑体" w:hAnsi="黑体" w:eastAsia="黑体" w:cs="黑体"/>
          <w:b/>
          <w:bCs/>
          <w:color w:val="222222"/>
          <w:w w:val="90"/>
          <w:kern w:val="0"/>
          <w:sz w:val="44"/>
          <w:szCs w:val="44"/>
          <w:lang w:eastAsia="zh-CN"/>
        </w:rPr>
        <w:t>年度东安县政协部门整体支出绩效评价报告</w:t>
      </w:r>
    </w:p>
    <w:p>
      <w:pPr>
        <w:widowControl/>
        <w:shd w:val="clear" w:color="auto" w:fill="FFFFFF"/>
        <w:spacing w:line="560" w:lineRule="exact"/>
        <w:jc w:val="left"/>
        <w:rPr>
          <w:rFonts w:ascii="宋体" w:cs="Times New Roman"/>
          <w:b/>
          <w:bCs/>
          <w:color w:val="666666"/>
          <w:kern w:val="0"/>
          <w:sz w:val="36"/>
          <w:szCs w:val="36"/>
          <w:lang w:eastAsia="zh-CN"/>
        </w:rPr>
      </w:pPr>
      <w:r>
        <w:rPr>
          <w:rFonts w:ascii="宋体" w:hAnsi="宋体" w:cs="宋体"/>
          <w:b/>
          <w:bCs/>
          <w:color w:val="222222"/>
          <w:kern w:val="0"/>
          <w:sz w:val="36"/>
          <w:szCs w:val="36"/>
          <w:lang w:eastAsia="zh-CN"/>
        </w:rPr>
        <w:t xml:space="preserve"> </w:t>
      </w:r>
    </w:p>
    <w:p>
      <w:pPr>
        <w:widowControl/>
        <w:shd w:val="clear" w:color="auto" w:fill="FFFFFF"/>
        <w:autoSpaceDE w:val="0"/>
        <w:spacing w:line="560" w:lineRule="exact"/>
        <w:ind w:firstLine="643" w:firstLineChars="200"/>
        <w:jc w:val="left"/>
        <w:rPr>
          <w:rFonts w:ascii="黑体" w:hAnsi="黑体" w:eastAsia="黑体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222222"/>
          <w:kern w:val="0"/>
          <w:sz w:val="32"/>
          <w:szCs w:val="32"/>
          <w:lang w:eastAsia="zh-CN"/>
        </w:rPr>
        <w:t>一、部门概况</w:t>
      </w:r>
    </w:p>
    <w:p>
      <w:pPr>
        <w:spacing w:line="560" w:lineRule="exact"/>
        <w:ind w:left="160" w:leftChars="76" w:firstLine="498" w:firstLineChars="155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sz w:val="32"/>
          <w:szCs w:val="32"/>
        </w:rPr>
        <w:t>一）部门基本情况</w:t>
      </w:r>
    </w:p>
    <w:p>
      <w:pPr>
        <w:spacing w:line="560" w:lineRule="exact"/>
        <w:ind w:firstLine="643" w:firstLineChars="200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仿宋_GB2312"/>
          <w:b/>
          <w:bCs/>
          <w:sz w:val="32"/>
          <w:szCs w:val="32"/>
          <w:lang w:eastAsia="zh-CN"/>
        </w:rPr>
        <w:t>1.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部门机构设置、主要工作职责</w:t>
      </w:r>
    </w:p>
    <w:p>
      <w:pPr>
        <w:spacing w:line="56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县政协机关内设办公室、提案委、联谊委、文史委、经科委。主要职能：政治协商、民主监督、参政议政。</w:t>
      </w:r>
    </w:p>
    <w:p>
      <w:pPr>
        <w:spacing w:line="560" w:lineRule="exact"/>
        <w:ind w:firstLine="643" w:firstLineChars="200"/>
        <w:rPr>
          <w:rFonts w:ascii="仿宋_GB2312" w:hAnsi="黑体" w:eastAsia="仿宋_GB2312" w:cs="Times New Roman"/>
          <w:b/>
          <w:bCs/>
          <w:sz w:val="32"/>
          <w:szCs w:val="32"/>
        </w:rPr>
      </w:pPr>
      <w:r>
        <w:rPr>
          <w:rFonts w:ascii="仿宋_GB2312" w:hAnsi="黑体" w:eastAsia="仿宋_GB2312" w:cs="仿宋_GB2312"/>
          <w:b/>
          <w:bCs/>
          <w:sz w:val="32"/>
          <w:szCs w:val="32"/>
          <w:lang w:eastAsia="zh-CN"/>
        </w:rPr>
        <w:t>2.</w:t>
      </w:r>
      <w:r>
        <w:rPr>
          <w:rFonts w:hint="eastAsia" w:ascii="仿宋_GB2312" w:hAnsi="黑体" w:eastAsia="仿宋_GB2312" w:cs="仿宋_GB2312"/>
          <w:b/>
          <w:bCs/>
          <w:sz w:val="32"/>
          <w:szCs w:val="32"/>
        </w:rPr>
        <w:t>人员构成情况</w:t>
      </w:r>
    </w:p>
    <w:p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县政协人员编制数</w:t>
      </w:r>
      <w:r>
        <w:rPr>
          <w:rFonts w:ascii="仿宋_GB2312" w:hAnsi="仿宋" w:eastAsia="仿宋_GB2312" w:cs="仿宋_GB2312"/>
          <w:sz w:val="32"/>
          <w:szCs w:val="32"/>
        </w:rPr>
        <w:t>24</w:t>
      </w:r>
      <w:r>
        <w:rPr>
          <w:rFonts w:hint="eastAsia" w:ascii="仿宋_GB2312" w:hAnsi="仿宋" w:eastAsia="仿宋_GB2312" w:cs="仿宋_GB2312"/>
          <w:sz w:val="32"/>
          <w:szCs w:val="32"/>
        </w:rPr>
        <w:t>人，</w:t>
      </w:r>
      <w:r>
        <w:rPr>
          <w:rFonts w:ascii="仿宋_GB2312" w:hAnsi="仿宋" w:eastAsia="仿宋_GB2312" w:cs="仿宋_GB2312"/>
          <w:sz w:val="32"/>
          <w:szCs w:val="32"/>
        </w:rPr>
        <w:t>2016</w:t>
      </w:r>
      <w:r>
        <w:rPr>
          <w:rFonts w:hint="eastAsia" w:ascii="仿宋_GB2312" w:hAnsi="仿宋" w:eastAsia="仿宋_GB2312" w:cs="仿宋_GB2312"/>
          <w:sz w:val="32"/>
          <w:szCs w:val="32"/>
        </w:rPr>
        <w:t>年末实有在职干部职工</w:t>
      </w:r>
      <w:r>
        <w:rPr>
          <w:rFonts w:ascii="仿宋_GB2312" w:hAnsi="仿宋" w:eastAsia="仿宋_GB2312" w:cs="仿宋_GB2312"/>
          <w:sz w:val="32"/>
          <w:szCs w:val="32"/>
        </w:rPr>
        <w:t>24</w:t>
      </w:r>
      <w:r>
        <w:rPr>
          <w:rFonts w:hint="eastAsia" w:ascii="仿宋_GB2312" w:hAnsi="仿宋" w:eastAsia="仿宋_GB2312" w:cs="仿宋_GB2312"/>
          <w:sz w:val="32"/>
          <w:szCs w:val="32"/>
        </w:rPr>
        <w:t>人。</w:t>
      </w:r>
    </w:p>
    <w:p>
      <w:pPr>
        <w:spacing w:line="560" w:lineRule="exact"/>
        <w:ind w:firstLine="643" w:firstLineChars="200"/>
        <w:rPr>
          <w:rFonts w:ascii="仿宋_GB2312" w:hAnsi="黑体" w:eastAsia="仿宋_GB2312" w:cs="Times New Roman"/>
          <w:b/>
          <w:bCs/>
          <w:sz w:val="32"/>
          <w:szCs w:val="32"/>
        </w:rPr>
      </w:pPr>
      <w:r>
        <w:rPr>
          <w:rFonts w:ascii="仿宋_GB2312" w:hAnsi="黑体" w:eastAsia="仿宋_GB2312" w:cs="仿宋_GB2312"/>
          <w:b/>
          <w:bCs/>
          <w:sz w:val="32"/>
          <w:szCs w:val="32"/>
          <w:lang w:eastAsia="zh-CN"/>
        </w:rPr>
        <w:t>3.</w:t>
      </w:r>
      <w:r>
        <w:rPr>
          <w:rFonts w:ascii="仿宋_GB2312" w:hAnsi="黑体" w:eastAsia="仿宋_GB2312" w:cs="仿宋_GB2312"/>
          <w:b/>
          <w:bCs/>
          <w:sz w:val="32"/>
          <w:szCs w:val="32"/>
        </w:rPr>
        <w:t>2016</w:t>
      </w:r>
      <w:r>
        <w:rPr>
          <w:rFonts w:hint="eastAsia" w:ascii="仿宋_GB2312" w:hAnsi="黑体" w:eastAsia="仿宋_GB2312" w:cs="仿宋_GB2312"/>
          <w:b/>
          <w:bCs/>
          <w:sz w:val="32"/>
          <w:szCs w:val="32"/>
        </w:rPr>
        <w:t>年工作完成情况</w:t>
      </w:r>
    </w:p>
    <w:p>
      <w:pPr>
        <w:spacing w:line="56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b/>
          <w:bCs/>
          <w:sz w:val="32"/>
          <w:szCs w:val="32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政治协商有序开展。</w:t>
      </w:r>
      <w:r>
        <w:rPr>
          <w:rFonts w:hint="eastAsia" w:ascii="仿宋" w:hAnsi="仿宋" w:eastAsia="仿宋" w:cs="仿宋"/>
          <w:sz w:val="32"/>
          <w:szCs w:val="32"/>
        </w:rPr>
        <w:t>县政协常委会紧紧围绕全县中心工作，充分开展政治协商，形成了全体会议、常委会议、主席会议多层次政治协商格局。一年来，召开委员全体会议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次，常委会议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次，主席会议</w:t>
      </w:r>
      <w:r>
        <w:rPr>
          <w:rFonts w:ascii="仿宋" w:hAnsi="仿宋" w:eastAsia="仿宋" w:cs="仿宋"/>
          <w:sz w:val="32"/>
          <w:szCs w:val="32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次，其他的专题协商会议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次，重点就国家重点生态功能区争创、县政府提案办理、大会发言领导批示落实情况及以“一带八景建设”等一系列协商课题进行协商。特别是</w:t>
      </w:r>
      <w:r>
        <w:rPr>
          <w:rFonts w:ascii="仿宋" w:hAnsi="仿宋" w:eastAsia="仿宋" w:cs="仿宋"/>
          <w:sz w:val="32"/>
          <w:szCs w:val="32"/>
        </w:rPr>
        <w:t>2016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月份，我们根据县委常委会的意见临时增补了“争创国家卫生县城”视察协商，为县委、县政府科学决策提供了有用的建设性意见。</w:t>
      </w:r>
    </w:p>
    <w:p>
      <w:pPr>
        <w:spacing w:line="56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b/>
          <w:bCs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民主监督稳步推进。</w:t>
      </w:r>
      <w:r>
        <w:rPr>
          <w:rFonts w:hint="eastAsia" w:ascii="仿宋" w:hAnsi="仿宋" w:eastAsia="仿宋" w:cs="仿宋"/>
          <w:sz w:val="32"/>
          <w:szCs w:val="32"/>
        </w:rPr>
        <w:t>充分利用专项视察、提案办理、委员大会发言、民主评议等监督方式，释放政协正能量。一年来，县政协常委会紧紧围绕县委、县政府重点工作和人民群众普遍关注的热点问题，组织相关委员深入有关单位和部门，对“舜皇山旅游开发、争创</w:t>
      </w:r>
      <w:r>
        <w:rPr>
          <w:rFonts w:ascii="仿宋" w:hAnsi="仿宋" w:eastAsia="仿宋" w:cs="仿宋"/>
          <w:sz w:val="32"/>
          <w:szCs w:val="32"/>
        </w:rPr>
        <w:t>4A</w:t>
      </w:r>
      <w:r>
        <w:rPr>
          <w:rFonts w:hint="eastAsia" w:ascii="仿宋" w:hAnsi="仿宋" w:eastAsia="仿宋" w:cs="仿宋"/>
          <w:sz w:val="32"/>
          <w:szCs w:val="32"/>
        </w:rPr>
        <w:t>级旅游景区”、“湘江流域综合治理工程”、“农村安全饮水”等进行视察，提出意见建议</w:t>
      </w:r>
      <w:r>
        <w:rPr>
          <w:rFonts w:ascii="仿宋" w:hAnsi="仿宋" w:eastAsia="仿宋" w:cs="仿宋"/>
          <w:sz w:val="32"/>
          <w:szCs w:val="32"/>
        </w:rPr>
        <w:t xml:space="preserve"> 29</w:t>
      </w:r>
      <w:r>
        <w:rPr>
          <w:rFonts w:hint="eastAsia" w:ascii="仿宋" w:hAnsi="仿宋" w:eastAsia="仿宋" w:cs="仿宋"/>
          <w:sz w:val="32"/>
          <w:szCs w:val="32"/>
        </w:rPr>
        <w:t>条，为推动相关问题的解决发挥了积极作用。坚持以提案办理促监督，《关于加强高岩水库水源区生态环境保护，确保县城居民饮水安全》《关闭紫五坝电站，推进湿地公园建设，提升县城品质的建议》等提案，县政协契而不舍，连续提办三年，终使监督转化为成果。九届一次会上，五位委员的发言得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县委县政府</w:t>
      </w:r>
      <w:r>
        <w:rPr>
          <w:rFonts w:hint="eastAsia" w:ascii="仿宋" w:hAnsi="仿宋" w:eastAsia="仿宋" w:cs="仿宋"/>
          <w:sz w:val="32"/>
          <w:szCs w:val="32"/>
        </w:rPr>
        <w:t>主要领导的高度重视，并批示交办。另外，《关于县城禁止燃放烟花爆竹的建议》《关于加强政策支持力度，推动我县房地产去库存的建议》等提案办理，得到了县委的高度重视，县政府的大力推进，效果明显。</w:t>
      </w:r>
    </w:p>
    <w:p>
      <w:pPr>
        <w:spacing w:line="560" w:lineRule="exact"/>
        <w:ind w:firstLine="643" w:firstLineChars="200"/>
        <w:rPr>
          <w:rFonts w:ascii="仿宋" w:hAnsi="仿宋" w:eastAsia="仿宋" w:cs="Times New Roman"/>
          <w:spacing w:val="-1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b/>
          <w:bCs/>
          <w:sz w:val="32"/>
          <w:szCs w:val="32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参政议政广开言路。</w:t>
      </w:r>
      <w:r>
        <w:rPr>
          <w:rFonts w:hint="eastAsia" w:ascii="仿宋" w:hAnsi="仿宋" w:eastAsia="仿宋" w:cs="仿宋"/>
          <w:sz w:val="32"/>
          <w:szCs w:val="32"/>
        </w:rPr>
        <w:t>政协常委会充分利用政协包容性强，联系广泛，渠道特殊等优势，特别是结合“三联制度的推行”和委员扶贫“三个一”活动的开展，积极收集来自社会各方面的民意信息，向上报送各类信息</w:t>
      </w:r>
      <w:r>
        <w:rPr>
          <w:rFonts w:ascii="仿宋" w:hAnsi="仿宋" w:eastAsia="仿宋" w:cs="仿宋"/>
          <w:sz w:val="32"/>
          <w:szCs w:val="32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余条，其中《建言积极融入湘江旅游带》、《关于加强对农村流动餐馆管理的建议》、《加强农村消防工作的建议》、《洗车行业亟待加强管理》等被省政协《相声报》、永州市政协采用，引起相关部门的重视。同时，组织相关界别委员开展调查研究，完成了“基层政协协商民主建设”、“精准扶贫”、“提案办理机制创新”等课题的调查研究。其中县政协党组呈报的《基层政协协商民主建设需要注重的三个问题》获省政协理论征文三等奖；《紧扣三环节，提升提案办理实效》获市政协理论征文二等奖。</w:t>
      </w:r>
    </w:p>
    <w:p>
      <w:pPr>
        <w:spacing w:line="560" w:lineRule="exact"/>
        <w:ind w:firstLine="630" w:firstLineChars="196"/>
        <w:rPr>
          <w:rFonts w:ascii="宋体" w:cs="Times New Roman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（二）部门整体支出规模、使用方向和主要内容、涉及范围</w:t>
      </w:r>
    </w:p>
    <w:p>
      <w:pPr>
        <w:spacing w:line="560" w:lineRule="exact"/>
        <w:ind w:firstLine="630" w:firstLineChars="196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、</w:t>
      </w:r>
      <w:r>
        <w:rPr>
          <w:rFonts w:ascii="仿宋" w:hAnsi="仿宋" w:eastAsia="仿宋" w:cs="仿宋"/>
          <w:b/>
          <w:bCs/>
          <w:sz w:val="32"/>
          <w:szCs w:val="32"/>
        </w:rPr>
        <w:t>2016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年预算支出规模</w:t>
      </w:r>
    </w:p>
    <w:p>
      <w:pPr>
        <w:spacing w:line="560" w:lineRule="exact"/>
        <w:ind w:firstLine="630" w:firstLineChars="196"/>
        <w:rPr>
          <w:rFonts w:ascii="仿宋" w:hAnsi="仿宋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b/>
          <w:bCs/>
          <w:sz w:val="32"/>
          <w:szCs w:val="32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预算资金情况</w:t>
      </w:r>
    </w:p>
    <w:p>
      <w:pPr>
        <w:spacing w:line="560" w:lineRule="exact"/>
        <w:ind w:left="160" w:leftChars="76" w:firstLine="496" w:firstLineChars="155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2016</w:t>
      </w:r>
      <w:r>
        <w:rPr>
          <w:rFonts w:hint="eastAsia" w:ascii="仿宋" w:hAnsi="仿宋" w:eastAsia="仿宋" w:cs="仿宋"/>
          <w:sz w:val="32"/>
          <w:szCs w:val="32"/>
        </w:rPr>
        <w:t>年年初预算</w:t>
      </w:r>
      <w:r>
        <w:rPr>
          <w:rFonts w:ascii="仿宋_GB2312" w:hAnsi="仿宋" w:eastAsia="仿宋_GB2312" w:cs="仿宋_GB2312"/>
          <w:sz w:val="32"/>
          <w:szCs w:val="32"/>
        </w:rPr>
        <w:t>422.49</w:t>
      </w:r>
      <w:r>
        <w:rPr>
          <w:rFonts w:hint="eastAsia" w:ascii="仿宋" w:hAnsi="仿宋" w:eastAsia="仿宋" w:cs="仿宋"/>
          <w:sz w:val="32"/>
          <w:szCs w:val="32"/>
        </w:rPr>
        <w:t>万元，财政拨款支出</w:t>
      </w:r>
      <w:r>
        <w:rPr>
          <w:rFonts w:ascii="仿宋_GB2312" w:hAnsi="仿宋" w:eastAsia="仿宋_GB2312" w:cs="仿宋_GB2312"/>
          <w:sz w:val="32"/>
          <w:szCs w:val="32"/>
        </w:rPr>
        <w:t>422.49</w:t>
      </w:r>
      <w:r>
        <w:rPr>
          <w:rFonts w:hint="eastAsia" w:ascii="仿宋" w:hAnsi="仿宋" w:eastAsia="仿宋" w:cs="仿宋"/>
          <w:sz w:val="32"/>
          <w:szCs w:val="32"/>
        </w:rPr>
        <w:t>万元，与去年同比持平。其中：财政拨款</w:t>
      </w:r>
      <w:r>
        <w:rPr>
          <w:rFonts w:ascii="仿宋_GB2312" w:hAnsi="仿宋" w:eastAsia="仿宋_GB2312" w:cs="仿宋_GB2312"/>
          <w:sz w:val="32"/>
          <w:szCs w:val="32"/>
        </w:rPr>
        <w:t>422.49</w:t>
      </w:r>
      <w:r>
        <w:rPr>
          <w:rFonts w:hint="eastAsia" w:ascii="仿宋" w:hAnsi="仿宋" w:eastAsia="仿宋" w:cs="仿宋"/>
          <w:sz w:val="32"/>
          <w:szCs w:val="32"/>
        </w:rPr>
        <w:t>万元。支出预算</w:t>
      </w:r>
      <w:r>
        <w:rPr>
          <w:rFonts w:ascii="仿宋_GB2312" w:hAnsi="仿宋" w:eastAsia="仿宋_GB2312" w:cs="仿宋_GB2312"/>
          <w:sz w:val="32"/>
          <w:szCs w:val="32"/>
        </w:rPr>
        <w:t>422.49</w:t>
      </w:r>
      <w:r>
        <w:rPr>
          <w:rFonts w:hint="eastAsia" w:ascii="仿宋" w:hAnsi="仿宋" w:eastAsia="仿宋" w:cs="仿宋"/>
          <w:sz w:val="32"/>
          <w:szCs w:val="32"/>
        </w:rPr>
        <w:t>万元，其中，基本支出</w:t>
      </w:r>
      <w:r>
        <w:rPr>
          <w:rFonts w:ascii="仿宋_GB2312" w:hAnsi="仿宋" w:eastAsia="仿宋_GB2312" w:cs="仿宋_GB2312"/>
          <w:sz w:val="32"/>
          <w:szCs w:val="32"/>
        </w:rPr>
        <w:t>422.49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spacing w:line="560" w:lineRule="exact"/>
        <w:ind w:firstLine="630" w:firstLineChars="196"/>
        <w:rPr>
          <w:rFonts w:ascii="仿宋" w:hAnsi="仿宋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b/>
          <w:bCs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）整体支出使用范围、方向和内容</w:t>
      </w:r>
    </w:p>
    <w:p>
      <w:pPr>
        <w:spacing w:line="560" w:lineRule="exact"/>
        <w:ind w:left="160" w:leftChars="76" w:firstLine="496" w:firstLineChars="155"/>
        <w:rPr>
          <w:rFonts w:ascii="仿宋_GB2312" w:hAnsi="仿宋" w:eastAsia="仿宋_GB2312" w:cs="Times New Roman"/>
          <w:sz w:val="32"/>
          <w:szCs w:val="32"/>
          <w:lang w:eastAsia="zh-CN"/>
        </w:rPr>
      </w:pPr>
      <w:r>
        <w:rPr>
          <w:rFonts w:ascii="仿宋_GB2312" w:hAnsi="仿宋" w:eastAsia="仿宋_GB2312" w:cs="仿宋_GB2312"/>
          <w:sz w:val="32"/>
          <w:szCs w:val="32"/>
        </w:rPr>
        <w:t>2016</w:t>
      </w:r>
      <w:r>
        <w:rPr>
          <w:rFonts w:hint="eastAsia" w:ascii="仿宋_GB2312" w:hAnsi="仿宋" w:eastAsia="仿宋_GB2312" w:cs="仿宋_GB2312"/>
          <w:sz w:val="32"/>
          <w:szCs w:val="32"/>
        </w:rPr>
        <w:t>年财政拨款支出按用途划分，基本支出</w:t>
      </w:r>
      <w:r>
        <w:rPr>
          <w:rFonts w:ascii="仿宋_GB2312" w:hAnsi="仿宋" w:eastAsia="仿宋_GB2312" w:cs="仿宋_GB2312"/>
          <w:sz w:val="32"/>
          <w:szCs w:val="32"/>
        </w:rPr>
        <w:t>422.49</w:t>
      </w:r>
      <w:r>
        <w:rPr>
          <w:rFonts w:hint="eastAsia" w:ascii="仿宋_GB2312" w:hAnsi="仿宋" w:eastAsia="仿宋_GB2312" w:cs="仿宋_GB2312"/>
          <w:sz w:val="32"/>
          <w:szCs w:val="32"/>
        </w:rPr>
        <w:t>万元，其中：工资福利支出</w:t>
      </w:r>
      <w:r>
        <w:rPr>
          <w:rFonts w:ascii="仿宋_GB2312" w:hAnsi="仿宋" w:eastAsia="仿宋_GB2312" w:cs="仿宋_GB2312"/>
          <w:sz w:val="32"/>
          <w:szCs w:val="32"/>
        </w:rPr>
        <w:t>184.88</w:t>
      </w:r>
      <w:r>
        <w:rPr>
          <w:rFonts w:hint="eastAsia" w:ascii="仿宋_GB2312" w:hAnsi="仿宋" w:eastAsia="仿宋_GB2312" w:cs="仿宋_GB2312"/>
          <w:sz w:val="32"/>
          <w:szCs w:val="32"/>
        </w:rPr>
        <w:t>万元，一般商品和服务支出</w:t>
      </w:r>
      <w:r>
        <w:rPr>
          <w:rFonts w:ascii="仿宋_GB2312" w:hAnsi="仿宋" w:eastAsia="仿宋_GB2312" w:cs="仿宋_GB2312"/>
          <w:sz w:val="32"/>
          <w:szCs w:val="32"/>
        </w:rPr>
        <w:t>183.87</w:t>
      </w:r>
      <w:r>
        <w:rPr>
          <w:rFonts w:hint="eastAsia" w:ascii="仿宋_GB2312" w:hAnsi="仿宋" w:eastAsia="仿宋_GB2312" w:cs="仿宋_GB2312"/>
          <w:sz w:val="32"/>
          <w:szCs w:val="32"/>
        </w:rPr>
        <w:t>万元，对个人和家庭的补助支出</w:t>
      </w:r>
      <w:r>
        <w:rPr>
          <w:rFonts w:ascii="仿宋_GB2312" w:hAnsi="仿宋" w:eastAsia="仿宋_GB2312" w:cs="仿宋_GB2312"/>
          <w:sz w:val="32"/>
          <w:szCs w:val="32"/>
        </w:rPr>
        <w:t>52.9</w:t>
      </w:r>
      <w:r>
        <w:rPr>
          <w:rFonts w:hint="eastAsia" w:ascii="仿宋_GB2312" w:hAnsi="仿宋" w:eastAsia="仿宋_GB2312" w:cs="仿宋_GB2312"/>
          <w:sz w:val="32"/>
          <w:szCs w:val="32"/>
        </w:rPr>
        <w:t>万元，其他资本性支出</w:t>
      </w:r>
      <w:r>
        <w:rPr>
          <w:rFonts w:ascii="仿宋_GB2312" w:hAnsi="仿宋" w:eastAsia="仿宋_GB2312" w:cs="仿宋_GB2312"/>
          <w:sz w:val="32"/>
          <w:szCs w:val="32"/>
        </w:rPr>
        <w:t>0.84</w:t>
      </w:r>
      <w:r>
        <w:rPr>
          <w:rFonts w:hint="eastAsia" w:ascii="仿宋_GB2312" w:hAnsi="仿宋" w:eastAsia="仿宋_GB2312" w:cs="仿宋_GB2312"/>
          <w:sz w:val="32"/>
          <w:szCs w:val="32"/>
        </w:rPr>
        <w:t>万元。</w:t>
      </w:r>
    </w:p>
    <w:p>
      <w:pPr>
        <w:spacing w:line="560" w:lineRule="exact"/>
        <w:ind w:firstLine="630" w:firstLineChars="196"/>
        <w:rPr>
          <w:rFonts w:ascii="仿宋" w:hAnsi="仿宋" w:eastAsia="仿宋" w:cs="Times New Roman"/>
          <w:b/>
          <w:bCs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、</w:t>
      </w:r>
      <w:r>
        <w:rPr>
          <w:rFonts w:ascii="仿宋" w:hAnsi="仿宋" w:eastAsia="仿宋" w:cs="仿宋"/>
          <w:b/>
          <w:bCs/>
          <w:sz w:val="32"/>
          <w:szCs w:val="32"/>
          <w:lang w:eastAsia="zh-CN"/>
        </w:rPr>
        <w:t>2016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年年度预算收支决算情况</w:t>
      </w:r>
    </w:p>
    <w:p>
      <w:pPr>
        <w:spacing w:line="560" w:lineRule="exact"/>
        <w:ind w:left="160" w:leftChars="76" w:firstLine="496" w:firstLineChars="155"/>
        <w:rPr>
          <w:rFonts w:ascii="仿宋" w:hAnsi="仿宋" w:eastAsia="仿宋" w:cs="Times New Roman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201</w:t>
      </w:r>
      <w:r>
        <w:rPr>
          <w:rFonts w:ascii="仿宋" w:hAnsi="仿宋" w:eastAsia="仿宋" w:cs="仿宋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年收入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预算支出</w:t>
      </w:r>
      <w:r>
        <w:rPr>
          <w:rFonts w:ascii="仿宋_GB2312" w:hAnsi="仿宋" w:eastAsia="仿宋_GB2312" w:cs="仿宋_GB2312"/>
          <w:sz w:val="32"/>
          <w:szCs w:val="32"/>
          <w:lang w:eastAsia="zh-CN"/>
        </w:rPr>
        <w:t>422.29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，支出决算</w:t>
      </w:r>
      <w:r>
        <w:rPr>
          <w:rFonts w:ascii="仿宋_GB2312" w:hAnsi="仿宋" w:eastAsia="仿宋_GB2312" w:cs="仿宋_GB2312"/>
          <w:sz w:val="32"/>
          <w:szCs w:val="32"/>
        </w:rPr>
        <w:t>422.49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</w:t>
      </w:r>
      <w:r>
        <w:rPr>
          <w:rFonts w:hint="eastAsia" w:ascii="仿宋" w:hAnsi="仿宋" w:eastAsia="仿宋" w:cs="仿宋"/>
          <w:sz w:val="32"/>
          <w:szCs w:val="32"/>
        </w:rPr>
        <w:t>其中：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人员经费支出</w:t>
      </w:r>
      <w:r>
        <w:rPr>
          <w:rFonts w:ascii="仿宋" w:hAnsi="仿宋" w:eastAsia="仿宋" w:cs="仿宋"/>
          <w:sz w:val="32"/>
          <w:szCs w:val="32"/>
          <w:lang w:eastAsia="zh-CN"/>
        </w:rPr>
        <w:t>237.78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万元，日常公用经费支出</w:t>
      </w:r>
      <w:r>
        <w:rPr>
          <w:rFonts w:ascii="仿宋" w:hAnsi="仿宋" w:eastAsia="仿宋" w:cs="仿宋"/>
          <w:sz w:val="32"/>
          <w:szCs w:val="32"/>
          <w:lang w:eastAsia="zh-CN"/>
        </w:rPr>
        <w:t>184.71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万元，项目支出为</w:t>
      </w:r>
      <w:r>
        <w:rPr>
          <w:rFonts w:ascii="仿宋" w:hAnsi="仿宋" w:eastAsia="仿宋" w:cs="仿宋"/>
          <w:sz w:val="32"/>
          <w:szCs w:val="32"/>
          <w:lang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万元，与去年基本持平。</w:t>
      </w:r>
    </w:p>
    <w:p>
      <w:pPr>
        <w:widowControl/>
        <w:shd w:val="clear" w:color="auto" w:fill="FFFFFF"/>
        <w:autoSpaceDE w:val="0"/>
        <w:spacing w:line="560" w:lineRule="exact"/>
        <w:ind w:firstLine="800" w:firstLineChars="249"/>
        <w:jc w:val="left"/>
        <w:rPr>
          <w:rFonts w:ascii="黑体" w:hAnsi="黑体" w:eastAsia="黑体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222222"/>
          <w:kern w:val="0"/>
          <w:sz w:val="32"/>
          <w:szCs w:val="32"/>
          <w:lang w:eastAsia="zh-CN"/>
        </w:rPr>
        <w:t>二、整体支出使用管理情况</w:t>
      </w:r>
    </w:p>
    <w:p>
      <w:pPr>
        <w:widowControl/>
        <w:shd w:val="clear" w:color="auto" w:fill="FFFFFF"/>
        <w:autoSpaceDE w:val="0"/>
        <w:spacing w:line="560" w:lineRule="exact"/>
        <w:ind w:firstLine="643"/>
        <w:jc w:val="left"/>
        <w:rPr>
          <w:rFonts w:ascii="仿宋" w:hAnsi="仿宋" w:eastAsia="仿宋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（一）基本支出使用管理情况</w:t>
      </w:r>
    </w:p>
    <w:p>
      <w:pPr>
        <w:spacing w:line="560" w:lineRule="exact"/>
        <w:ind w:firstLine="640"/>
        <w:rPr>
          <w:rFonts w:ascii="仿宋" w:hAnsi="仿宋" w:eastAsia="仿宋" w:cs="Times New Roman"/>
          <w:color w:val="22222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基本支出的范围和主要用途包括人员经费和日常公用经费。</w:t>
      </w:r>
    </w:p>
    <w:p>
      <w:pPr>
        <w:spacing w:line="560" w:lineRule="exact"/>
        <w:ind w:firstLine="640"/>
        <w:rPr>
          <w:rFonts w:ascii="仿宋" w:hAnsi="仿宋" w:eastAsia="仿宋" w:cs="Times New Roman"/>
          <w:color w:val="555555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基本支出的管理和使用情况如下：工资福利支出</w:t>
      </w:r>
      <w:r>
        <w:rPr>
          <w:rFonts w:ascii="仿宋" w:hAnsi="仿宋" w:eastAsia="仿宋" w:cs="仿宋"/>
          <w:color w:val="222222"/>
          <w:kern w:val="0"/>
          <w:sz w:val="32"/>
          <w:szCs w:val="32"/>
          <w:lang w:eastAsia="zh-CN"/>
        </w:rPr>
        <w:t>184.88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万元、一般商品和服务支出</w:t>
      </w:r>
      <w:r>
        <w:rPr>
          <w:rFonts w:ascii="仿宋" w:hAnsi="仿宋" w:eastAsia="仿宋" w:cs="仿宋"/>
          <w:color w:val="222222"/>
          <w:kern w:val="0"/>
          <w:sz w:val="32"/>
          <w:szCs w:val="32"/>
          <w:lang w:eastAsia="zh-CN"/>
        </w:rPr>
        <w:t>183.87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万元，主要用于会议费、差旅费、办公费、公务用车运行费、公务接待费等及其他日常办公的正常开支。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本年基本支出预算可用指标</w:t>
      </w:r>
      <w:r>
        <w:rPr>
          <w:rFonts w:ascii="仿宋_GB2312" w:hAnsi="仿宋" w:eastAsia="仿宋_GB2312" w:cs="仿宋_GB2312"/>
          <w:sz w:val="32"/>
          <w:szCs w:val="32"/>
          <w:lang w:eastAsia="zh-CN"/>
        </w:rPr>
        <w:t>422.29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万元，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2016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年基本支出与预算基本一致。</w:t>
      </w:r>
    </w:p>
    <w:p>
      <w:pPr>
        <w:widowControl/>
        <w:shd w:val="clear" w:color="auto" w:fill="FFFFFF"/>
        <w:autoSpaceDE w:val="0"/>
        <w:spacing w:line="560" w:lineRule="exact"/>
        <w:ind w:firstLine="643" w:firstLineChars="200"/>
        <w:jc w:val="left"/>
        <w:rPr>
          <w:rFonts w:ascii="仿宋" w:hAnsi="仿宋" w:eastAsia="仿宋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（二）“三公”经费使用管理执行情况</w:t>
      </w:r>
    </w:p>
    <w:p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>2016</w:t>
      </w:r>
      <w:r>
        <w:rPr>
          <w:rFonts w:hint="eastAsia" w:ascii="仿宋_GB2312" w:hAnsi="仿宋" w:eastAsia="仿宋_GB2312" w:cs="仿宋_GB2312"/>
          <w:sz w:val="32"/>
          <w:szCs w:val="32"/>
        </w:rPr>
        <w:t>年“三公经费”财政拨款支出共</w:t>
      </w:r>
      <w:r>
        <w:rPr>
          <w:rFonts w:ascii="仿宋_GB2312" w:hAnsi="仿宋" w:eastAsia="仿宋_GB2312" w:cs="仿宋_GB2312"/>
          <w:sz w:val="32"/>
          <w:szCs w:val="32"/>
        </w:rPr>
        <w:t>29.98</w:t>
      </w:r>
      <w:r>
        <w:rPr>
          <w:rFonts w:hint="eastAsia" w:ascii="仿宋_GB2312" w:hAnsi="仿宋" w:eastAsia="仿宋_GB2312" w:cs="仿宋_GB2312"/>
          <w:sz w:val="32"/>
          <w:szCs w:val="32"/>
        </w:rPr>
        <w:t>万元，与上年基本持平。具体如下：</w:t>
      </w:r>
    </w:p>
    <w:p>
      <w:pPr>
        <w:spacing w:line="560" w:lineRule="exact"/>
        <w:ind w:left="479" w:leftChars="228" w:firstLine="160" w:firstLineChars="5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>1</w:t>
      </w:r>
      <w:r>
        <w:rPr>
          <w:rFonts w:hint="eastAsia" w:ascii="仿宋_GB2312" w:hAnsi="仿宋" w:eastAsia="仿宋_GB2312" w:cs="仿宋_GB2312"/>
          <w:sz w:val="32"/>
          <w:szCs w:val="32"/>
        </w:rPr>
        <w:t>、</w:t>
      </w:r>
      <w:r>
        <w:rPr>
          <w:rFonts w:ascii="仿宋_GB2312" w:hAnsi="仿宋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公务接待费支出</w:t>
      </w:r>
      <w:r>
        <w:rPr>
          <w:rFonts w:ascii="仿宋_GB2312" w:hAnsi="仿宋" w:eastAsia="仿宋_GB2312" w:cs="仿宋_GB2312"/>
          <w:sz w:val="32"/>
          <w:szCs w:val="32"/>
        </w:rPr>
        <w:t>8.987</w:t>
      </w:r>
      <w:r>
        <w:rPr>
          <w:rFonts w:hint="eastAsia" w:ascii="仿宋_GB2312" w:hAnsi="仿宋" w:eastAsia="仿宋_GB2312" w:cs="仿宋_GB2312"/>
          <w:sz w:val="32"/>
          <w:szCs w:val="32"/>
        </w:rPr>
        <w:t>万元，主要用于</w:t>
      </w:r>
      <w:r>
        <w:rPr>
          <w:rFonts w:hint="eastAsia" w:ascii="仿宋_GB2312" w:eastAsia="仿宋_GB2312" w:cs="仿宋_GB2312"/>
          <w:sz w:val="32"/>
          <w:szCs w:val="32"/>
        </w:rPr>
        <w:t>其他市、县（区）</w:t>
      </w:r>
    </w:p>
    <w:p>
      <w:pPr>
        <w:spacing w:line="560" w:lineRule="exact"/>
        <w:ind w:left="160" w:leftChars="76" w:firstLine="16" w:firstLineChars="5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政协系统到东安交流工作及调研、政协委员到政协汇报联络工作、招商引资等支出。</w:t>
      </w:r>
    </w:p>
    <w:p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>2</w:t>
      </w:r>
      <w:r>
        <w:rPr>
          <w:rFonts w:hint="eastAsia" w:ascii="仿宋_GB2312" w:hAnsi="仿宋" w:eastAsia="仿宋_GB2312" w:cs="仿宋_GB2312"/>
          <w:sz w:val="32"/>
          <w:szCs w:val="32"/>
        </w:rPr>
        <w:t>、</w:t>
      </w:r>
      <w:r>
        <w:rPr>
          <w:rFonts w:ascii="仿宋_GB2312" w:hAnsi="仿宋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公务用车购置费无支出；公务用车运行维护费支出</w:t>
      </w:r>
      <w:r>
        <w:rPr>
          <w:rFonts w:ascii="仿宋_GB2312" w:hAnsi="仿宋" w:eastAsia="仿宋_GB2312" w:cs="仿宋_GB2312"/>
          <w:sz w:val="32"/>
          <w:szCs w:val="32"/>
        </w:rPr>
        <w:t>20.99</w:t>
      </w:r>
      <w:r>
        <w:rPr>
          <w:rFonts w:hint="eastAsia" w:ascii="仿宋_GB2312" w:hAnsi="仿宋" w:eastAsia="仿宋_GB2312" w:cs="仿宋_GB2312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>3</w:t>
      </w:r>
      <w:r>
        <w:rPr>
          <w:rFonts w:hint="eastAsia" w:ascii="仿宋_GB2312" w:hAnsi="仿宋" w:eastAsia="仿宋_GB2312" w:cs="仿宋_GB2312"/>
          <w:sz w:val="32"/>
          <w:szCs w:val="32"/>
        </w:rPr>
        <w:t>、因公出国（境）费无支出。</w:t>
      </w:r>
    </w:p>
    <w:p>
      <w:pPr>
        <w:widowControl/>
        <w:shd w:val="clear" w:color="auto" w:fill="FFFFFF"/>
        <w:autoSpaceDE w:val="0"/>
        <w:spacing w:line="560" w:lineRule="exact"/>
        <w:ind w:firstLine="643"/>
        <w:jc w:val="left"/>
        <w:rPr>
          <w:rFonts w:ascii="黑体" w:hAnsi="黑体" w:eastAsia="黑体" w:cs="Times New Roman"/>
          <w:b/>
          <w:bCs/>
          <w:color w:val="222222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222222"/>
          <w:kern w:val="0"/>
          <w:sz w:val="32"/>
          <w:szCs w:val="32"/>
          <w:lang w:eastAsia="zh-CN"/>
        </w:rPr>
        <w:t>三、部门整体支出管理情况</w:t>
      </w:r>
    </w:p>
    <w:p>
      <w:pPr>
        <w:widowControl/>
        <w:spacing w:line="560" w:lineRule="exact"/>
        <w:ind w:firstLine="64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我们严格预算管理，切实按照县委出台的五项管理制度要求，</w:t>
      </w:r>
      <w:r>
        <w:rPr>
          <w:rFonts w:hint="eastAsia" w:ascii="仿宋" w:hAnsi="仿宋" w:eastAsia="仿宋" w:cs="仿宋"/>
          <w:color w:val="555555"/>
          <w:kern w:val="0"/>
          <w:sz w:val="32"/>
          <w:szCs w:val="32"/>
          <w:lang w:eastAsia="zh-CN"/>
        </w:rPr>
        <w:t>坚持执行财经和财务制度，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修改完善了《机关财务管理规定》《财产管理规定》《公务接待管理规定》《内部审计制度》《差旅费、会议费、培训费管理规定》《公务车辆管理办法》《会计核算制度》《厉行节约规定》等工作制度，进一步明确了财政预算资金审批手续和拨付程序、机关行政经费审批手续和报销程序，加强了财务管理，规范了收支行为，保证了财务管理工作规范有序进行。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2016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年我单位没有基本建设、大型房屋维修等支出项目。</w:t>
      </w:r>
    </w:p>
    <w:p>
      <w:pPr>
        <w:spacing w:line="560" w:lineRule="exact"/>
        <w:ind w:firstLine="640"/>
        <w:rPr>
          <w:rFonts w:ascii="仿宋" w:hAnsi="仿宋" w:eastAsia="仿宋" w:cs="Times New Roman"/>
          <w:color w:val="555555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我们按照绩效评价规程要求，第一阶段为前期准备：制定了详细的工作方案，明确责任，确定评价指标细则；第二阶段为自评：根据上一阶段任务布置，按照要求展开自评工作，并初拟评价结果；第三阶段为定性终评，查阅相关文件资料和财务凭证，对收集资料进行定量定性分析，综合评议后形成评价结论，出具绩效评价报告从上表反映出：工资福利支出</w:t>
      </w:r>
      <w:r>
        <w:rPr>
          <w:rFonts w:ascii="仿宋_GB2312" w:hAnsi="仿宋" w:eastAsia="仿宋_GB2312" w:cs="仿宋_GB2312"/>
          <w:sz w:val="32"/>
          <w:szCs w:val="32"/>
        </w:rPr>
        <w:t>184.88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万元、日常公用经费</w:t>
      </w:r>
      <w:r>
        <w:rPr>
          <w:rFonts w:ascii="仿宋" w:hAnsi="仿宋" w:eastAsia="仿宋" w:cs="仿宋"/>
          <w:sz w:val="32"/>
          <w:szCs w:val="32"/>
          <w:lang w:eastAsia="zh-CN"/>
        </w:rPr>
        <w:t>184.71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万元，主要用于会议费、差旅费、办公费、公务用车运行费、公务接待费等及其他日常办公的正常开支。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本年基本支出预算可用指标</w:t>
      </w:r>
      <w:r>
        <w:rPr>
          <w:rFonts w:ascii="仿宋_GB2312" w:hAnsi="仿宋" w:eastAsia="仿宋_GB2312" w:cs="仿宋_GB2312"/>
          <w:sz w:val="32"/>
          <w:szCs w:val="32"/>
        </w:rPr>
        <w:t>422.49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万元，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2016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年基本支出与预算基本一致。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黑体" w:hAnsi="黑体" w:eastAsia="黑体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222222"/>
          <w:kern w:val="0"/>
          <w:sz w:val="32"/>
          <w:szCs w:val="32"/>
          <w:lang w:eastAsia="zh-CN"/>
        </w:rPr>
        <w:t>四、部门整体支出绩效情况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仿宋" w:hAnsi="仿宋" w:eastAsia="仿宋" w:cs="Times New Roman"/>
          <w:color w:val="222222"/>
          <w:kern w:val="0"/>
          <w:sz w:val="32"/>
          <w:szCs w:val="32"/>
          <w:lang w:eastAsia="zh-CN"/>
        </w:rPr>
      </w:pPr>
      <w:r>
        <w:rPr>
          <w:rFonts w:ascii="仿宋" w:hAnsi="仿宋" w:eastAsia="仿宋" w:cs="仿宋"/>
          <w:color w:val="222222"/>
          <w:kern w:val="0"/>
          <w:sz w:val="32"/>
          <w:szCs w:val="32"/>
          <w:lang w:eastAsia="zh-CN"/>
        </w:rPr>
        <w:t>2016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年，根据年初工作规划和重点性工作，围绕全面建成小康社会的发展蓝图，积极履职，强化管理，较好的完成了年度工作目标。通过加强预算收支管理，不断建立健全内部管理制度，梳理内部管理流程，部门整体支出管理情况得到提升。根据</w:t>
      </w:r>
      <w:r>
        <w:rPr>
          <w:rFonts w:ascii="仿宋" w:hAnsi="仿宋" w:eastAsia="仿宋" w:cs="仿宋"/>
          <w:color w:val="222222"/>
          <w:kern w:val="0"/>
          <w:sz w:val="32"/>
          <w:szCs w:val="32"/>
          <w:lang w:eastAsia="zh-CN"/>
        </w:rPr>
        <w:t>2016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年度部门整体支出状况的概述和分析，</w:t>
      </w:r>
      <w:r>
        <w:rPr>
          <w:rFonts w:ascii="仿宋" w:hAnsi="仿宋" w:eastAsia="仿宋" w:cs="仿宋"/>
          <w:color w:val="222222"/>
          <w:kern w:val="0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部门整体支出绩效情况如下：</w:t>
      </w:r>
    </w:p>
    <w:p>
      <w:pPr>
        <w:widowControl/>
        <w:shd w:val="clear" w:color="auto" w:fill="FFFFFF"/>
        <w:autoSpaceDE w:val="0"/>
        <w:spacing w:line="560" w:lineRule="exact"/>
        <w:ind w:firstLine="643"/>
        <w:jc w:val="left"/>
        <w:rPr>
          <w:rFonts w:ascii="宋体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222222"/>
          <w:kern w:val="0"/>
          <w:sz w:val="32"/>
          <w:szCs w:val="32"/>
          <w:lang w:eastAsia="zh-CN"/>
        </w:rPr>
        <w:t>（一）经济效益评价</w:t>
      </w:r>
    </w:p>
    <w:p>
      <w:pPr>
        <w:widowControl/>
        <w:shd w:val="clear" w:color="auto" w:fill="FFFFFF"/>
        <w:autoSpaceDE w:val="0"/>
        <w:spacing w:line="560" w:lineRule="exact"/>
        <w:ind w:firstLine="643"/>
        <w:jc w:val="left"/>
        <w:rPr>
          <w:rFonts w:ascii="仿宋" w:hAnsi="仿宋" w:eastAsia="仿宋" w:cs="Times New Roman"/>
          <w:color w:val="000000"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 xml:space="preserve">1. 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本年预算配置控制较好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财政供养人员控制在预算编制以内，编制内在职人员控制率≦</w:t>
      </w:r>
      <w:r>
        <w:rPr>
          <w:rFonts w:ascii="仿宋" w:hAnsi="仿宋" w:eastAsia="仿宋" w:cs="仿宋"/>
          <w:color w:val="000000"/>
          <w:sz w:val="32"/>
          <w:szCs w:val="32"/>
        </w:rPr>
        <w:t>100%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；</w:t>
      </w:r>
    </w:p>
    <w:p>
      <w:pPr>
        <w:widowControl/>
        <w:shd w:val="clear" w:color="auto" w:fill="FFFFFF"/>
        <w:autoSpaceDE w:val="0"/>
        <w:spacing w:line="560" w:lineRule="exact"/>
        <w:ind w:firstLine="643"/>
        <w:jc w:val="left"/>
        <w:rPr>
          <w:rFonts w:ascii="仿宋" w:hAnsi="仿宋" w:eastAsia="仿宋" w:cs="Times New Roman"/>
          <w:color w:val="000000"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 xml:space="preserve"> 2. 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预算执行控制较好。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支出总额控制在预算总额以内，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本年部门预算未进行预算相关事项的调整；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预算完成率达到</w:t>
      </w:r>
      <w:r>
        <w:rPr>
          <w:rFonts w:ascii="仿宋" w:hAnsi="仿宋" w:eastAsia="仿宋" w:cs="仿宋"/>
          <w:color w:val="000000"/>
          <w:sz w:val="32"/>
          <w:szCs w:val="32"/>
        </w:rPr>
        <w:t>100%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，预算控制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较好，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全年无截留或滞留专项资金情况；全年没有新建楼堂馆所。</w:t>
      </w:r>
    </w:p>
    <w:p>
      <w:pPr>
        <w:widowControl/>
        <w:spacing w:line="560" w:lineRule="exact"/>
        <w:ind w:firstLine="640"/>
        <w:jc w:val="left"/>
        <w:rPr>
          <w:rFonts w:ascii="仿宋" w:hAnsi="仿宋" w:eastAsia="仿宋" w:cs="Times New Roman"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 xml:space="preserve">3.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预算管理较为理想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。制度执行总体较为有效，但仍需进一步强化。全年公用经费控制率为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100%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；“三公”经费总体控制较好，</w:t>
      </w:r>
      <w:r>
        <w:rPr>
          <w:rFonts w:ascii="仿宋" w:hAnsi="仿宋" w:eastAsia="仿宋" w:cs="仿宋"/>
          <w:sz w:val="32"/>
          <w:szCs w:val="32"/>
          <w:lang w:eastAsia="zh-CN"/>
        </w:rPr>
        <w:t>2016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年三公经费预算为</w:t>
      </w:r>
      <w:r>
        <w:rPr>
          <w:rFonts w:ascii="仿宋" w:hAnsi="仿宋" w:eastAsia="仿宋" w:cs="仿宋"/>
          <w:sz w:val="32"/>
          <w:szCs w:val="32"/>
          <w:lang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</w:t>
      </w:r>
      <w:r>
        <w:rPr>
          <w:rFonts w:ascii="仿宋" w:hAnsi="仿宋" w:eastAsia="仿宋" w:cs="仿宋"/>
          <w:sz w:val="32"/>
          <w:szCs w:val="32"/>
        </w:rPr>
        <w:t>201</w:t>
      </w:r>
      <w:r>
        <w:rPr>
          <w:rFonts w:ascii="仿宋" w:hAnsi="仿宋" w:eastAsia="仿宋" w:cs="仿宋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年“三公经费”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决算</w:t>
      </w:r>
      <w:r>
        <w:rPr>
          <w:rFonts w:hint="eastAsia" w:ascii="仿宋" w:hAnsi="仿宋" w:eastAsia="仿宋" w:cs="仿宋"/>
          <w:sz w:val="32"/>
          <w:szCs w:val="32"/>
        </w:rPr>
        <w:t>支出共</w:t>
      </w:r>
      <w:r>
        <w:rPr>
          <w:rFonts w:ascii="仿宋" w:hAnsi="仿宋" w:eastAsia="仿宋" w:cs="仿宋"/>
          <w:sz w:val="32"/>
          <w:szCs w:val="32"/>
          <w:lang w:eastAsia="zh-CN"/>
        </w:rPr>
        <w:t>29.98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与去年同比基本持平。</w:t>
      </w:r>
    </w:p>
    <w:p>
      <w:pPr>
        <w:widowControl/>
        <w:spacing w:line="560" w:lineRule="exact"/>
        <w:ind w:firstLine="640"/>
        <w:jc w:val="left"/>
        <w:rPr>
          <w:rFonts w:ascii="仿宋" w:hAnsi="仿宋" w:eastAsia="仿宋" w:cs="Times New Roman"/>
          <w:color w:val="555555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）对于单位的政府采购项目，凡单位购买属于政府采购范围内的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eastAsia="zh-CN"/>
        </w:rPr>
        <w:t>货物、工程和服务，严格遵守政府采购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相关法律法规的规定办理相关审批手续，政府采购执行率达到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100%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" w:hAnsi="仿宋" w:eastAsia="仿宋" w:cs="Times New Roman"/>
          <w:color w:val="555555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）管理制度健全。我们严格预算管理，切实按照县委出台的五项管理制度要求，坚持执行财经和财务制度，修改完善了《机关财务管理规定》《财产管理规定》《公务接待管理规定》《内部审计制度》《差旅费、会议费、培训费管理规定》《公务车辆管理办法》《会计核算制度》《厉行节约规定》等工作制度，进一步明确了财政预算资金审批手续和拨付程序、机关行政经费审批手续和报销程序，加强了财务管理，规范了收支行为，保证了财务管理工作规范有序进行</w:t>
      </w:r>
      <w:r>
        <w:rPr>
          <w:rFonts w:hint="eastAsia" w:ascii="仿宋" w:hAnsi="仿宋" w:eastAsia="仿宋" w:cs="仿宋"/>
          <w:color w:val="555555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）资金使用管理逐步加强。单位支出严格按照国家财经法规和财务管理制度规定执行，正确组织资金的筹集、调度和使用，债权债务及时结算、结清。费用开支有标准、有预算，正确核算收入、税金、利润及利润分配。所有支出基本通过我单位财政直接支付方式办理，资金使用无截留、挤占、挪用、虚列支出等情况。</w:t>
      </w:r>
    </w:p>
    <w:p>
      <w:pPr>
        <w:widowControl/>
        <w:spacing w:line="560" w:lineRule="exact"/>
        <w:ind w:firstLine="64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）部门预算收支严格按年初部门预算方案执行，部门预决算、“三公”经费预决算按要求及时进行了公开。</w:t>
      </w:r>
    </w:p>
    <w:p>
      <w:pPr>
        <w:widowControl/>
        <w:shd w:val="clear" w:color="auto" w:fill="FFFFFF"/>
        <w:autoSpaceDE w:val="0"/>
        <w:spacing w:line="560" w:lineRule="exact"/>
        <w:ind w:firstLine="643"/>
        <w:jc w:val="left"/>
        <w:rPr>
          <w:rFonts w:ascii="宋体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222222"/>
          <w:kern w:val="0"/>
          <w:sz w:val="32"/>
          <w:szCs w:val="32"/>
          <w:lang w:eastAsia="zh-CN"/>
        </w:rPr>
        <w:t>（二）效率性评价和有效性评价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仿宋" w:hAnsi="仿宋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预算安排的基本支出保障了正常的工作运转，预算安排的项目支出是非常必要的，在执行上是严格遵守各项财经纪律的，在项目资金的使用上也是放的心的，严守法律底线、纪律底线、道德底线。</w:t>
      </w:r>
    </w:p>
    <w:p>
      <w:pPr>
        <w:widowControl/>
        <w:shd w:val="clear" w:color="auto" w:fill="FFFFFF"/>
        <w:autoSpaceDE w:val="0"/>
        <w:spacing w:line="560" w:lineRule="exact"/>
        <w:ind w:firstLine="643"/>
        <w:jc w:val="left"/>
        <w:rPr>
          <w:rFonts w:ascii="宋体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222222"/>
          <w:kern w:val="0"/>
          <w:sz w:val="32"/>
          <w:szCs w:val="32"/>
          <w:lang w:eastAsia="zh-CN"/>
        </w:rPr>
        <w:t>（三）社会公众满意度评价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2016</w:t>
      </w:r>
      <w:r>
        <w:rPr>
          <w:rFonts w:hint="eastAsia" w:ascii="仿宋" w:hAnsi="仿宋" w:eastAsia="仿宋" w:cs="仿宋"/>
          <w:sz w:val="32"/>
          <w:szCs w:val="32"/>
        </w:rPr>
        <w:t>年，在中共东安县委的正确领导下，紧紧围绕县委、县政府的中心工作，秉承“忠实履职、奉献东安”的工作理念，认真履行政协三大职能，为我县大力实施“六大战略”，全力推进“</w:t>
      </w:r>
      <w:r>
        <w:rPr>
          <w:rFonts w:ascii="仿宋" w:hAnsi="仿宋" w:eastAsia="仿宋" w:cs="仿宋"/>
          <w:sz w:val="32"/>
          <w:szCs w:val="32"/>
        </w:rPr>
        <w:t>752121</w:t>
      </w:r>
      <w:r>
        <w:rPr>
          <w:rFonts w:hint="eastAsia" w:ascii="仿宋" w:hAnsi="仿宋" w:eastAsia="仿宋" w:cs="仿宋"/>
          <w:sz w:val="32"/>
          <w:szCs w:val="32"/>
        </w:rPr>
        <w:t>”工程作出了积极贡献。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在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2016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年民主测评中，满意度为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eastAsia="zh-CN"/>
        </w:rPr>
        <w:t>100%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宋体" w:cs="Times New Roman"/>
          <w:b/>
          <w:bCs/>
          <w:color w:val="666666"/>
          <w:w w:val="90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222222"/>
          <w:kern w:val="0"/>
          <w:sz w:val="32"/>
          <w:szCs w:val="32"/>
          <w:lang w:eastAsia="zh-CN"/>
        </w:rPr>
        <w:t>五、</w:t>
      </w:r>
      <w:r>
        <w:rPr>
          <w:rFonts w:hint="eastAsia" w:ascii="宋体" w:hAnsi="宋体" w:cs="宋体"/>
          <w:b/>
          <w:bCs/>
          <w:color w:val="222222"/>
          <w:w w:val="90"/>
          <w:kern w:val="0"/>
          <w:sz w:val="32"/>
          <w:szCs w:val="32"/>
          <w:lang w:eastAsia="zh-CN"/>
        </w:rPr>
        <w:t>结合《部门整体支出绩效议价指标表》（见附表）的评价结果。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宋体" w:cs="Times New Roman"/>
          <w:b/>
          <w:bCs/>
          <w:color w:val="222222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222222"/>
          <w:kern w:val="0"/>
          <w:sz w:val="32"/>
          <w:szCs w:val="32"/>
          <w:lang w:eastAsia="zh-CN"/>
        </w:rPr>
        <w:t>六、存在的主要问题。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仿宋" w:hAnsi="仿宋" w:eastAsia="仿宋" w:cs="Times New Roman"/>
          <w:color w:val="666666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相关管理制度有待进一步加强。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宋体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222222"/>
          <w:kern w:val="0"/>
          <w:sz w:val="32"/>
          <w:szCs w:val="32"/>
          <w:lang w:eastAsia="zh-CN"/>
        </w:rPr>
        <w:t>七、改进措施和有关建议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仿宋" w:hAnsi="仿宋" w:eastAsia="仿宋" w:cs="Times New Roman"/>
          <w:color w:val="666666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针对上述存在的问题及整体支出管理工作的需要，拟实施的改进措施如下：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仿宋" w:hAnsi="仿宋" w:eastAsia="仿宋" w:cs="Times New Roman"/>
          <w:color w:val="666666"/>
          <w:kern w:val="0"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 xml:space="preserve">1. 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细化预算编制工作，认真做好预算的编制。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进一步加强内部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推行预算“二上二下”方式，提高预算的合理性和准确性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仿宋" w:hAnsi="仿宋" w:eastAsia="仿宋" w:cs="Times New Roman"/>
          <w:color w:val="666666"/>
          <w:kern w:val="0"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 xml:space="preserve">2. 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加强财务管理，严格财务审核。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在费用报账支付时，按照预算规定的费用项目和用途进行资金使用审核、列报支付、财务核算，杜绝超支现象的发生。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仿宋" w:hAnsi="仿宋" w:eastAsia="仿宋" w:cs="Times New Roman"/>
          <w:color w:val="666666"/>
          <w:kern w:val="0"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．持续抓好“三公”经费控制管理。</w:t>
      </w:r>
      <w:r>
        <w:rPr>
          <w:rFonts w:hint="eastAsia" w:ascii="仿宋" w:hAnsi="仿宋" w:eastAsia="仿宋" w:cs="仿宋"/>
          <w:color w:val="222222"/>
          <w:kern w:val="0"/>
          <w:sz w:val="32"/>
          <w:szCs w:val="32"/>
          <w:lang w:eastAsia="zh-CN"/>
        </w:rPr>
        <w:t>严格控制“三公”经费的规模和比例，把关“三公”经费支出的审核、审批，杜绝挪用和挤占其他预算资金行为；进一步细化“三公”经费的管理，合理压缩“三公”经费支出。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仿宋" w:hAnsi="仿宋" w:eastAsia="仿宋" w:cs="Times New Roman"/>
          <w:b/>
          <w:bCs/>
          <w:color w:val="666666"/>
          <w:kern w:val="0"/>
          <w:sz w:val="32"/>
          <w:szCs w:val="32"/>
          <w:lang w:eastAsia="zh-CN"/>
        </w:rPr>
      </w:pPr>
      <w:r>
        <w:rPr>
          <w:rFonts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b/>
          <w:bCs/>
          <w:color w:val="222222"/>
          <w:kern w:val="0"/>
          <w:sz w:val="32"/>
          <w:szCs w:val="32"/>
          <w:lang w:eastAsia="zh-CN"/>
        </w:rPr>
        <w:t>．加强项目开展进度的跟踪，开展项目绩效评价，确保项目绩效目标的完成。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宋体" w:cs="Times New Roman"/>
          <w:color w:val="222222"/>
          <w:kern w:val="0"/>
          <w:sz w:val="32"/>
          <w:szCs w:val="32"/>
          <w:lang w:eastAsia="zh-CN"/>
        </w:rPr>
      </w:pPr>
      <w:r>
        <w:rPr>
          <w:rFonts w:ascii="宋体" w:hAnsi="宋体" w:cs="宋体"/>
          <w:color w:val="222222"/>
          <w:kern w:val="0"/>
          <w:sz w:val="32"/>
          <w:szCs w:val="32"/>
          <w:lang w:eastAsia="zh-CN"/>
        </w:rPr>
        <w:t xml:space="preserve">                                                 </w:t>
      </w:r>
    </w:p>
    <w:p>
      <w:pPr>
        <w:widowControl/>
        <w:shd w:val="clear" w:color="auto" w:fill="FFFFFF"/>
        <w:autoSpaceDE w:val="0"/>
        <w:spacing w:line="560" w:lineRule="exact"/>
        <w:ind w:firstLine="640"/>
        <w:jc w:val="left"/>
        <w:rPr>
          <w:rFonts w:ascii="宋体" w:cs="Times New Roman"/>
          <w:color w:val="222222"/>
          <w:kern w:val="0"/>
          <w:sz w:val="32"/>
          <w:szCs w:val="32"/>
          <w:lang w:eastAsia="zh-CN"/>
        </w:rPr>
      </w:pPr>
      <w:r>
        <w:rPr>
          <w:rFonts w:ascii="宋体" w:hAnsi="宋体" w:cs="宋体"/>
          <w:color w:val="222222"/>
          <w:kern w:val="0"/>
          <w:sz w:val="32"/>
          <w:szCs w:val="32"/>
          <w:lang w:eastAsia="zh-CN"/>
        </w:rPr>
        <w:t xml:space="preserve">  </w:t>
      </w:r>
    </w:p>
    <w:p>
      <w:pPr>
        <w:shd w:val="clear" w:color="auto" w:fill="FFFFFF"/>
        <w:autoSpaceDE w:val="0"/>
        <w:spacing w:line="560" w:lineRule="exact"/>
        <w:jc w:val="center"/>
        <w:rPr>
          <w:rFonts w:ascii="宋体" w:cs="Times New Roman"/>
          <w:color w:val="666666"/>
          <w:kern w:val="0"/>
          <w:sz w:val="32"/>
          <w:szCs w:val="32"/>
          <w:lang w:eastAsia="zh-CN"/>
        </w:rPr>
      </w:pPr>
      <w:r>
        <w:rPr>
          <w:rFonts w:ascii="宋体" w:hAnsi="宋体" w:cs="宋体"/>
          <w:color w:val="222222"/>
          <w:kern w:val="0"/>
          <w:sz w:val="32"/>
          <w:szCs w:val="32"/>
          <w:lang w:eastAsia="zh-CN"/>
        </w:rPr>
        <w:t xml:space="preserve"> 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FjZmEyMjYwYjFjYjMwNjIwODYyMTM5YjI1MjUxNTMifQ=="/>
  </w:docVars>
  <w:rsids>
    <w:rsidRoot w:val="00101DC9"/>
    <w:rsid w:val="000B7224"/>
    <w:rsid w:val="00101DC9"/>
    <w:rsid w:val="00143E84"/>
    <w:rsid w:val="00171A4A"/>
    <w:rsid w:val="001931C6"/>
    <w:rsid w:val="001A7B17"/>
    <w:rsid w:val="001B4188"/>
    <w:rsid w:val="001E1747"/>
    <w:rsid w:val="00206D09"/>
    <w:rsid w:val="002941B5"/>
    <w:rsid w:val="00294FA8"/>
    <w:rsid w:val="00295C4F"/>
    <w:rsid w:val="003560B5"/>
    <w:rsid w:val="003972DA"/>
    <w:rsid w:val="003B052D"/>
    <w:rsid w:val="00444335"/>
    <w:rsid w:val="00453752"/>
    <w:rsid w:val="00460287"/>
    <w:rsid w:val="004E350F"/>
    <w:rsid w:val="00521EF1"/>
    <w:rsid w:val="00537BA2"/>
    <w:rsid w:val="0054623A"/>
    <w:rsid w:val="00566D1C"/>
    <w:rsid w:val="005D330D"/>
    <w:rsid w:val="005F51A5"/>
    <w:rsid w:val="006366C0"/>
    <w:rsid w:val="00682DA9"/>
    <w:rsid w:val="00713D74"/>
    <w:rsid w:val="0076306A"/>
    <w:rsid w:val="00775C5A"/>
    <w:rsid w:val="007807C3"/>
    <w:rsid w:val="007B3A90"/>
    <w:rsid w:val="007D4156"/>
    <w:rsid w:val="007E5774"/>
    <w:rsid w:val="008051F3"/>
    <w:rsid w:val="008444A0"/>
    <w:rsid w:val="008A6587"/>
    <w:rsid w:val="008B12DB"/>
    <w:rsid w:val="0092550F"/>
    <w:rsid w:val="0095236E"/>
    <w:rsid w:val="00966613"/>
    <w:rsid w:val="00985E25"/>
    <w:rsid w:val="00987A45"/>
    <w:rsid w:val="00990F67"/>
    <w:rsid w:val="00A05CEE"/>
    <w:rsid w:val="00A1284D"/>
    <w:rsid w:val="00A223ED"/>
    <w:rsid w:val="00A35949"/>
    <w:rsid w:val="00A81F90"/>
    <w:rsid w:val="00AB6891"/>
    <w:rsid w:val="00B106EA"/>
    <w:rsid w:val="00B24290"/>
    <w:rsid w:val="00B569F0"/>
    <w:rsid w:val="00B65149"/>
    <w:rsid w:val="00B71006"/>
    <w:rsid w:val="00B96988"/>
    <w:rsid w:val="00BB1814"/>
    <w:rsid w:val="00C0352C"/>
    <w:rsid w:val="00C23502"/>
    <w:rsid w:val="00C457EA"/>
    <w:rsid w:val="00C74C2E"/>
    <w:rsid w:val="00C80D73"/>
    <w:rsid w:val="00C902A6"/>
    <w:rsid w:val="00CA7036"/>
    <w:rsid w:val="00CD46D8"/>
    <w:rsid w:val="00CE0471"/>
    <w:rsid w:val="00D22AB4"/>
    <w:rsid w:val="00D23562"/>
    <w:rsid w:val="00D74734"/>
    <w:rsid w:val="00D83780"/>
    <w:rsid w:val="00DC52A6"/>
    <w:rsid w:val="00DE7410"/>
    <w:rsid w:val="00DF749B"/>
    <w:rsid w:val="00E30972"/>
    <w:rsid w:val="00E47DE7"/>
    <w:rsid w:val="00EA162C"/>
    <w:rsid w:val="00EC34AD"/>
    <w:rsid w:val="00F36B1C"/>
    <w:rsid w:val="00F41709"/>
    <w:rsid w:val="00F4701F"/>
    <w:rsid w:val="00F84020"/>
    <w:rsid w:val="00FA1D4B"/>
    <w:rsid w:val="00FA3747"/>
    <w:rsid w:val="77BE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TW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eastAsia="zh-CN"/>
    </w:rPr>
  </w:style>
  <w:style w:type="paragraph" w:customStyle="1" w:styleId="7">
    <w:name w:val="正文1"/>
    <w:basedOn w:val="1"/>
    <w:uiPriority w:val="99"/>
    <w:pPr>
      <w:widowControl/>
      <w:jc w:val="left"/>
    </w:pPr>
    <w:rPr>
      <w:rFonts w:ascii="宋体" w:hAnsi="宋体" w:cs="宋体"/>
      <w:kern w:val="0"/>
      <w:sz w:val="20"/>
      <w:szCs w:val="20"/>
      <w:lang w:eastAsia="en-US"/>
    </w:rPr>
  </w:style>
  <w:style w:type="character" w:customStyle="1" w:styleId="8">
    <w:name w:val="Header Char"/>
    <w:basedOn w:val="6"/>
    <w:link w:val="3"/>
    <w:semiHidden/>
    <w:locked/>
    <w:uiPriority w:val="99"/>
    <w:rPr>
      <w:sz w:val="18"/>
      <w:szCs w:val="18"/>
      <w:lang w:eastAsia="zh-TW"/>
    </w:rPr>
  </w:style>
  <w:style w:type="character" w:customStyle="1" w:styleId="9">
    <w:name w:val="Footer Char"/>
    <w:basedOn w:val="6"/>
    <w:link w:val="2"/>
    <w:locked/>
    <w:uiPriority w:val="99"/>
    <w:rPr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7</Pages>
  <Words>3689</Words>
  <Characters>3894</Characters>
  <Lines>0</Lines>
  <Paragraphs>0</Paragraphs>
  <TotalTime>42</TotalTime>
  <ScaleCrop>false</ScaleCrop>
  <LinksUpToDate>false</LinksUpToDate>
  <CharactersWithSpaces>3957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2017-11-16T07:50:00Z</dcterms:created>
  <dc:creator>Administrator</dc:creator>
  <cp:lastModifiedBy>WPS_1652411081</cp:lastModifiedBy>
  <cp:lastPrinted>2017-11-16T08:38:00Z</cp:lastPrinted>
  <dcterms:modified xsi:type="dcterms:W3CDTF">2023-06-06T01:46:25Z</dcterms:modified>
  <dc:title>东安县台办2016年部门整体支出绩效评价报告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B47D6AD6191846D59B115395697F37F3_12</vt:lpwstr>
  </property>
</Properties>
</file>